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Smith Ivan C</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right="140"/>
        <w:spacing w:after="0" w:line="365"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167"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Times New Roman" w:cs="Times New Roman" w:eastAsia="Times New Roman" w:hAnsi="Times New Roman"/>
                <w:sz w:val="17"/>
                <w:szCs w:val="17"/>
                <w:color w:val="0000FF"/>
              </w:rPr>
              <w:t>MARYSVILLE</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7"/>
        </w:trPr>
        <w:tc>
          <w:tcPr>
            <w:tcW w:w="80" w:type="dxa"/>
            <w:vAlign w:val="bottom"/>
          </w:tcPr>
          <w:p>
            <w:pPr>
              <w:spacing w:after="0"/>
              <w:rPr>
                <w:sz w:val="12"/>
                <w:szCs w:val="12"/>
                <w:color w:val="auto"/>
              </w:rPr>
            </w:pPr>
          </w:p>
        </w:tc>
        <w:tc>
          <w:tcPr>
            <w:tcW w:w="3740" w:type="dxa"/>
            <w:vAlign w:val="bottom"/>
            <w:gridSpan w:val="3"/>
          </w:tcPr>
          <w:p>
            <w:pPr>
              <w:spacing w:after="0" w:line="147"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SCOTTS MIRACLE-GRO CO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SMG</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40" w:type="dxa"/>
            <w:vAlign w:val="bottom"/>
            <w:tcBorders>
              <w:bottom w:val="single" w:sz="8" w:color="0000EE"/>
            </w:tcBorders>
          </w:tcPr>
          <w:p>
            <w:pPr>
              <w:spacing w:after="0"/>
              <w:rPr>
                <w:sz w:val="3"/>
                <w:szCs w:val="3"/>
                <w:color w:val="auto"/>
              </w:rPr>
            </w:pPr>
          </w:p>
        </w:tc>
        <w:tc>
          <w:tcPr>
            <w:tcW w:w="10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9"/>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5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360" w:type="dxa"/>
            <w:vAlign w:val="bottom"/>
            <w:vMerge w:val="continue"/>
          </w:tcPr>
          <w:p>
            <w:pPr>
              <w:spacing w:after="0"/>
              <w:rPr>
                <w:sz w:val="11"/>
                <w:szCs w:val="11"/>
                <w:color w:val="auto"/>
              </w:rPr>
            </w:pPr>
          </w:p>
        </w:tc>
        <w:tc>
          <w:tcPr>
            <w:tcW w:w="14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80" w:type="dxa"/>
            <w:vAlign w:val="bottom"/>
            <w:tcBorders>
              <w:bottom w:val="single" w:sz="8" w:color="808080"/>
            </w:tcBorders>
          </w:tcPr>
          <w:p>
            <w:pPr>
              <w:spacing w:after="0"/>
              <w:rPr>
                <w:sz w:val="17"/>
                <w:szCs w:val="17"/>
                <w:color w:val="auto"/>
              </w:rPr>
            </w:pPr>
          </w:p>
        </w:tc>
        <w:tc>
          <w:tcPr>
            <w:tcW w:w="120" w:type="dxa"/>
            <w:vAlign w:val="bottom"/>
            <w:tcBorders>
              <w:bottom w:val="single" w:sz="8" w:color="808080"/>
            </w:tcBorders>
          </w:tcPr>
          <w:p>
            <w:pPr>
              <w:spacing w:after="0"/>
              <w:rPr>
                <w:sz w:val="17"/>
                <w:szCs w:val="17"/>
                <w:color w:val="auto"/>
              </w:rPr>
            </w:pPr>
          </w:p>
        </w:tc>
        <w:tc>
          <w:tcPr>
            <w:tcW w:w="2540" w:type="dxa"/>
            <w:vAlign w:val="bottom"/>
            <w:tcBorders>
              <w:bottom w:val="single" w:sz="8" w:color="808080"/>
            </w:tcBorders>
          </w:tcPr>
          <w:p>
            <w:pPr>
              <w:spacing w:after="0"/>
              <w:rPr>
                <w:sz w:val="17"/>
                <w:szCs w:val="17"/>
                <w:color w:val="auto"/>
              </w:rPr>
            </w:pPr>
          </w:p>
        </w:tc>
        <w:tc>
          <w:tcPr>
            <w:tcW w:w="1080" w:type="dxa"/>
            <w:vAlign w:val="bottom"/>
            <w:tcBorders>
              <w:bottom w:val="single" w:sz="8" w:color="808080"/>
            </w:tcBorders>
          </w:tcPr>
          <w:p>
            <w:pPr>
              <w:spacing w:after="0"/>
              <w:rPr>
                <w:sz w:val="17"/>
                <w:szCs w:val="17"/>
                <w:color w:val="auto"/>
              </w:rPr>
            </w:pPr>
          </w:p>
        </w:tc>
        <w:tc>
          <w:tcPr>
            <w:tcW w:w="5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2"/>
        </w:trPr>
        <w:tc>
          <w:tcPr>
            <w:tcW w:w="200" w:type="dxa"/>
            <w:vAlign w:val="bottom"/>
            <w:tcBorders>
              <w:top w:val="single" w:sz="8" w:color="2C2C2C"/>
            </w:tcBorders>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vMerge w:val="continue"/>
          </w:tcPr>
          <w:p>
            <w:pPr>
              <w:spacing w:after="0"/>
              <w:rPr>
                <w:sz w:val="6"/>
                <w:szCs w:val="6"/>
                <w:color w:val="auto"/>
              </w:rPr>
            </w:pPr>
          </w:p>
        </w:tc>
        <w:tc>
          <w:tcPr>
            <w:tcW w:w="1360" w:type="dxa"/>
            <w:vAlign w:val="bottom"/>
            <w:vMerge w:val="restart"/>
          </w:tcPr>
          <w:p>
            <w:pPr>
              <w:ind w:left="100"/>
              <w:spacing w:after="0" w:line="129"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29"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0"/>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2800" w:type="dxa"/>
            <w:vAlign w:val="bottom"/>
            <w:gridSpan w:val="2"/>
            <w:vMerge w:val="restart"/>
          </w:tcPr>
          <w:p>
            <w:pPr>
              <w:ind w:left="340"/>
              <w:spacing w:after="0"/>
              <w:rPr>
                <w:sz w:val="20"/>
                <w:szCs w:val="20"/>
                <w:color w:val="auto"/>
              </w:rPr>
            </w:pPr>
            <w:r>
              <w:rPr>
                <w:rFonts w:ascii="Times New Roman" w:cs="Times New Roman" w:eastAsia="Times New Roman" w:hAnsi="Times New Roman"/>
                <w:sz w:val="17"/>
                <w:szCs w:val="17"/>
                <w:color w:val="0000FF"/>
              </w:rPr>
              <w:t>EVP, GC and Secretary</w:t>
            </w:r>
          </w:p>
        </w:tc>
        <w:tc>
          <w:tcPr>
            <w:tcW w:w="0" w:type="dxa"/>
            <w:vAlign w:val="bottom"/>
          </w:tcPr>
          <w:p>
            <w:pPr>
              <w:spacing w:after="0"/>
              <w:rPr>
                <w:sz w:val="1"/>
                <w:szCs w:val="1"/>
                <w:color w:val="auto"/>
              </w:rPr>
            </w:pPr>
          </w:p>
        </w:tc>
      </w:tr>
      <w:tr>
        <w:trPr>
          <w:trHeight w:val="226"/>
        </w:trPr>
        <w:tc>
          <w:tcPr>
            <w:tcW w:w="274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06/24/2022</w:t>
            </w:r>
          </w:p>
        </w:tc>
        <w:tc>
          <w:tcPr>
            <w:tcW w:w="10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8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28"/>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5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33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409"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3"/>
                <w:szCs w:val="13"/>
                <w:color w:val="auto"/>
              </w:rPr>
            </w:pP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440" w:type="dxa"/>
            <w:vAlign w:val="bottom"/>
            <w:vMerge w:val="continue"/>
          </w:tcPr>
          <w:p>
            <w:pPr>
              <w:spacing w:after="0"/>
              <w:rPr>
                <w:sz w:val="8"/>
                <w:szCs w:val="8"/>
                <w:color w:val="auto"/>
              </w:rPr>
            </w:pPr>
          </w:p>
        </w:tc>
        <w:tc>
          <w:tcPr>
            <w:tcW w:w="36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36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120" w:type="dxa"/>
            <w:vAlign w:val="bottom"/>
          </w:tcPr>
          <w:p>
            <w:pPr>
              <w:spacing w:after="0"/>
              <w:rPr>
                <w:sz w:val="23"/>
                <w:szCs w:val="23"/>
                <w:color w:val="auto"/>
              </w:rPr>
            </w:pPr>
          </w:p>
        </w:tc>
        <w:tc>
          <w:tcPr>
            <w:tcW w:w="1560" w:type="dxa"/>
            <w:vAlign w:val="bottom"/>
            <w:gridSpan w:val="2"/>
          </w:tcPr>
          <w:p>
            <w:pPr>
              <w:ind w:left="620"/>
              <w:spacing w:after="0"/>
              <w:rPr>
                <w:sz w:val="20"/>
                <w:szCs w:val="20"/>
                <w:color w:val="auto"/>
              </w:rPr>
            </w:pPr>
            <w:r>
              <w:rPr>
                <w:rFonts w:ascii="Times New Roman" w:cs="Times New Roman" w:eastAsia="Times New Roman" w:hAnsi="Times New Roman"/>
                <w:sz w:val="17"/>
                <w:szCs w:val="17"/>
                <w:color w:val="0000FF"/>
              </w:rPr>
              <w:t>06/24/2022</w:t>
            </w:r>
          </w:p>
        </w:tc>
        <w:tc>
          <w:tcPr>
            <w:tcW w:w="4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40" w:type="dxa"/>
            <w:vAlign w:val="bottom"/>
          </w:tcPr>
          <w:p>
            <w:pPr>
              <w:ind w:left="200"/>
              <w:spacing w:after="0"/>
              <w:rPr>
                <w:sz w:val="20"/>
                <w:szCs w:val="20"/>
                <w:color w:val="auto"/>
              </w:rPr>
            </w:pPr>
            <w:r>
              <w:rPr>
                <w:rFonts w:ascii="Times New Roman" w:cs="Times New Roman" w:eastAsia="Times New Roman" w:hAnsi="Times New Roman"/>
                <w:sz w:val="13"/>
                <w:szCs w:val="13"/>
                <w:color w:val="0000FF"/>
              </w:rPr>
              <w:t>J</w:t>
            </w:r>
          </w:p>
        </w:tc>
        <w:tc>
          <w:tcPr>
            <w:tcW w:w="360" w:type="dxa"/>
            <w:vAlign w:val="bottom"/>
          </w:tcPr>
          <w:p>
            <w:pPr>
              <w:ind w:left="140"/>
              <w:spacing w:after="0"/>
              <w:rPr>
                <w:sz w:val="20"/>
                <w:szCs w:val="20"/>
                <w:color w:val="auto"/>
              </w:rPr>
            </w:pPr>
            <w:r>
              <w:rPr>
                <w:rFonts w:ascii="Times New Roman" w:cs="Times New Roman" w:eastAsia="Times New Roman" w:hAnsi="Times New Roman"/>
                <w:sz w:val="13"/>
                <w:szCs w:val="13"/>
                <w:color w:val="0000FF"/>
              </w:rPr>
              <w:t>V</w:t>
            </w:r>
          </w:p>
        </w:tc>
        <w:tc>
          <w:tcPr>
            <w:tcW w:w="72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1.8535</w:t>
            </w:r>
          </w:p>
        </w:tc>
        <w:tc>
          <w:tcPr>
            <w:tcW w:w="44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Pr>
          <w:p>
            <w:pPr>
              <w:spacing w:after="0"/>
              <w:rPr>
                <w:sz w:val="23"/>
                <w:szCs w:val="23"/>
                <w:color w:val="auto"/>
              </w:rPr>
            </w:pPr>
          </w:p>
        </w:tc>
        <w:tc>
          <w:tcPr>
            <w:tcW w:w="600" w:type="dxa"/>
            <w:vAlign w:val="bottom"/>
            <w:gridSpan w:val="3"/>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67.44</w:t>
            </w:r>
          </w:p>
        </w:tc>
        <w:tc>
          <w:tcPr>
            <w:tcW w:w="122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0000FF"/>
              </w:rPr>
              <w:t>40,061.1984</w:t>
            </w:r>
          </w:p>
        </w:tc>
        <w:tc>
          <w:tcPr>
            <w:tcW w:w="92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7"/>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1"/>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4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36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0" w:lineRule="exact"/>
        <w:rPr>
          <w:sz w:val="24"/>
          <w:szCs w:val="24"/>
          <w:color w:val="auto"/>
        </w:rPr>
      </w:pPr>
    </w:p>
    <w:tbl>
      <w:tblPr>
        <w:tblLayout w:type="fixed"/>
        <w:tblInd w:w="6580" w:type="dxa"/>
        <w:tblCellMar>
          <w:top w:w="0" w:type="dxa"/>
          <w:left w:w="0" w:type="dxa"/>
          <w:bottom w:w="0" w:type="dxa"/>
          <w:right w:w="0" w:type="dxa"/>
        </w:tblCellMar>
      </w:tblPr>
      <w:tr>
        <w:trPr>
          <w:trHeight w:val="215"/>
        </w:trPr>
        <w:tc>
          <w:tcPr>
            <w:tcW w:w="21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Kathy L. Uttley as attorney-in-</w:t>
            </w:r>
          </w:p>
        </w:tc>
        <w:tc>
          <w:tcPr>
            <w:tcW w:w="40" w:type="dxa"/>
            <w:vAlign w:val="bottom"/>
          </w:tcPr>
          <w:p>
            <w:pPr>
              <w:spacing w:after="0"/>
              <w:rPr>
                <w:sz w:val="18"/>
                <w:szCs w:val="18"/>
                <w:color w:val="auto"/>
              </w:rPr>
            </w:pPr>
          </w:p>
        </w:tc>
        <w:tc>
          <w:tcPr>
            <w:tcW w:w="82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07/06/2022</w:t>
            </w:r>
          </w:p>
        </w:tc>
        <w:tc>
          <w:tcPr>
            <w:tcW w:w="0" w:type="dxa"/>
            <w:vAlign w:val="bottom"/>
          </w:tcPr>
          <w:p>
            <w:pPr>
              <w:spacing w:after="0"/>
              <w:rPr>
                <w:sz w:val="1"/>
                <w:szCs w:val="1"/>
                <w:color w:val="auto"/>
              </w:rPr>
            </w:pPr>
          </w:p>
        </w:tc>
      </w:tr>
      <w:tr>
        <w:trPr>
          <w:trHeight w:val="87"/>
        </w:trPr>
        <w:tc>
          <w:tcPr>
            <w:tcW w:w="218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fact for Ivan C. Smith</w:t>
            </w:r>
          </w:p>
        </w:tc>
        <w:tc>
          <w:tcPr>
            <w:tcW w:w="8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80" w:type="dxa"/>
            <w:vAlign w:val="bottom"/>
            <w:gridSpan w:val="3"/>
            <w:vMerge w:val="continue"/>
          </w:tcPr>
          <w:p>
            <w:pPr>
              <w:spacing w:after="0"/>
              <w:rPr>
                <w:sz w:val="7"/>
                <w:szCs w:val="7"/>
                <w:color w:val="auto"/>
              </w:rPr>
            </w:pPr>
          </w:p>
        </w:tc>
        <w:tc>
          <w:tcPr>
            <w:tcW w:w="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520" w:type="dxa"/>
            <w:vAlign w:val="bottom"/>
            <w:shd w:val="clear" w:color="auto" w:fill="000000"/>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20" w:type="dxa"/>
            <w:vAlign w:val="bottom"/>
            <w:gridSpan w:val="2"/>
          </w:tcPr>
          <w:p>
            <w:pPr>
              <w:ind w:left="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416"/>
        <w:spacing w:after="0" w:line="269"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Bernard K.</w:t>
      </w:r>
    </w:p>
    <w:p>
      <w:pPr>
        <w:ind w:right="2619"/>
        <w:spacing w:after="0" w:line="333" w:lineRule="auto"/>
        <w:rPr>
          <w:sz w:val="20"/>
          <w:szCs w:val="20"/>
          <w:color w:val="auto"/>
        </w:rPr>
      </w:pPr>
      <w:r>
        <w:rPr>
          <w:rFonts w:ascii="Courier New" w:cs="Courier New" w:eastAsia="Courier New" w:hAnsi="Courier New"/>
          <w:sz w:val="17"/>
          <w:szCs w:val="17"/>
          <w:color w:val="auto"/>
        </w:rPr>
        <w:t>Asirifi and Kathy L. Uttley, signing singly, the undersigned's true and lawful attorney-in-fact and agent to:</w:t>
      </w:r>
    </w:p>
    <w:p>
      <w:pPr>
        <w:spacing w:after="0" w:line="33" w:lineRule="exact"/>
        <w:rPr>
          <w:sz w:val="20"/>
          <w:szCs w:val="20"/>
          <w:color w:val="auto"/>
        </w:rPr>
      </w:pPr>
    </w:p>
    <w:p>
      <w:pPr>
        <w:ind w:right="1879" w:firstLine="7"/>
        <w:spacing w:after="0" w:line="262"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77"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78" w:lineRule="exact"/>
        <w:rPr>
          <w:rFonts w:ascii="Courier New" w:cs="Courier New" w:eastAsia="Courier New" w:hAnsi="Courier New"/>
          <w:sz w:val="17"/>
          <w:szCs w:val="17"/>
          <w:color w:val="auto"/>
        </w:rPr>
      </w:pPr>
    </w:p>
    <w:p>
      <w:pPr>
        <w:ind w:right="1999" w:firstLine="7"/>
        <w:spacing w:after="0" w:line="273"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4" w:lineRule="exact"/>
        <w:rPr>
          <w:rFonts w:ascii="Courier New" w:cs="Courier New" w:eastAsia="Courier New" w:hAnsi="Courier New"/>
          <w:sz w:val="17"/>
          <w:szCs w:val="17"/>
          <w:color w:val="auto"/>
        </w:rPr>
      </w:pPr>
    </w:p>
    <w:p>
      <w:pPr>
        <w:ind w:right="1879" w:firstLine="7"/>
        <w:spacing w:after="0" w:line="25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91"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67" w:lineRule="exact"/>
        <w:rPr>
          <w:sz w:val="20"/>
          <w:szCs w:val="20"/>
          <w:color w:val="auto"/>
        </w:rPr>
      </w:pPr>
    </w:p>
    <w:p>
      <w:pPr>
        <w:ind w:right="2399" w:firstLine="416"/>
        <w:spacing w:after="0" w:line="25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70"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84"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175" w:lineRule="exact"/>
        <w:rPr>
          <w:sz w:val="20"/>
          <w:szCs w:val="20"/>
          <w:color w:val="auto"/>
        </w:rPr>
      </w:pPr>
    </w:p>
    <w:p>
      <w:pPr>
        <w:ind w:right="3659" w:firstLine="416"/>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11th day of May, 2016.</w:t>
      </w:r>
    </w:p>
    <w:p>
      <w:pPr>
        <w:spacing w:after="0" w:line="1"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 Ivan C. Smith</w:t>
      </w:r>
    </w:p>
    <w:p>
      <w:pPr>
        <w:spacing w:after="0" w:line="39"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Signature</w:t>
      </w:r>
    </w:p>
    <w:p>
      <w:pPr>
        <w:spacing w:after="0" w:line="175"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Ivan C. Smith</w:t>
      </w:r>
    </w:p>
    <w:p>
      <w:pPr>
        <w:spacing w:after="0" w:line="39"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80464"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2022-07-06T08:25:28Z</dcterms:created>
  <dcterms:modified xsi:type="dcterms:W3CDTF">2022-07-06T08:25:28Z</dcterms:modified>
</cp:coreProperties>
</file>