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957343.xml.htm"/>
      <w:bookmarkStart w:id="1" w:name="kswkform4_178895734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Hanft Adam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SCOTTS MIRACLE-GRO COMPANY</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14111 SCOTTSLAWN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MARYSVILLE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43041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SCOTTS MIRACLE-GRO CO</w:t>
              </w:r>
            </w:hyperlink>
            <w:r>
              <w:rPr/>
              <w:t xml:space="preserve"> [ </w:t>
            </w:r>
            <w:r>
              <w:rPr>
                <w:rFonts w:ascii="Times;serif" w:hAnsi="Times;serif"/>
                <w:color w:val="0000FF"/>
                <w:sz w:val="24"/>
                <w:shd w:fill="FFFFFF" w:val="clear"/>
              </w:rPr>
              <w:t>SMG</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18"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91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118</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791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dividend equivalent rights accrued on DSU or RSU grants and become exercisable proportionately with the DSUs or RSUs to which they relate. Each dividend equivalent right is the economic equivalent of one common share of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Kathy L. Uttley as attorney-in-fact for Adam Hanft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81963" TargetMode="External"/><Relationship Id="rId5" Type="http://schemas.openxmlformats.org/officeDocument/2006/relationships/hyperlink" Target="http://www.sec.gov/cgi-bin/browse-edgar?action=getcompany&amp;CIK=000082554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614</Words>
  <Characters>3327</Characters>
  <CharactersWithSpaces>3869</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