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Hagedorn Partnership, L.P.</w:t>
              </w:r>
            </w:hyperlink>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SCOTTS MIRACLE-GRO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SMG</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80" w:type="dxa"/>
            <w:vAlign w:val="bottom"/>
            <w:gridSpan w:val="3"/>
            <w:vMerge w:val="continue"/>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60" w:type="dxa"/>
            <w:vAlign w:val="bottom"/>
            <w:tcBorders>
              <w:bottom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4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2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05/02/2025</w:t>
            </w:r>
          </w:p>
        </w:tc>
        <w:tc>
          <w:tcPr>
            <w:tcW w:w="10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800 PORT WASHINGTON BOULEVARD</w:t>
            </w:r>
          </w:p>
        </w:tc>
        <w:tc>
          <w:tcPr>
            <w:tcW w:w="2820" w:type="dxa"/>
            <w:vAlign w:val="bottom"/>
            <w:gridSpan w:val="3"/>
            <w:vMerge w:val="continue"/>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48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p>
      <w:pPr>
        <w:ind w:left="120"/>
        <w:spacing w:after="0" w:line="188" w:lineRule="auto"/>
        <w:tabs>
          <w:tab w:leader="none" w:pos="1340" w:val="left"/>
          <w:tab w:leader="none" w:pos="2540" w:val="left"/>
        </w:tabs>
        <w:rPr>
          <w:sz w:val="20"/>
          <w:szCs w:val="20"/>
          <w:color w:val="auto"/>
        </w:rPr>
      </w:pPr>
      <w:r>
        <w:rPr>
          <w:rFonts w:ascii="Times New Roman" w:cs="Times New Roman" w:eastAsia="Times New Roman" w:hAnsi="Times New Roman"/>
          <w:sz w:val="14"/>
          <w:szCs w:val="14"/>
          <w:color w:val="0000FF"/>
          <w:vertAlign w:val="superscript"/>
        </w:rPr>
        <w:t>PORT</w:t>
      </w:r>
      <w:r>
        <w:rPr>
          <w:sz w:val="20"/>
          <w:szCs w:val="20"/>
          <w:color w:val="auto"/>
        </w:rPr>
        <w:tab/>
      </w:r>
      <w:r>
        <w:rPr>
          <w:rFonts w:ascii="Times New Roman" w:cs="Times New Roman" w:eastAsia="Times New Roman" w:hAnsi="Times New Roman"/>
          <w:sz w:val="10"/>
          <w:szCs w:val="10"/>
          <w:color w:val="0000FF"/>
        </w:rPr>
        <w:t>NY</w:t>
      </w:r>
      <w:r>
        <w:rPr>
          <w:sz w:val="20"/>
          <w:szCs w:val="20"/>
          <w:color w:val="auto"/>
        </w:rPr>
        <w:tab/>
      </w:r>
      <w:r>
        <w:rPr>
          <w:rFonts w:ascii="Times New Roman" w:cs="Times New Roman" w:eastAsia="Times New Roman" w:hAnsi="Times New Roman"/>
          <w:sz w:val="14"/>
          <w:szCs w:val="14"/>
          <w:color w:val="0000FF"/>
        </w:rPr>
        <w:t>11050</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WASHINGTON</w:t>
      </w:r>
    </w:p>
    <w:p>
      <w:pPr>
        <w:spacing w:after="0" w:line="31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05/02/2025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25,000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52.87</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13,344,274</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executed in multiple trades at prices ranging from $52.11 to $53.52. The price above reflects the weighted average sales price. Detailed information regarding the number of shares sold at each separate price will be provided upon request by the Commission staff, the Issuer or a security holder of the Issuer.</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Hagedorn Partnership, L.P. (the "Hagedorn Partnership"). James Hagedorn, Katherine Hagedorn Littlefield, Peter Hagedorn, Robert Hagedorn, and Susan Hagedorn are the general partners of the Hagedorn Partnership. Each of the general partners disclaim beneficial ownership of the reported securities, except to the extent of their pecuniary interest therein.</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Rob McMahon -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Hagedorn</w:t>
      </w:r>
      <w:r>
        <w:rPr>
          <w:sz w:val="20"/>
          <w:szCs w:val="20"/>
          <w:color w:val="auto"/>
        </w:rPr>
        <w:tab/>
      </w:r>
      <w:r>
        <w:rPr>
          <w:rFonts w:ascii="Times New Roman" w:cs="Times New Roman" w:eastAsia="Times New Roman" w:hAnsi="Times New Roman"/>
          <w:sz w:val="17"/>
          <w:szCs w:val="17"/>
          <w:color w:val="0000FF"/>
        </w:rPr>
        <w:t>05/05/2025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Partnership,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270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0945527"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2025-05-05T15:36:08Z</dcterms:created>
  <dcterms:modified xsi:type="dcterms:W3CDTF">2025-05-05T15:36:08Z</dcterms:modified>
</cp:coreProperties>
</file>