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CLASS A 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5600"/>
        <w:spacing w:after="0"/>
        <w:rPr>
          <w:sz w:val="20"/>
          <w:szCs w:val="20"/>
          <w:color w:val="auto"/>
        </w:rPr>
      </w:pPr>
      <w:r>
        <w:rPr>
          <w:rFonts w:ascii="Courier New" w:cs="Courier New" w:eastAsia="Courier New" w:hAnsi="Courier New"/>
          <w:sz w:val="18"/>
          <w:szCs w:val="18"/>
          <w:color w:val="auto"/>
        </w:rPr>
        <w:t>810186106</w:t>
      </w:r>
    </w:p>
    <w:p>
      <w:pPr>
        <w:jc w:val="center"/>
        <w:ind w:right="1779"/>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February 1, 1999</w:t>
      </w:r>
    </w:p>
    <w:p>
      <w:pPr>
        <w:jc w:val="center"/>
        <w:ind w:right="165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740"/>
        <w:spacing w:after="0"/>
        <w:tabs>
          <w:tab w:leader="none" w:pos="1460" w:val="left"/>
        </w:tabs>
        <w:rPr>
          <w:sz w:val="20"/>
          <w:szCs w:val="20"/>
          <w:color w:val="auto"/>
        </w:rPr>
      </w:pPr>
      <w:r>
        <w:rPr>
          <w:rFonts w:ascii="Courier New" w:cs="Courier New" w:eastAsia="Courier New" w:hAnsi="Courier New"/>
          <w:sz w:val="18"/>
          <w:szCs w:val="18"/>
          <w:color w:val="auto"/>
        </w:rPr>
        <w:t>[ x]</w:t>
      </w:r>
      <w:r>
        <w:rPr>
          <w:sz w:val="20"/>
          <w:szCs w:val="20"/>
          <w:color w:val="auto"/>
        </w:rPr>
        <w:tab/>
      </w:r>
      <w:r>
        <w:rPr>
          <w:rFonts w:ascii="Courier New" w:cs="Courier New" w:eastAsia="Courier New" w:hAnsi="Courier New"/>
          <w:sz w:val="16"/>
          <w:szCs w:val="16"/>
          <w:color w:val="auto"/>
        </w:rPr>
        <w:t>Rule 13d-1(b)</w:t>
      </w:r>
    </w:p>
    <w:p>
      <w:pPr>
        <w:ind w:left="1160" w:hanging="415"/>
        <w:spacing w:after="0" w:line="238" w:lineRule="auto"/>
        <w:tabs>
          <w:tab w:leader="none" w:pos="11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1160" w:hanging="415"/>
        <w:spacing w:after="0" w:line="238" w:lineRule="auto"/>
        <w:tabs>
          <w:tab w:leader="none" w:pos="11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0" w:lineRule="exact"/>
        <w:rPr>
          <w:sz w:val="24"/>
          <w:szCs w:val="24"/>
          <w:color w:val="auto"/>
        </w:rPr>
      </w:pPr>
    </w:p>
    <w:p>
      <w:pPr>
        <w:spacing w:after="0" w:line="210"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TRIMARK FINANCIAL CORPORATION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(a)</w:t>
      </w:r>
    </w:p>
    <w:p>
      <w:pPr>
        <w:ind w:left="1900" w:hanging="1155"/>
        <w:spacing w:after="0" w:line="238"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7" w:lineRule="exact"/>
        <w:rPr>
          <w:sz w:val="24"/>
          <w:szCs w:val="24"/>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Trimark Financial Corporation is a corporation under the laws of Ontario, Canada</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w:t>
            </w:r>
          </w:p>
        </w:tc>
        <w:tc>
          <w:tcPr>
            <w:tcW w:w="3260" w:type="dxa"/>
            <w:vAlign w:val="bottom"/>
          </w:tcPr>
          <w:p>
            <w:pPr>
              <w:ind w:left="320"/>
              <w:spacing w:after="0"/>
              <w:rPr>
                <w:sz w:val="20"/>
                <w:szCs w:val="20"/>
                <w:color w:val="auto"/>
              </w:rPr>
            </w:pPr>
            <w:r>
              <w:rPr>
                <w:rFonts w:ascii="Courier New" w:cs="Courier New" w:eastAsia="Courier New" w:hAnsi="Courier New"/>
                <w:sz w:val="18"/>
                <w:szCs w:val="18"/>
                <w:color w:val="auto"/>
              </w:rPr>
              <w:t>Sole Voting Power</w:t>
            </w:r>
          </w:p>
        </w:tc>
        <w:tc>
          <w:tcPr>
            <w:tcW w:w="142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8"/>
              </w:rPr>
              <w:t>1,348,100</w:t>
            </w: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w w:val="95"/>
              </w:rPr>
              <w:t>shares</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8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w:t>
            </w:r>
          </w:p>
        </w:tc>
        <w:tc>
          <w:tcPr>
            <w:tcW w:w="3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42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8"/>
              </w:rPr>
              <w:t>NIL</w:t>
            </w:r>
          </w:p>
        </w:tc>
        <w:tc>
          <w:tcPr>
            <w:tcW w:w="70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ally Owned</w:t>
            </w:r>
          </w:p>
        </w:tc>
        <w:tc>
          <w:tcPr>
            <w:tcW w:w="8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c>
          <w:tcPr>
            <w:tcW w:w="3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42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8"/>
              </w:rPr>
              <w:t>1,348,100</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8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w:t>
            </w:r>
          </w:p>
        </w:tc>
        <w:tc>
          <w:tcPr>
            <w:tcW w:w="3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42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8"/>
              </w:rPr>
              <w:t>NIL</w:t>
            </w:r>
          </w:p>
        </w:tc>
        <w:tc>
          <w:tcPr>
            <w:tcW w:w="700" w:type="dxa"/>
            <w:vAlign w:val="bottom"/>
          </w:tcPr>
          <w:p>
            <w:pPr>
              <w:spacing w:after="0"/>
              <w:rPr>
                <w:sz w:val="17"/>
                <w:szCs w:val="17"/>
                <w:color w:val="auto"/>
              </w:rPr>
            </w:pPr>
          </w:p>
        </w:tc>
      </w:tr>
    </w:tbl>
    <w:p>
      <w:pPr>
        <w:spacing w:after="0" w:line="200" w:lineRule="exact"/>
        <w:rPr>
          <w:sz w:val="24"/>
          <w:szCs w:val="24"/>
          <w:color w:val="auto"/>
        </w:rPr>
      </w:pPr>
    </w:p>
    <w:p>
      <w:pPr>
        <w:spacing w:after="0" w:line="209" w:lineRule="exact"/>
        <w:rPr>
          <w:sz w:val="24"/>
          <w:szCs w:val="24"/>
          <w:color w:val="auto"/>
        </w:rPr>
      </w:pPr>
    </w:p>
    <w:p>
      <w:pPr>
        <w:ind w:left="2860" w:right="3159" w:hanging="2852"/>
        <w:spacing w:after="0" w:line="470" w:lineRule="auto"/>
        <w:tabs>
          <w:tab w:leader="none" w:pos="75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1,348,100 shares</w:t>
      </w:r>
    </w:p>
    <w:p>
      <w:pPr>
        <w:spacing w:after="0" w:line="6"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ectPr>
          <w:pgSz w:w="11900" w:h="16838" w:orient="portrait"/>
          <w:cols w:equalWidth="0" w:num="1">
            <w:col w:w="10219"/>
          </w:cols>
          <w:pgMar w:left="240" w:top="244" w:right="1440" w:bottom="0" w:gutter="0" w:footer="0" w:header="0"/>
        </w:sectPr>
      </w:pPr>
    </w:p>
    <w:bookmarkStart w:id="1" w:name="page2"/>
    <w:bookmarkEnd w:id="1"/>
    <w:p>
      <w:pPr>
        <w:jc w:val="both"/>
        <w:ind w:left="7480"/>
        <w:spacing w:after="0"/>
        <w:tabs>
          <w:tab w:leader="none" w:pos="7880" w:val="left"/>
        </w:tabs>
        <w:rPr>
          <w:sz w:val="20"/>
          <w:szCs w:val="20"/>
          <w:color w:val="auto"/>
        </w:rPr>
      </w:pPr>
      <w:r>
        <w:rPr>
          <w:rFonts w:ascii="Courier New" w:cs="Courier New" w:eastAsia="Courier New" w:hAnsi="Courier New"/>
          <w:sz w:val="18"/>
          <w:szCs w:val="18"/>
          <w:color w:val="auto"/>
        </w:rPr>
        <w:t>[</w:t>
        <w:tab/>
        <w:t>]</w:t>
      </w:r>
    </w:p>
    <w:p>
      <w:pPr>
        <w:ind w:left="2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ind w:left="740" w:hanging="732"/>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7.2 % of outstanding common shares</w:t>
      </w:r>
    </w:p>
    <w:p>
      <w:pPr>
        <w:spacing w:after="0" w:line="201" w:lineRule="exact"/>
        <w:rPr>
          <w:sz w:val="20"/>
          <w:szCs w:val="20"/>
          <w:color w:val="auto"/>
        </w:rPr>
      </w:pPr>
    </w:p>
    <w:p>
      <w:pPr>
        <w:spacing w:after="0"/>
        <w:tabs>
          <w:tab w:leader="none" w:pos="720" w:val="left"/>
          <w:tab w:leader="none" w:pos="4620" w:val="left"/>
          <w:tab w:leader="none" w:pos="50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8"/>
          <w:szCs w:val="18"/>
          <w:color w:val="auto"/>
        </w:rPr>
        <w:t>HC</w:t>
      </w:r>
      <w:r>
        <w:rPr>
          <w:sz w:val="20"/>
          <w:szCs w:val="20"/>
          <w:color w:val="auto"/>
        </w:rPr>
        <w:tab/>
      </w:r>
      <w:r>
        <w:rPr>
          <w:rFonts w:ascii="Courier New" w:cs="Courier New" w:eastAsia="Courier New" w:hAnsi="Courier New"/>
          <w:sz w:val="16"/>
          <w:szCs w:val="16"/>
          <w:color w:val="auto"/>
        </w:rPr>
        <w:t>(see item 2A)</w:t>
      </w:r>
    </w:p>
    <w:p>
      <w:pPr>
        <w:sectPr>
          <w:pgSz w:w="11900" w:h="16838" w:orient="portrait"/>
          <w:cols w:equalWidth="0" w:num="1">
            <w:col w:w="10219"/>
          </w:cols>
          <w:pgMar w:left="240" w:top="136" w:right="1440" w:bottom="1440" w:gutter="0" w:footer="0" w:header="0"/>
        </w:sectPr>
      </w:pPr>
    </w:p>
    <w:bookmarkStart w:id="2" w:name="page3"/>
    <w:bookmarkEnd w:id="2"/>
    <w:p>
      <w:pPr>
        <w:ind w:left="3800"/>
        <w:spacing w:after="0"/>
        <w:rPr>
          <w:sz w:val="20"/>
          <w:szCs w:val="20"/>
          <w:color w:val="auto"/>
        </w:rPr>
      </w:pPr>
      <w:r>
        <w:rPr>
          <w:rFonts w:ascii="Courier New" w:cs="Courier New" w:eastAsia="Courier New" w:hAnsi="Courier New"/>
          <w:sz w:val="18"/>
          <w:szCs w:val="18"/>
          <w:color w:val="auto"/>
        </w:rPr>
        <w:t>Item 1(a)</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THE SCOTTS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Item 1(b)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1411 Scottslawn Road</w:t>
      </w:r>
    </w:p>
    <w:p>
      <w:pPr>
        <w:spacing w:after="0" w:line="238" w:lineRule="auto"/>
        <w:rPr>
          <w:sz w:val="20"/>
          <w:szCs w:val="20"/>
          <w:color w:val="auto"/>
        </w:rPr>
      </w:pPr>
      <w:r>
        <w:rPr>
          <w:rFonts w:ascii="Courier New" w:cs="Courier New" w:eastAsia="Courier New" w:hAnsi="Courier New"/>
          <w:sz w:val="18"/>
          <w:szCs w:val="18"/>
          <w:color w:val="auto"/>
        </w:rPr>
        <w:t>Marysville, Ohio</w:t>
      </w:r>
    </w:p>
    <w:p>
      <w:pPr>
        <w:spacing w:after="0"/>
        <w:rPr>
          <w:sz w:val="20"/>
          <w:szCs w:val="20"/>
          <w:color w:val="auto"/>
        </w:rPr>
      </w:pPr>
      <w:r>
        <w:rPr>
          <w:rFonts w:ascii="Courier New" w:cs="Courier New" w:eastAsia="Courier New" w:hAnsi="Courier New"/>
          <w:sz w:val="18"/>
          <w:szCs w:val="18"/>
          <w:color w:val="auto"/>
        </w:rPr>
        <w:t>43041</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Item 2(a)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Person Filing:</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Certain Trimark mutual funds (the "Funds"), which are trusts organized under the laws of Ontario, Canada, are owners of record of the securities covered by this report. Trimark Investment Management Inc. ("TIMI"), a corporation incorporated under the laws of Canada, is a manager and trustee of the Funds. TIMI is qualified to act as an investment adviser and manager of the Funds in the province of Ontario pursuant to a registration under the Securities Act (Ontario). Trimark Financial Corporation ("TFC") is a corporation incorporated under the laws of Ontario, Canada. It owns 100% of the voting equity securities of TIMI. Consequently, TFC may be deemed to be the beneficial owner of such securities.</w:t>
      </w: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Item 2(b)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of Principal Business Office:</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One First Canadian Place</w:t>
      </w:r>
    </w:p>
    <w:p>
      <w:pPr>
        <w:ind w:left="2960"/>
        <w:spacing w:after="0" w:line="238" w:lineRule="auto"/>
        <w:rPr>
          <w:sz w:val="20"/>
          <w:szCs w:val="20"/>
          <w:color w:val="auto"/>
        </w:rPr>
      </w:pPr>
      <w:r>
        <w:rPr>
          <w:rFonts w:ascii="Courier New" w:cs="Courier New" w:eastAsia="Courier New" w:hAnsi="Courier New"/>
          <w:sz w:val="18"/>
          <w:szCs w:val="18"/>
          <w:color w:val="auto"/>
        </w:rPr>
        <w:t>Suite 5600, P.O. Box 487</w:t>
      </w:r>
    </w:p>
    <w:p>
      <w:pPr>
        <w:ind w:left="3380"/>
        <w:spacing w:after="0"/>
        <w:rPr>
          <w:sz w:val="20"/>
          <w:szCs w:val="20"/>
          <w:color w:val="auto"/>
        </w:rPr>
      </w:pPr>
      <w:r>
        <w:rPr>
          <w:rFonts w:ascii="Courier New" w:cs="Courier New" w:eastAsia="Courier New" w:hAnsi="Courier New"/>
          <w:sz w:val="18"/>
          <w:szCs w:val="18"/>
          <w:color w:val="auto"/>
        </w:rPr>
        <w:t>Toronto, Ontario</w:t>
      </w:r>
    </w:p>
    <w:p>
      <w:pPr>
        <w:ind w:left="3900"/>
        <w:spacing w:after="0" w:line="237" w:lineRule="auto"/>
        <w:rPr>
          <w:sz w:val="20"/>
          <w:szCs w:val="20"/>
          <w:color w:val="auto"/>
        </w:rPr>
      </w:pPr>
      <w:r>
        <w:rPr>
          <w:rFonts w:ascii="Courier New" w:cs="Courier New" w:eastAsia="Courier New" w:hAnsi="Courier New"/>
          <w:sz w:val="18"/>
          <w:szCs w:val="18"/>
          <w:color w:val="auto"/>
        </w:rPr>
        <w:t>M5X 1E5</w:t>
      </w:r>
    </w:p>
    <w:p>
      <w:pPr>
        <w:spacing w:after="0" w:line="202"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(416) 362-7181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Item 2(c)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Trimark Financial Corporation - Incorporated under the laws of Ontario, Canada Trimark Investment Management Inc. - Incorporated under the laws of Canada</w:t>
      </w:r>
    </w:p>
    <w:p>
      <w:pPr>
        <w:sectPr>
          <w:pgSz w:w="11900" w:h="16838" w:orient="portrait"/>
          <w:cols w:equalWidth="0" w:num="1">
            <w:col w:w="10219"/>
          </w:cols>
          <w:pgMar w:left="240" w:top="1122" w:right="1440" w:bottom="1440" w:gutter="0" w:footer="0" w:header="0"/>
        </w:sectPr>
      </w:pPr>
    </w:p>
    <w:p>
      <w:pPr>
        <w:spacing w:after="0" w:line="209"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Trimark</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mutual</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funds - mutual fund trusts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organized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 the laws of</w:t>
      </w:r>
    </w:p>
    <w:p>
      <w:pPr>
        <w:spacing w:after="0" w:line="16" w:lineRule="exact"/>
        <w:rPr>
          <w:sz w:val="20"/>
          <w:szCs w:val="20"/>
          <w:color w:val="auto"/>
        </w:rPr>
      </w:pPr>
    </w:p>
    <w:p>
      <w:pPr>
        <w:sectPr>
          <w:pgSz w:w="11900" w:h="16838" w:orient="portrait"/>
          <w:cols w:equalWidth="0" w:num="5">
            <w:col w:w="1480" w:space="220"/>
            <w:col w:w="620" w:space="220"/>
            <w:col w:w="2740" w:space="200"/>
            <w:col w:w="960" w:space="200"/>
            <w:col w:w="3579"/>
          </w:cols>
          <w:pgMar w:left="240" w:top="1122"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Ontario, Canada</w:t>
      </w: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Item 2(d)</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CLASS A COMMON STOCK</w:t>
      </w:r>
    </w:p>
    <w:p>
      <w:pPr>
        <w:sectPr>
          <w:pgSz w:w="11900" w:h="16838" w:orient="portrait"/>
          <w:cols w:equalWidth="0" w:num="2">
            <w:col w:w="3080" w:space="720"/>
            <w:col w:w="6419"/>
          </w:cols>
          <w:pgMar w:left="240" w:top="1122" w:right="1440" w:bottom="1440" w:gutter="0" w:footer="0" w:header="0"/>
          <w:type w:val="continuous"/>
        </w:sectPr>
      </w:pPr>
    </w:p>
    <w:bookmarkStart w:id="3" w:name="page4"/>
    <w:bookmarkEnd w:id="3"/>
    <w:p>
      <w:pPr>
        <w:ind w:left="3800"/>
        <w:spacing w:after="0"/>
        <w:rPr>
          <w:sz w:val="20"/>
          <w:szCs w:val="20"/>
          <w:color w:val="auto"/>
        </w:rPr>
      </w:pPr>
      <w:r>
        <w:rPr>
          <w:rFonts w:ascii="Courier New" w:cs="Courier New" w:eastAsia="Courier New" w:hAnsi="Courier New"/>
          <w:sz w:val="16"/>
          <w:szCs w:val="16"/>
          <w:color w:val="auto"/>
        </w:rPr>
        <w:t>Item 2(e)</w:t>
      </w:r>
    </w:p>
    <w:p>
      <w:pPr>
        <w:sectPr>
          <w:pgSz w:w="11900" w:h="16838" w:orient="portrait"/>
          <w:cols w:equalWidth="0" w:num="1">
            <w:col w:w="10219"/>
          </w:cols>
          <w:pgMar w:left="240" w:top="1128"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810186106</w:t>
      </w:r>
    </w:p>
    <w:p>
      <w:pPr>
        <w:spacing w:after="0" w:line="200" w:lineRule="exact"/>
        <w:rPr>
          <w:sz w:val="20"/>
          <w:szCs w:val="20"/>
          <w:color w:val="auto"/>
        </w:rPr>
      </w:pPr>
    </w:p>
    <w:p>
      <w:pPr>
        <w:sectPr>
          <w:pgSz w:w="11900" w:h="16838" w:orient="portrait"/>
          <w:cols w:equalWidth="0" w:num="2">
            <w:col w:w="3080" w:space="720"/>
            <w:col w:w="6419"/>
          </w:cols>
          <w:pgMar w:left="240" w:top="1128"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spacing w:after="0" w:line="203" w:lineRule="exact"/>
        <w:rPr>
          <w:sz w:val="20"/>
          <w:szCs w:val="20"/>
          <w:color w:val="auto"/>
        </w:rPr>
      </w:pPr>
    </w:p>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 (6) of the Act</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6" w:lineRule="exact"/>
        <w:rPr>
          <w:rFonts w:ascii="Courier New" w:cs="Courier New" w:eastAsia="Courier New" w:hAnsi="Courier New"/>
          <w:sz w:val="18"/>
          <w:szCs w:val="18"/>
          <w:color w:val="auto"/>
        </w:rPr>
      </w:pPr>
    </w:p>
    <w:p>
      <w:pPr>
        <w:ind w:right="1779" w:firstLine="535"/>
        <w:spacing w:after="0" w:line="235" w:lineRule="auto"/>
        <w:tabs>
          <w:tab w:leader="none" w:pos="94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Rule 13d-1(b)(1)(ii)(E)</w:t>
      </w:r>
    </w:p>
    <w:p>
      <w:pPr>
        <w:spacing w:after="0" w:line="206" w:lineRule="exact"/>
        <w:rPr>
          <w:rFonts w:ascii="Courier New" w:cs="Courier New" w:eastAsia="Courier New" w:hAnsi="Courier New"/>
          <w:sz w:val="18"/>
          <w:szCs w:val="18"/>
          <w:color w:val="auto"/>
        </w:rPr>
      </w:pPr>
    </w:p>
    <w:p>
      <w:pPr>
        <w:ind w:right="1779" w:firstLine="535"/>
        <w:spacing w:after="0" w:line="235" w:lineRule="auto"/>
        <w:tabs>
          <w:tab w:leader="none" w:pos="94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94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A parent holding company or control person in accordance with Rule 13d-1(b)(ii)(G)</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94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94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1" w:lineRule="exact"/>
        <w:rPr>
          <w:sz w:val="20"/>
          <w:szCs w:val="20"/>
          <w:color w:val="auto"/>
        </w:rPr>
      </w:pPr>
    </w:p>
    <w:p>
      <w:pPr>
        <w:jc w:val="center"/>
        <w:ind w:right="2099"/>
        <w:spacing w:after="0"/>
        <w:tabs>
          <w:tab w:leader="none" w:pos="300" w:val="left"/>
          <w:tab w:leader="none" w:pos="300" w:val="left"/>
        </w:tabs>
        <w:rPr>
          <w:sz w:val="20"/>
          <w:szCs w:val="20"/>
          <w:color w:val="auto"/>
        </w:rPr>
      </w:pPr>
      <w:r>
        <w:rPr>
          <w:rFonts w:ascii="Courier New" w:cs="Courier New" w:eastAsia="Courier New" w:hAnsi="Courier New"/>
          <w:sz w:val="18"/>
          <w:szCs w:val="18"/>
          <w:color w:val="auto"/>
        </w:rPr>
        <w:t>If this statement is filed pursuant to Rule 13d-1(c), check this box.</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Item 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Ownership.</w:t>
      </w:r>
    </w:p>
    <w:p>
      <w:pPr>
        <w:spacing w:after="0" w:line="207" w:lineRule="exact"/>
        <w:rPr>
          <w:sz w:val="20"/>
          <w:szCs w:val="20"/>
          <w:color w:val="auto"/>
        </w:rPr>
      </w:pPr>
    </w:p>
    <w:p>
      <w:pPr>
        <w:ind w:left="2960" w:right="5579" w:hanging="2215"/>
        <w:spacing w:after="0" w:line="536" w:lineRule="auto"/>
        <w:tabs>
          <w:tab w:leader="none" w:pos="1696"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1,348,100 shares</w:t>
      </w:r>
    </w:p>
    <w:p>
      <w:pPr>
        <w:ind w:left="1700" w:hanging="955"/>
        <w:spacing w:after="0"/>
        <w:tabs>
          <w:tab w:leader="none" w:pos="1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2960"/>
        <w:spacing w:after="0"/>
        <w:tabs>
          <w:tab w:leader="none" w:pos="378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1128"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17"/>
                <w:szCs w:val="17"/>
                <w:color w:val="auto"/>
              </w:rPr>
            </w:pPr>
          </w:p>
        </w:tc>
        <w:tc>
          <w:tcPr>
            <w:tcW w:w="2260" w:type="dxa"/>
            <w:vAlign w:val="bottom"/>
            <w:gridSpan w:val="4"/>
          </w:tcPr>
          <w:p>
            <w:pPr>
              <w:ind w:left="100"/>
              <w:spacing w:after="0"/>
              <w:rPr>
                <w:sz w:val="20"/>
                <w:szCs w:val="20"/>
                <w:color w:val="auto"/>
              </w:rPr>
            </w:pPr>
            <w:r>
              <w:rPr>
                <w:rFonts w:ascii="Courier New" w:cs="Courier New" w:eastAsia="Courier New" w:hAnsi="Courier New"/>
                <w:sz w:val="18"/>
                <w:szCs w:val="18"/>
                <w:color w:val="auto"/>
                <w:w w:val="99"/>
              </w:rPr>
              <w:t>(c) Number of shares</w:t>
            </w:r>
          </w:p>
        </w:tc>
        <w:tc>
          <w:tcPr>
            <w:tcW w:w="180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9"/>
              </w:rPr>
              <w:t>as to which such</w:t>
            </w:r>
          </w:p>
        </w:tc>
        <w:tc>
          <w:tcPr>
            <w:tcW w:w="2100" w:type="dxa"/>
            <w:vAlign w:val="bottom"/>
          </w:tcPr>
          <w:p>
            <w:pPr>
              <w:ind w:left="40"/>
              <w:spacing w:after="0"/>
              <w:rPr>
                <w:sz w:val="20"/>
                <w:szCs w:val="20"/>
                <w:color w:val="auto"/>
              </w:rPr>
            </w:pPr>
            <w:r>
              <w:rPr>
                <w:rFonts w:ascii="Courier New" w:cs="Courier New" w:eastAsia="Courier New" w:hAnsi="Courier New"/>
                <w:sz w:val="18"/>
                <w:szCs w:val="18"/>
                <w:color w:val="auto"/>
              </w:rPr>
              <w:t>person has:</w:t>
            </w:r>
          </w:p>
        </w:tc>
        <w:tc>
          <w:tcPr>
            <w:tcW w:w="1100" w:type="dxa"/>
            <w:vAlign w:val="bottom"/>
          </w:tcPr>
          <w:p>
            <w:pPr>
              <w:spacing w:after="0"/>
              <w:rPr>
                <w:sz w:val="17"/>
                <w:szCs w:val="17"/>
                <w:color w:val="auto"/>
              </w:rPr>
            </w:pP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Sole</w:t>
            </w:r>
          </w:p>
        </w:tc>
        <w:tc>
          <w:tcPr>
            <w:tcW w:w="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power</w:t>
            </w:r>
          </w:p>
        </w:tc>
        <w:tc>
          <w:tcPr>
            <w:tcW w:w="4940" w:type="dxa"/>
            <w:vAlign w:val="bottom"/>
            <w:gridSpan w:val="5"/>
          </w:tcPr>
          <w:p>
            <w:pPr>
              <w:ind w:left="40"/>
              <w:spacing w:after="0"/>
              <w:rPr>
                <w:sz w:val="20"/>
                <w:szCs w:val="20"/>
                <w:color w:val="auto"/>
              </w:rPr>
            </w:pPr>
            <w:r>
              <w:rPr>
                <w:rFonts w:ascii="Courier New" w:cs="Courier New" w:eastAsia="Courier New" w:hAnsi="Courier New"/>
                <w:sz w:val="18"/>
                <w:szCs w:val="18"/>
                <w:color w:val="auto"/>
              </w:rPr>
              <w:t>to vote or to direct the vote:</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1,348,100</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(ii)</w:t>
            </w:r>
          </w:p>
        </w:tc>
        <w:tc>
          <w:tcPr>
            <w:tcW w:w="8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Shared</w:t>
            </w:r>
          </w:p>
        </w:tc>
        <w:tc>
          <w:tcPr>
            <w:tcW w:w="1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power to vote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direct the</w:t>
            </w:r>
          </w:p>
        </w:tc>
        <w:tc>
          <w:tcPr>
            <w:tcW w:w="2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vote:</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NIL</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(iii)</w:t>
            </w: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w:t>
            </w:r>
          </w:p>
        </w:tc>
        <w:tc>
          <w:tcPr>
            <w:tcW w:w="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4940" w:type="dxa"/>
            <w:vAlign w:val="bottom"/>
            <w:gridSpan w:val="5"/>
          </w:tcPr>
          <w:p>
            <w:pPr>
              <w:ind w:left="40"/>
              <w:spacing w:after="0" w:line="203" w:lineRule="exact"/>
              <w:rPr>
                <w:sz w:val="20"/>
                <w:szCs w:val="20"/>
                <w:color w:val="auto"/>
              </w:rPr>
            </w:pPr>
            <w:r>
              <w:rPr>
                <w:rFonts w:ascii="Courier New" w:cs="Courier New" w:eastAsia="Courier New" w:hAnsi="Courier New"/>
                <w:sz w:val="18"/>
                <w:szCs w:val="18"/>
                <w:color w:val="auto"/>
              </w:rPr>
              <w:t>to dispose or to direct the disposition of:</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1,348,100</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(iv)</w:t>
            </w:r>
          </w:p>
        </w:tc>
        <w:tc>
          <w:tcPr>
            <w:tcW w:w="8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Shared</w:t>
            </w:r>
          </w:p>
        </w:tc>
        <w:tc>
          <w:tcPr>
            <w:tcW w:w="17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power to dispose</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c>
          <w:tcPr>
            <w:tcW w:w="3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to direct the disposition of:</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NIL</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Ownership of Five Percent or Less of a Class</w:t>
      </w:r>
    </w:p>
    <w:p>
      <w:pPr>
        <w:spacing w:after="0" w:line="201" w:lineRule="exact"/>
        <w:rPr>
          <w:sz w:val="20"/>
          <w:szCs w:val="20"/>
          <w:color w:val="auto"/>
        </w:rPr>
      </w:pPr>
    </w:p>
    <w:p>
      <w:pPr>
        <w:ind w:left="740"/>
        <w:spacing w:after="0"/>
        <w:tabs>
          <w:tab w:leader="none" w:pos="1040" w:val="left"/>
          <w:tab w:leader="none" w:pos="168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Inapplicable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Item 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Item 7</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See item 2(a)</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Item 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Identification and Classification of Members of the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Item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Notice of Dissolution of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ectPr>
          <w:pgSz w:w="11900" w:h="16838" w:orient="portrait"/>
          <w:cols w:equalWidth="0" w:num="1">
            <w:col w:w="10219"/>
          </w:cols>
          <w:pgMar w:left="240" w:top="1122" w:right="1440" w:bottom="1440" w:gutter="0" w:footer="0" w:header="0"/>
        </w:sectPr>
      </w:pPr>
    </w:p>
    <w:bookmarkStart w:id="5" w:name="page6"/>
    <w:bookmarkEnd w:id="5"/>
    <w:p>
      <w:pPr>
        <w:ind w:left="3900"/>
        <w:spacing w:after="0"/>
        <w:rPr>
          <w:sz w:val="20"/>
          <w:szCs w:val="20"/>
          <w:color w:val="auto"/>
        </w:rPr>
      </w:pPr>
      <w:r>
        <w:rPr>
          <w:rFonts w:ascii="Courier New" w:cs="Courier New" w:eastAsia="Courier New" w:hAnsi="Courier New"/>
          <w:sz w:val="18"/>
          <w:szCs w:val="18"/>
          <w:color w:val="auto"/>
        </w:rPr>
        <w:t>Item 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w:t>
      </w:r>
    </w:p>
    <w:p>
      <w:pPr>
        <w:spacing w:after="0" w:line="207" w:lineRule="exact"/>
        <w:rPr>
          <w:sz w:val="20"/>
          <w:szCs w:val="20"/>
          <w:color w:val="auto"/>
        </w:rPr>
      </w:pPr>
    </w:p>
    <w:p>
      <w:pPr>
        <w:jc w:val="both"/>
        <w:ind w:right="1779" w:firstLine="737"/>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73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520" w:type="dxa"/>
            <w:vAlign w:val="bottom"/>
          </w:tcPr>
          <w:p>
            <w:pPr>
              <w:ind w:left="640"/>
              <w:spacing w:after="0"/>
              <w:rPr>
                <w:sz w:val="20"/>
                <w:szCs w:val="20"/>
                <w:color w:val="auto"/>
              </w:rPr>
            </w:pPr>
            <w:r>
              <w:rPr>
                <w:rFonts w:ascii="Courier New" w:cs="Courier New" w:eastAsia="Courier New" w:hAnsi="Courier New"/>
                <w:sz w:val="18"/>
                <w:szCs w:val="18"/>
                <w:color w:val="auto"/>
                <w:w w:val="99"/>
              </w:rPr>
              <w:t>February</w:t>
            </w:r>
          </w:p>
        </w:tc>
        <w:tc>
          <w:tcPr>
            <w:tcW w:w="2540" w:type="dxa"/>
            <w:vAlign w:val="bottom"/>
          </w:tcPr>
          <w:p>
            <w:pPr>
              <w:ind w:left="60"/>
              <w:spacing w:after="0"/>
              <w:rPr>
                <w:sz w:val="20"/>
                <w:szCs w:val="20"/>
                <w:color w:val="auto"/>
              </w:rPr>
            </w:pPr>
            <w:r>
              <w:rPr>
                <w:rFonts w:ascii="Courier New" w:cs="Courier New" w:eastAsia="Courier New" w:hAnsi="Courier New"/>
                <w:sz w:val="18"/>
                <w:szCs w:val="18"/>
                <w:color w:val="auto"/>
              </w:rPr>
              <w:t>1, 1999</w:t>
            </w:r>
          </w:p>
        </w:tc>
        <w:tc>
          <w:tcPr>
            <w:tcW w:w="2260" w:type="dxa"/>
            <w:vAlign w:val="bottom"/>
          </w:tcPr>
          <w:p>
            <w:pPr>
              <w:spacing w:after="0"/>
              <w:rPr>
                <w:sz w:val="17"/>
                <w:szCs w:val="17"/>
                <w:color w:val="auto"/>
              </w:rPr>
            </w:pPr>
          </w:p>
        </w:tc>
      </w:tr>
      <w:tr>
        <w:trPr>
          <w:trHeight w:val="608"/>
        </w:trPr>
        <w:tc>
          <w:tcPr>
            <w:tcW w:w="180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06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/S/ M. KEVIN FEENEY</w:t>
            </w:r>
          </w:p>
        </w:tc>
        <w:tc>
          <w:tcPr>
            <w:tcW w:w="2260" w:type="dxa"/>
            <w:vAlign w:val="bottom"/>
          </w:tcPr>
          <w:p>
            <w:pPr>
              <w:spacing w:after="0"/>
              <w:rPr>
                <w:sz w:val="24"/>
                <w:szCs w:val="24"/>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Name/Title:</w:t>
            </w:r>
          </w:p>
        </w:tc>
        <w:tc>
          <w:tcPr>
            <w:tcW w:w="1520" w:type="dxa"/>
            <w:vAlign w:val="bottom"/>
          </w:tcPr>
          <w:p>
            <w:pPr>
              <w:ind w:left="640"/>
              <w:spacing w:after="0"/>
              <w:rPr>
                <w:sz w:val="20"/>
                <w:szCs w:val="20"/>
                <w:color w:val="auto"/>
              </w:rPr>
            </w:pPr>
            <w:r>
              <w:rPr>
                <w:rFonts w:ascii="Courier New" w:cs="Courier New" w:eastAsia="Courier New" w:hAnsi="Courier New"/>
                <w:sz w:val="18"/>
                <w:szCs w:val="18"/>
                <w:color w:val="auto"/>
                <w:w w:val="99"/>
              </w:rPr>
              <w:t>M. Kevin</w:t>
            </w:r>
          </w:p>
        </w:tc>
        <w:tc>
          <w:tcPr>
            <w:tcW w:w="2540" w:type="dxa"/>
            <w:vAlign w:val="bottom"/>
          </w:tcPr>
          <w:p>
            <w:pPr>
              <w:ind w:left="60"/>
              <w:spacing w:after="0"/>
              <w:rPr>
                <w:sz w:val="20"/>
                <w:szCs w:val="20"/>
                <w:color w:val="auto"/>
              </w:rPr>
            </w:pPr>
            <w:r>
              <w:rPr>
                <w:rFonts w:ascii="Courier New" w:cs="Courier New" w:eastAsia="Courier New" w:hAnsi="Courier New"/>
                <w:sz w:val="18"/>
                <w:szCs w:val="18"/>
                <w:color w:val="auto"/>
                <w:w w:val="99"/>
              </w:rPr>
              <w:t>Feeney, Chief Financial</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w w:val="96"/>
              </w:rPr>
              <w:t>Officer, on behalf of</w:t>
            </w:r>
          </w:p>
        </w:tc>
      </w:tr>
      <w:tr>
        <w:trPr>
          <w:trHeight w:val="203"/>
        </w:trPr>
        <w:tc>
          <w:tcPr>
            <w:tcW w:w="1800" w:type="dxa"/>
            <w:vAlign w:val="bottom"/>
          </w:tcPr>
          <w:p>
            <w:pPr>
              <w:spacing w:after="0"/>
              <w:rPr>
                <w:sz w:val="17"/>
                <w:szCs w:val="17"/>
                <w:color w:val="auto"/>
              </w:rPr>
            </w:pPr>
          </w:p>
        </w:tc>
        <w:tc>
          <w:tcPr>
            <w:tcW w:w="406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8"/>
              </w:rPr>
              <w:t>Trimark Financial Corporation in</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its capacity as a</w:t>
            </w:r>
          </w:p>
        </w:tc>
      </w:tr>
      <w:tr>
        <w:trPr>
          <w:trHeight w:val="203"/>
        </w:trPr>
        <w:tc>
          <w:tcPr>
            <w:tcW w:w="1800" w:type="dxa"/>
            <w:vAlign w:val="bottom"/>
          </w:tcPr>
          <w:p>
            <w:pPr>
              <w:spacing w:after="0"/>
              <w:rPr>
                <w:sz w:val="17"/>
                <w:szCs w:val="17"/>
                <w:color w:val="auto"/>
              </w:rPr>
            </w:pPr>
          </w:p>
        </w:tc>
        <w:tc>
          <w:tcPr>
            <w:tcW w:w="406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"Reporting Person" herein.</w:t>
            </w:r>
          </w:p>
        </w:tc>
        <w:tc>
          <w:tcPr>
            <w:tcW w:w="226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lvl w:ilvl="1">
      <w:lvlJc w:val="left"/>
      <w:lvlText w:val="(%2)"/>
      <w:numFmt w:val="lowerLetter"/>
      <w:start w:val="2"/>
    </w:lvl>
  </w:abstractNum>
  <w:abstractNum w:abstractNumId="3">
    <w:nsid w:val="507ED7AB"/>
    <w:multiLevelType w:val="hybridMultilevel"/>
    <w:lvl w:ilvl="0">
      <w:lvlJc w:val="left"/>
      <w:lvlText w:val="(%1)"/>
      <w:numFmt w:val="decimal"/>
      <w:start w:val="3"/>
    </w:lvl>
    <w:lvl w:ilvl="1">
      <w:lvlJc w:val="left"/>
      <w:lvlText w:val="%2"/>
      <w:numFmt w:val="lowerLetter"/>
      <w:start w:val="1"/>
    </w:lvl>
  </w:abstractNum>
  <w:abstractNum w:abstractNumId="4">
    <w:nsid w:val="2EB141F2"/>
    <w:multiLevelType w:val="hybridMultilevel"/>
    <w:lvl w:ilvl="0">
      <w:lvlJc w:val="left"/>
      <w:lvlText w:val="(%1)"/>
      <w:numFmt w:val="decimal"/>
      <w:start w:val="9"/>
    </w:lvl>
  </w:abstractNum>
  <w:abstractNum w:abstractNumId="5">
    <w:nsid w:val="41B71EFB"/>
    <w:multiLevelType w:val="hybridMultilevel"/>
    <w:lvl w:ilvl="0">
      <w:lvlJc w:val="left"/>
      <w:lvlText w:val="(%1)"/>
      <w:numFmt w:val="decimal"/>
      <w:start w:val="1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2019-12-20T01:28:48Z</dcterms:created>
  <dcterms:modified xsi:type="dcterms:W3CDTF">2019-12-20T01:28:48Z</dcterms:modified>
</cp:coreProperties>
</file>