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4"/>
          <w:szCs w:val="24"/>
          <w:color w:val="auto"/>
        </w:rPr>
      </w:pPr>
    </w:p>
    <w:p>
      <w:pPr>
        <w:jc w:val="right"/>
        <w:ind w:left="1060" w:right="1779"/>
        <w:spacing w:after="0" w:line="309" w:lineRule="auto"/>
        <w:rPr>
          <w:sz w:val="20"/>
          <w:szCs w:val="20"/>
          <w:color w:val="auto"/>
        </w:rPr>
      </w:pPr>
      <w:r>
        <w:rPr>
          <w:rFonts w:ascii="Courier New" w:cs="Courier New" w:eastAsia="Courier New" w:hAnsi="Courier New"/>
          <w:sz w:val="18"/>
          <w:szCs w:val="18"/>
          <w:color w:val="auto"/>
        </w:rPr>
        <w:t>As filed with the Securities and Exchange Commission on April 21, 1999 Registration No. 333-________________</w:t>
      </w:r>
    </w:p>
    <w:p>
      <w:pPr>
        <w:spacing w:after="0" w:line="5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5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REGISTRATION STATEMENT UNDER THE SECURITIES ACT OF 1933</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18" w:right="1440" w:bottom="1440" w:gutter="0" w:footer="0" w:header="0"/>
        </w:sectPr>
      </w:pPr>
    </w:p>
    <w:p>
      <w:pPr>
        <w:spacing w:after="0" w:line="16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Ohio</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(State or other jurisdiction of</w:t>
      </w:r>
    </w:p>
    <w:p>
      <w:pPr>
        <w:ind w:left="12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31-1414921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5300" w:space="720"/>
            <w:col w:w="4199"/>
          </w:cols>
          <w:pgMar w:left="240" w:top="218" w:right="1440" w:bottom="1440" w:gutter="0" w:footer="0" w:header="0"/>
          <w:type w:val="continuous"/>
        </w:sectPr>
      </w:pPr>
    </w:p>
    <w:p>
      <w:pPr>
        <w:spacing w:after="0" w:line="172" w:lineRule="exact"/>
        <w:rPr>
          <w:sz w:val="24"/>
          <w:szCs w:val="24"/>
          <w:color w:val="auto"/>
        </w:rPr>
      </w:pPr>
    </w:p>
    <w:p>
      <w:pPr>
        <w:spacing w:after="0"/>
        <w:tabs>
          <w:tab w:leader="none" w:pos="7460" w:val="left"/>
        </w:tabs>
        <w:rPr>
          <w:sz w:val="20"/>
          <w:szCs w:val="20"/>
          <w:color w:val="auto"/>
        </w:rPr>
      </w:pPr>
      <w:r>
        <w:rPr>
          <w:rFonts w:ascii="Courier New" w:cs="Courier New" w:eastAsia="Courier New" w:hAnsi="Courier New"/>
          <w:sz w:val="18"/>
          <w:szCs w:val="18"/>
          <w:color w:val="auto"/>
        </w:rPr>
        <w:t>14111 Scottslawn Road, Marysville, Ohio</w:t>
      </w:r>
      <w:r>
        <w:rPr>
          <w:sz w:val="20"/>
          <w:szCs w:val="20"/>
          <w:color w:val="auto"/>
        </w:rPr>
        <w:tab/>
      </w:r>
      <w:r>
        <w:rPr>
          <w:rFonts w:ascii="Courier New" w:cs="Courier New" w:eastAsia="Courier New" w:hAnsi="Courier New"/>
          <w:sz w:val="18"/>
          <w:szCs w:val="18"/>
          <w:color w:val="auto"/>
        </w:rPr>
        <w:t>43041</w:t>
      </w:r>
    </w:p>
    <w:p>
      <w:pPr>
        <w:sectPr>
          <w:pgSz w:w="11900" w:h="16838" w:orient="portrait"/>
          <w:cols w:equalWidth="0" w:num="1">
            <w:col w:w="10219"/>
          </w:cols>
          <w:pgMar w:left="240" w:top="218" w:right="1440"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tabs>
          <w:tab w:leader="none" w:pos="72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tbl>
      <w:tblPr>
        <w:tblLayout w:type="fixed"/>
        <w:tblInd w:w="0" w:type="dxa"/>
        <w:tblCellMar>
          <w:top w:w="0" w:type="dxa"/>
          <w:left w:w="0" w:type="dxa"/>
          <w:bottom w:w="0" w:type="dxa"/>
          <w:right w:w="0" w:type="dxa"/>
        </w:tblCellMar>
      </w:tblPr>
      <w:tr>
        <w:trPr>
          <w:trHeight w:val="201"/>
        </w:trPr>
        <w:tc>
          <w:tcPr>
            <w:tcW w:w="8340" w:type="dxa"/>
            <w:vAlign w:val="bottom"/>
            <w:gridSpan w:val="2"/>
          </w:tcPr>
          <w:p>
            <w:pPr>
              <w:jc w:val="center"/>
              <w:ind w:left="32"/>
              <w:spacing w:after="0" w:line="201" w:lineRule="exact"/>
              <w:rPr>
                <w:sz w:val="20"/>
                <w:szCs w:val="20"/>
                <w:color w:val="auto"/>
              </w:rPr>
            </w:pPr>
            <w:r>
              <w:rPr>
                <w:rFonts w:ascii="Courier New" w:cs="Courier New" w:eastAsia="Courier New" w:hAnsi="Courier New"/>
                <w:sz w:val="18"/>
                <w:szCs w:val="18"/>
                <w:color w:val="auto"/>
                <w:w w:val="97"/>
              </w:rPr>
              <w:t>1996 Stock Option Plan, as amended</w:t>
            </w:r>
          </w:p>
        </w:tc>
        <w:tc>
          <w:tcPr>
            <w:tcW w:w="0" w:type="dxa"/>
            <w:vAlign w:val="bottom"/>
          </w:tcPr>
          <w:p>
            <w:pPr>
              <w:spacing w:after="0"/>
              <w:rPr>
                <w:sz w:val="1"/>
                <w:szCs w:val="1"/>
                <w:color w:val="auto"/>
              </w:rPr>
            </w:pPr>
          </w:p>
        </w:tc>
      </w:tr>
      <w:tr>
        <w:trPr>
          <w:trHeight w:val="203"/>
        </w:trPr>
        <w:tc>
          <w:tcPr>
            <w:tcW w:w="834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8340" w:type="dxa"/>
            <w:vAlign w:val="bottom"/>
            <w:gridSpan w:val="2"/>
          </w:tcPr>
          <w:p>
            <w:pPr>
              <w:jc w:val="center"/>
              <w:ind w:left="12"/>
              <w:spacing w:after="0"/>
              <w:rPr>
                <w:sz w:val="20"/>
                <w:szCs w:val="20"/>
                <w:color w:val="auto"/>
              </w:rPr>
            </w:pPr>
            <w:r>
              <w:rPr>
                <w:rFonts w:ascii="Courier New" w:cs="Courier New" w:eastAsia="Courier New" w:hAnsi="Courier New"/>
                <w:sz w:val="18"/>
                <w:szCs w:val="18"/>
                <w:color w:val="auto"/>
                <w:w w:val="97"/>
              </w:rPr>
              <w:t>(Full title of the plan)</w:t>
            </w:r>
          </w:p>
        </w:tc>
        <w:tc>
          <w:tcPr>
            <w:tcW w:w="0" w:type="dxa"/>
            <w:vAlign w:val="bottom"/>
          </w:tcPr>
          <w:p>
            <w:pPr>
              <w:spacing w:after="0"/>
              <w:rPr>
                <w:sz w:val="1"/>
                <w:szCs w:val="1"/>
                <w:color w:val="auto"/>
              </w:rPr>
            </w:pPr>
          </w:p>
        </w:tc>
      </w:tr>
      <w:tr>
        <w:trPr>
          <w:trHeight w:val="514"/>
        </w:trPr>
        <w:tc>
          <w:tcPr>
            <w:tcW w:w="4480" w:type="dxa"/>
            <w:vAlign w:val="bottom"/>
            <w:vMerge w:val="restart"/>
          </w:tcPr>
          <w:p>
            <w:pPr>
              <w:spacing w:after="0"/>
              <w:rPr>
                <w:sz w:val="20"/>
                <w:szCs w:val="20"/>
                <w:color w:val="auto"/>
              </w:rPr>
            </w:pPr>
            <w:r>
              <w:rPr>
                <w:rFonts w:ascii="Courier New" w:cs="Courier New" w:eastAsia="Courier New" w:hAnsi="Courier New"/>
                <w:sz w:val="18"/>
                <w:szCs w:val="18"/>
                <w:color w:val="auto"/>
              </w:rPr>
              <w:t>G. Robert Lucas, Esq.</w:t>
            </w:r>
          </w:p>
        </w:tc>
        <w:tc>
          <w:tcPr>
            <w:tcW w:w="3860" w:type="dxa"/>
            <w:vAlign w:val="bottom"/>
          </w:tcPr>
          <w:p>
            <w:pPr>
              <w:ind w:left="1740"/>
              <w:spacing w:after="0"/>
              <w:rPr>
                <w:sz w:val="20"/>
                <w:szCs w:val="20"/>
                <w:color w:val="auto"/>
              </w:rPr>
            </w:pPr>
            <w:r>
              <w:rPr>
                <w:rFonts w:ascii="Courier New" w:cs="Courier New" w:eastAsia="Courier New" w:hAnsi="Courier New"/>
                <w:sz w:val="18"/>
                <w:szCs w:val="18"/>
                <w:color w:val="auto"/>
              </w:rPr>
              <w:t>Copy to:</w:t>
            </w:r>
          </w:p>
        </w:tc>
        <w:tc>
          <w:tcPr>
            <w:tcW w:w="0" w:type="dxa"/>
            <w:vAlign w:val="bottom"/>
          </w:tcPr>
          <w:p>
            <w:pPr>
              <w:spacing w:after="0"/>
              <w:rPr>
                <w:sz w:val="1"/>
                <w:szCs w:val="1"/>
                <w:color w:val="auto"/>
              </w:rPr>
            </w:pPr>
          </w:p>
        </w:tc>
      </w:tr>
      <w:tr>
        <w:trPr>
          <w:trHeight w:val="203"/>
        </w:trPr>
        <w:tc>
          <w:tcPr>
            <w:tcW w:w="4480" w:type="dxa"/>
            <w:vAlign w:val="bottom"/>
            <w:vMerge w:val="continue"/>
          </w:tcPr>
          <w:p>
            <w:pPr>
              <w:spacing w:after="0"/>
              <w:rPr>
                <w:sz w:val="17"/>
                <w:szCs w:val="17"/>
                <w:color w:val="auto"/>
              </w:rPr>
            </w:pPr>
          </w:p>
        </w:tc>
        <w:tc>
          <w:tcPr>
            <w:tcW w:w="3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Elizabeth Turrell Farrar, Esq.</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Scotts Company</w:t>
            </w:r>
          </w:p>
        </w:tc>
        <w:tc>
          <w:tcPr>
            <w:tcW w:w="3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Vorys, Sater, Seymour and Pease LLP</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14111 Scottslawn Road</w:t>
            </w:r>
          </w:p>
        </w:tc>
        <w:tc>
          <w:tcPr>
            <w:tcW w:w="3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52 East Gay Street</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Marysville, Ohio 43041</w:t>
            </w:r>
          </w:p>
        </w:tc>
        <w:tc>
          <w:tcPr>
            <w:tcW w:w="3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P.O. Box 1008</w:t>
            </w:r>
          </w:p>
        </w:tc>
        <w:tc>
          <w:tcPr>
            <w:tcW w:w="0" w:type="dxa"/>
            <w:vAlign w:val="bottom"/>
          </w:tcPr>
          <w:p>
            <w:pPr>
              <w:spacing w:after="0"/>
              <w:rPr>
                <w:sz w:val="1"/>
                <w:szCs w:val="1"/>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Columbus, Ohio  43216-1008</w:t>
            </w:r>
          </w:p>
        </w:tc>
        <w:tc>
          <w:tcPr>
            <w:tcW w:w="0" w:type="dxa"/>
            <w:vAlign w:val="bottom"/>
          </w:tcPr>
          <w:p>
            <w:pPr>
              <w:spacing w:after="0"/>
              <w:rPr>
                <w:sz w:val="1"/>
                <w:szCs w:val="1"/>
                <w:color w:val="auto"/>
              </w:rPr>
            </w:pPr>
          </w:p>
        </w:tc>
      </w:tr>
      <w:tr>
        <w:trPr>
          <w:trHeight w:val="296"/>
        </w:trPr>
        <w:tc>
          <w:tcPr>
            <w:tcW w:w="4480" w:type="dxa"/>
            <w:vAlign w:val="bottom"/>
          </w:tcPr>
          <w:p>
            <w:pPr>
              <w:spacing w:after="0"/>
              <w:rPr>
                <w:sz w:val="20"/>
                <w:szCs w:val="20"/>
                <w:color w:val="auto"/>
              </w:rPr>
            </w:pPr>
            <w:r>
              <w:rPr>
                <w:rFonts w:ascii="Courier New" w:cs="Courier New" w:eastAsia="Courier New" w:hAnsi="Courier New"/>
                <w:sz w:val="18"/>
                <w:szCs w:val="18"/>
                <w:color w:val="auto"/>
              </w:rPr>
              <w:t>(Name and address of agent for service)</w:t>
            </w: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644-0011</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 number, including area code, of agent for service)</w:t>
      </w:r>
    </w:p>
    <w:p>
      <w:pPr>
        <w:spacing w:after="0" w:line="200" w:lineRule="exact"/>
        <w:rPr>
          <w:sz w:val="24"/>
          <w:szCs w:val="24"/>
          <w:color w:val="auto"/>
        </w:rPr>
      </w:pPr>
    </w:p>
    <w:p>
      <w:pPr>
        <w:spacing w:after="0" w:line="374" w:lineRule="exact"/>
        <w:rPr>
          <w:sz w:val="24"/>
          <w:szCs w:val="24"/>
          <w:color w:val="auto"/>
        </w:rPr>
      </w:pPr>
    </w:p>
    <w:p>
      <w:pPr>
        <w:jc w:val="center"/>
        <w:ind w:right="1779"/>
        <w:spacing w:after="0" w:line="289" w:lineRule="auto"/>
        <w:rPr>
          <w:sz w:val="20"/>
          <w:szCs w:val="20"/>
          <w:color w:val="auto"/>
        </w:rPr>
      </w:pPr>
      <w:r>
        <w:rPr>
          <w:rFonts w:ascii="Courier New" w:cs="Courier New" w:eastAsia="Courier New" w:hAnsi="Courier New"/>
          <w:sz w:val="16"/>
          <w:szCs w:val="16"/>
          <w:color w:val="auto"/>
        </w:rPr>
        <w:t>================================================================================ CALCULATION OF REGISTRATION FEE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900" w:type="dxa"/>
            <w:vAlign w:val="bottom"/>
            <w:vMerge w:val="restart"/>
          </w:tcPr>
          <w:p>
            <w:pPr>
              <w:spacing w:after="0"/>
              <w:rPr>
                <w:sz w:val="20"/>
                <w:szCs w:val="20"/>
                <w:color w:val="auto"/>
              </w:rPr>
            </w:pPr>
            <w:r>
              <w:rPr>
                <w:rFonts w:ascii="Courier New" w:cs="Courier New" w:eastAsia="Courier New" w:hAnsi="Courier New"/>
                <w:sz w:val="18"/>
                <w:szCs w:val="18"/>
                <w:color w:val="auto"/>
              </w:rPr>
              <w:t>Title of</w:t>
            </w:r>
          </w:p>
        </w:tc>
        <w:tc>
          <w:tcPr>
            <w:tcW w:w="2120" w:type="dxa"/>
            <w:vAlign w:val="bottom"/>
          </w:tcPr>
          <w:p>
            <w:pPr>
              <w:spacing w:after="0"/>
              <w:rPr>
                <w:sz w:val="17"/>
                <w:szCs w:val="17"/>
                <w:color w:val="auto"/>
              </w:rPr>
            </w:pPr>
          </w:p>
        </w:tc>
        <w:tc>
          <w:tcPr>
            <w:tcW w:w="1620" w:type="dxa"/>
            <w:vAlign w:val="bottom"/>
          </w:tcPr>
          <w:p>
            <w:pPr>
              <w:ind w:left="300"/>
              <w:spacing w:after="0"/>
              <w:rPr>
                <w:sz w:val="20"/>
                <w:szCs w:val="20"/>
                <w:color w:val="auto"/>
              </w:rPr>
            </w:pPr>
            <w:r>
              <w:rPr>
                <w:rFonts w:ascii="Courier New" w:cs="Courier New" w:eastAsia="Courier New" w:hAnsi="Courier New"/>
                <w:sz w:val="18"/>
                <w:szCs w:val="18"/>
                <w:color w:val="auto"/>
              </w:rPr>
              <w:t>Proposed</w:t>
            </w:r>
          </w:p>
        </w:tc>
        <w:tc>
          <w:tcPr>
            <w:tcW w:w="13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Proposed</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vMerge w:val="continue"/>
          </w:tcPr>
          <w:p>
            <w:pPr>
              <w:spacing w:after="0"/>
              <w:rPr>
                <w:sz w:val="17"/>
                <w:szCs w:val="17"/>
                <w:color w:val="auto"/>
              </w:rPr>
            </w:pPr>
          </w:p>
        </w:tc>
        <w:tc>
          <w:tcPr>
            <w:tcW w:w="2120" w:type="dxa"/>
            <w:vAlign w:val="bottom"/>
            <w:vMerge w:val="restart"/>
          </w:tcPr>
          <w:p>
            <w:pPr>
              <w:ind w:left="1060"/>
              <w:spacing w:after="0"/>
              <w:rPr>
                <w:sz w:val="20"/>
                <w:szCs w:val="20"/>
                <w:color w:val="auto"/>
              </w:rPr>
            </w:pPr>
            <w:r>
              <w:rPr>
                <w:rFonts w:ascii="Courier New" w:cs="Courier New" w:eastAsia="Courier New" w:hAnsi="Courier New"/>
                <w:sz w:val="18"/>
                <w:szCs w:val="18"/>
                <w:color w:val="auto"/>
              </w:rPr>
              <w:t>Amount</w:t>
            </w:r>
          </w:p>
        </w:tc>
        <w:tc>
          <w:tcPr>
            <w:tcW w:w="1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maximum</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maximum</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Amount</w:t>
            </w:r>
          </w:p>
        </w:tc>
        <w:tc>
          <w:tcPr>
            <w:tcW w:w="4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2120" w:type="dxa"/>
            <w:vAlign w:val="bottom"/>
            <w:vMerge w:val="continue"/>
          </w:tcPr>
          <w:p>
            <w:pPr>
              <w:spacing w:after="0"/>
              <w:rPr>
                <w:sz w:val="17"/>
                <w:szCs w:val="17"/>
                <w:color w:val="auto"/>
              </w:rPr>
            </w:pPr>
          </w:p>
        </w:tc>
        <w:tc>
          <w:tcPr>
            <w:tcW w:w="16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offering</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aggregate</w:t>
            </w:r>
          </w:p>
        </w:tc>
        <w:tc>
          <w:tcPr>
            <w:tcW w:w="9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21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 be</w:t>
            </w:r>
          </w:p>
        </w:tc>
        <w:tc>
          <w:tcPr>
            <w:tcW w:w="16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price</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registration</w:t>
            </w:r>
          </w:p>
        </w:tc>
        <w:tc>
          <w:tcPr>
            <w:tcW w:w="0" w:type="dxa"/>
            <w:vAlign w:val="bottom"/>
          </w:tcPr>
          <w:p>
            <w:pPr>
              <w:spacing w:after="0"/>
              <w:rPr>
                <w:sz w:val="1"/>
                <w:szCs w:val="1"/>
                <w:color w:val="auto"/>
              </w:rPr>
            </w:pPr>
          </w:p>
        </w:tc>
      </w:tr>
      <w:tr>
        <w:trPr>
          <w:trHeight w:val="0"/>
        </w:trPr>
        <w:tc>
          <w:tcPr>
            <w:tcW w:w="1900" w:type="dxa"/>
            <w:vAlign w:val="bottom"/>
          </w:tcPr>
          <w:p>
            <w:pPr>
              <w:spacing w:after="0"/>
              <w:rPr>
                <w:sz w:val="20"/>
                <w:szCs w:val="20"/>
                <w:color w:val="auto"/>
              </w:rPr>
            </w:pPr>
            <w:r>
              <w:rPr>
                <w:rFonts w:ascii="Courier New" w:cs="Courier New" w:eastAsia="Courier New" w:hAnsi="Courier New"/>
                <w:sz w:val="18"/>
                <w:szCs w:val="18"/>
                <w:color w:val="auto"/>
              </w:rPr>
              <w:t>registered</w:t>
            </w:r>
          </w:p>
        </w:tc>
        <w:tc>
          <w:tcPr>
            <w:tcW w:w="2120" w:type="dxa"/>
            <w:vAlign w:val="bottom"/>
          </w:tcPr>
          <w:p>
            <w:pPr>
              <w:ind w:left="840"/>
              <w:spacing w:after="0"/>
              <w:rPr>
                <w:sz w:val="20"/>
                <w:szCs w:val="20"/>
                <w:color w:val="auto"/>
              </w:rPr>
            </w:pPr>
            <w:r>
              <w:rPr>
                <w:rFonts w:ascii="Courier New" w:cs="Courier New" w:eastAsia="Courier New" w:hAnsi="Courier New"/>
                <w:sz w:val="18"/>
                <w:szCs w:val="18"/>
                <w:color w:val="auto"/>
              </w:rPr>
              <w:t>registered</w:t>
            </w:r>
          </w:p>
        </w:tc>
        <w:tc>
          <w:tcPr>
            <w:tcW w:w="1620" w:type="dxa"/>
            <w:vAlign w:val="bottom"/>
          </w:tcPr>
          <w:p>
            <w:pPr>
              <w:ind w:left="200"/>
              <w:spacing w:after="0"/>
              <w:rPr>
                <w:sz w:val="20"/>
                <w:szCs w:val="20"/>
                <w:color w:val="auto"/>
              </w:rPr>
            </w:pPr>
            <w:r>
              <w:rPr>
                <w:rFonts w:ascii="Courier New" w:cs="Courier New" w:eastAsia="Courier New" w:hAnsi="Courier New"/>
                <w:sz w:val="18"/>
                <w:szCs w:val="18"/>
                <w:color w:val="auto"/>
              </w:rPr>
              <w:t>per unit(1)</w:t>
            </w: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price(1)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fee</w:t>
            </w: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spacing w:after="0"/>
        <w:tabs>
          <w:tab w:leader="none" w:pos="2840" w:val="left"/>
          <w:tab w:leader="none" w:pos="4420" w:val="left"/>
          <w:tab w:leader="none" w:pos="5780" w:val="left"/>
          <w:tab w:leader="none" w:pos="7260" w:val="left"/>
        </w:tabs>
        <w:rPr>
          <w:sz w:val="20"/>
          <w:szCs w:val="20"/>
          <w:color w:val="auto"/>
        </w:rPr>
      </w:pPr>
      <w:r>
        <w:rPr>
          <w:rFonts w:ascii="Courier New" w:cs="Courier New" w:eastAsia="Courier New" w:hAnsi="Courier New"/>
          <w:sz w:val="18"/>
          <w:szCs w:val="18"/>
          <w:color w:val="auto"/>
        </w:rPr>
        <w:t>Common Shares, without</w:t>
      </w:r>
      <w:r>
        <w:rPr>
          <w:sz w:val="20"/>
          <w:szCs w:val="20"/>
          <w:color w:val="auto"/>
        </w:rPr>
        <w:tab/>
      </w:r>
      <w:r>
        <w:rPr>
          <w:rFonts w:ascii="Courier New" w:cs="Courier New" w:eastAsia="Courier New" w:hAnsi="Courier New"/>
          <w:sz w:val="18"/>
          <w:szCs w:val="18"/>
          <w:color w:val="auto"/>
        </w:rPr>
        <w:t>2,500,000</w:t>
      </w:r>
      <w:r>
        <w:rPr>
          <w:sz w:val="20"/>
          <w:szCs w:val="20"/>
          <w:color w:val="auto"/>
        </w:rPr>
        <w:tab/>
      </w:r>
      <w:r>
        <w:rPr>
          <w:rFonts w:ascii="Courier New" w:cs="Courier New" w:eastAsia="Courier New" w:hAnsi="Courier New"/>
          <w:sz w:val="18"/>
          <w:szCs w:val="18"/>
          <w:color w:val="auto"/>
        </w:rPr>
        <w:t>$39.9375</w:t>
      </w:r>
      <w:r>
        <w:rPr>
          <w:sz w:val="20"/>
          <w:szCs w:val="20"/>
          <w:color w:val="auto"/>
        </w:rPr>
        <w:tab/>
      </w:r>
      <w:r>
        <w:rPr>
          <w:rFonts w:ascii="Courier New" w:cs="Courier New" w:eastAsia="Courier New" w:hAnsi="Courier New"/>
          <w:sz w:val="18"/>
          <w:szCs w:val="18"/>
          <w:color w:val="auto"/>
        </w:rPr>
        <w:t>$99,843,750</w:t>
      </w:r>
      <w:r>
        <w:rPr>
          <w:sz w:val="20"/>
          <w:szCs w:val="20"/>
          <w:color w:val="auto"/>
        </w:rPr>
        <w:tab/>
      </w:r>
      <w:r>
        <w:rPr>
          <w:rFonts w:ascii="Courier New" w:cs="Courier New" w:eastAsia="Courier New" w:hAnsi="Courier New"/>
          <w:sz w:val="16"/>
          <w:szCs w:val="16"/>
          <w:color w:val="auto"/>
        </w:rPr>
        <w:t>$27,757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 value</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4"/>
          <w:szCs w:val="24"/>
          <w:color w:val="auto"/>
        </w:rPr>
      </w:pPr>
    </w:p>
    <w:p>
      <w:pPr>
        <w:ind w:left="960" w:right="1879" w:hanging="952"/>
        <w:spacing w:after="0" w:line="260"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aggregate offering price and the registration fee pursuant to Rules 457(c) and 457(h) promulgated under the Securities Act of 1933, as amended, and computed on the basis of $39.9375 per share, which is the average of the high and low sales prices of the Common Shares as reported on the New York Stock Exchange on April 19, 1999.</w:t>
      </w:r>
    </w:p>
    <w:p>
      <w:pPr>
        <w:spacing w:after="0" w:line="9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Exhibit Index on Page 14</w:t>
      </w:r>
    </w:p>
    <w:p>
      <w:pPr>
        <w:sectPr>
          <w:pgSz w:w="11900" w:h="16838" w:orient="portrait"/>
          <w:cols w:equalWidth="0" w:num="1">
            <w:col w:w="10219"/>
          </w:cols>
          <w:pgMar w:left="240" w:top="21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3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169"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The Annual Report on Form 10-K for the fiscal year ended September 30, 1998 of The Scotts Company (the "Registrant"), and all other reports filed with the Securities and Exchange Commission (the "Commission") pursuant to the requirements of Section 13(a) or Section 15(d) of the Securities Exchange Act of 1934, as amended (the "Exchange Act"), since that date are hereby incorporated by reference.</w:t>
      </w:r>
    </w:p>
    <w:p>
      <w:pPr>
        <w:spacing w:after="0" w:line="93"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The description of the Registrant's Common Shares contained in the Registrant's Registration Statement on Form 8-A (File No. 1-11593) filed with the Commission on December 21, 1995, which incorporates by reference the description of such Common Shares contained in the Registrant's Proxy Statement/Prospectus dated March 15, 1995, contained in the Registrant's Registration Statement on Form S-4 (Registration No. 33-57575), or contained in any subsequent amendment or report filed for the purpose of updating such description, is hereby incorporated by reference.</w:t>
      </w:r>
    </w:p>
    <w:p>
      <w:pPr>
        <w:spacing w:after="0" w:line="104" w:lineRule="exact"/>
        <w:rPr>
          <w:sz w:val="20"/>
          <w:szCs w:val="20"/>
          <w:color w:val="auto"/>
        </w:rPr>
      </w:pPr>
    </w:p>
    <w:p>
      <w:pPr>
        <w:ind w:right="1779" w:firstLine="1896"/>
        <w:spacing w:after="0" w:line="249" w:lineRule="auto"/>
        <w:rPr>
          <w:sz w:val="20"/>
          <w:szCs w:val="20"/>
          <w:color w:val="auto"/>
        </w:rPr>
      </w:pPr>
      <w:r>
        <w:rPr>
          <w:rFonts w:ascii="Courier New" w:cs="Courier New" w:eastAsia="Courier New" w:hAnsi="Courier New"/>
          <w:sz w:val="18"/>
          <w:szCs w:val="18"/>
          <w:color w:val="auto"/>
        </w:rPr>
        <w:t>Any definitive proxy statement or information statement filed pursuant to Section 14 of the Exchange Act and all documents which may be filed with the Commission pursuant to Sections 13, 14 or 15(d) of the Exchange Act subsequent to the date hereof and prior to the completion of the offering contemplated hereby, shall also be deemed to be incorporated herein by reference and to be made a part hereof from the date of filing of such documents; provided, however, that no report of the Compensation and Organization Committee of the Board of Directors of the Registrant on executive compensation and no performance graph included in any proxy statement or information statement filed pursuant to Section 14 of the Exchange Act shall be deemed to be incorporated herein by reference.</w:t>
      </w:r>
    </w:p>
    <w:p>
      <w:pPr>
        <w:spacing w:after="0" w:line="1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31"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169"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31"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169"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3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169"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Section 10.5 of The Scotts Company 1996 Stock Option Plan (as amended, the "Plan") provides for indemnification of members of the Registrant's Board of Directors (the "Board") and of members of the Compensation and Organization Committee of the Board (the "Committee") which administers the Plan as follows:</w:t>
      </w:r>
    </w:p>
    <w:p>
      <w:pPr>
        <w:spacing w:after="0" w:line="9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ind w:left="1900" w:right="1779" w:hanging="947"/>
        <w:spacing w:after="0" w:line="274" w:lineRule="auto"/>
        <w:tabs>
          <w:tab w:leader="none" w:pos="188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6"/>
          <w:szCs w:val="16"/>
          <w:color w:val="auto"/>
        </w:rPr>
        <w:t>Indemnification. Each person who is or shall have been a member of the Committee or of the Board shall be indemnified and held harmless by the Company [the Registrant]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 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pacing w:after="0" w:line="295" w:lineRule="exact"/>
        <w:rPr>
          <w:sz w:val="20"/>
          <w:szCs w:val="20"/>
          <w:color w:val="auto"/>
        </w:rPr>
      </w:pPr>
    </w:p>
    <w:p>
      <w:pPr>
        <w:ind w:right="1879" w:firstLine="1896"/>
        <w:spacing w:after="0" w:line="292" w:lineRule="auto"/>
        <w:rPr>
          <w:sz w:val="20"/>
          <w:szCs w:val="20"/>
          <w:color w:val="auto"/>
        </w:rPr>
      </w:pPr>
      <w:r>
        <w:rPr>
          <w:rFonts w:ascii="Courier New" w:cs="Courier New" w:eastAsia="Courier New" w:hAnsi="Courier New"/>
          <w:sz w:val="18"/>
          <w:szCs w:val="18"/>
          <w:color w:val="auto"/>
        </w:rPr>
        <w:t>Article FIVE of the Regulations of the Registrant governs the indemnification of officers and directors of the Registrant. Article FIVE provides:</w:t>
      </w:r>
    </w:p>
    <w:p>
      <w:pPr>
        <w:spacing w:after="0" w:line="66" w:lineRule="exact"/>
        <w:rPr>
          <w:sz w:val="20"/>
          <w:szCs w:val="20"/>
          <w:color w:val="auto"/>
        </w:rPr>
      </w:pPr>
    </w:p>
    <w:p>
      <w:pPr>
        <w:ind w:left="960" w:right="1779" w:firstLine="948"/>
        <w:spacing w:after="0" w:line="273" w:lineRule="auto"/>
        <w:rPr>
          <w:sz w:val="20"/>
          <w:szCs w:val="20"/>
          <w:color w:val="auto"/>
        </w:rPr>
      </w:pPr>
      <w:r>
        <w:rPr>
          <w:rFonts w:ascii="Courier New" w:cs="Courier New" w:eastAsia="Courier New" w:hAnsi="Courier New"/>
          <w:sz w:val="16"/>
          <w:szCs w:val="16"/>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200" w:lineRule="exact"/>
        <w:rPr>
          <w:sz w:val="20"/>
          <w:szCs w:val="20"/>
          <w:color w:val="auto"/>
        </w:rPr>
      </w:pPr>
    </w:p>
    <w:p>
      <w:pPr>
        <w:spacing w:after="0" w:line="3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640" w:right="2619" w:firstLine="948"/>
        <w:spacing w:after="0" w:line="292" w:lineRule="auto"/>
        <w:rPr>
          <w:sz w:val="20"/>
          <w:szCs w:val="20"/>
          <w:color w:val="auto"/>
        </w:rPr>
      </w:pPr>
      <w:r>
        <w:rPr>
          <w:rFonts w:ascii="Courier New" w:cs="Courier New" w:eastAsia="Courier New" w:hAnsi="Courier New"/>
          <w:sz w:val="18"/>
          <w:szCs w:val="18"/>
          <w:color w:val="auto"/>
        </w:rPr>
        <w:t>Section 5.02. Court-Approved Indemnification. Anything contained in the Regulations or elsewhere to the contrary notwithstanding:</w:t>
      </w:r>
    </w:p>
    <w:p>
      <w:pPr>
        <w:spacing w:after="0" w:line="66" w:lineRule="exact"/>
        <w:rPr>
          <w:sz w:val="20"/>
          <w:szCs w:val="20"/>
          <w:color w:val="auto"/>
        </w:rPr>
      </w:pPr>
    </w:p>
    <w:p>
      <w:pPr>
        <w:ind w:left="640" w:right="1879" w:firstLine="944"/>
        <w:spacing w:after="0" w:line="276" w:lineRule="auto"/>
        <w:tabs>
          <w:tab w:leader="none" w:pos="2009"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indemnify any officer or director of the corporation who was a party to any completed action or suit instituted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pacing w:after="0" w:line="299" w:lineRule="exact"/>
        <w:rPr>
          <w:rFonts w:ascii="Courier New" w:cs="Courier New" w:eastAsia="Courier New" w:hAnsi="Courier New"/>
          <w:sz w:val="16"/>
          <w:szCs w:val="16"/>
          <w:color w:val="auto"/>
        </w:rPr>
      </w:pPr>
    </w:p>
    <w:p>
      <w:pPr>
        <w:ind w:left="640" w:right="2519" w:firstLine="944"/>
        <w:spacing w:after="0" w:line="292" w:lineRule="auto"/>
        <w:tabs>
          <w:tab w:leader="none" w:pos="20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promptly make any such unpaid indemnification as is determined by a court to be proper as contemplated by this Section 5.02.</w:t>
      </w:r>
    </w:p>
    <w:p>
      <w:pPr>
        <w:spacing w:after="0" w:line="66" w:lineRule="exact"/>
        <w:rPr>
          <w:sz w:val="20"/>
          <w:szCs w:val="20"/>
          <w:color w:val="auto"/>
        </w:rPr>
      </w:pPr>
    </w:p>
    <w:p>
      <w:pPr>
        <w:ind w:left="640" w:right="1779" w:firstLine="948"/>
        <w:spacing w:after="0" w:line="287" w:lineRule="auto"/>
        <w:rPr>
          <w:sz w:val="20"/>
          <w:szCs w:val="20"/>
          <w:color w:val="auto"/>
        </w:rPr>
      </w:pPr>
      <w:r>
        <w:rPr>
          <w:rFonts w:ascii="Courier New" w:cs="Courier New" w:eastAsia="Courier New" w:hAnsi="Courier New"/>
          <w:sz w:val="16"/>
          <w:szCs w:val="16"/>
          <w:color w:val="auto"/>
        </w:rPr>
        <w:t>Section 5.03. Indemnification for Expenses. Anything contained in the Regulations or elsewhere to the contrary notwithstanding, to the extent that an officer or director of the corporation has been successful on the merits or otherwise in defense of any action, suit or proceeding referred to in 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75" w:lineRule="exact"/>
        <w:rPr>
          <w:sz w:val="20"/>
          <w:szCs w:val="20"/>
          <w:color w:val="auto"/>
        </w:rPr>
      </w:pPr>
    </w:p>
    <w:p>
      <w:pPr>
        <w:ind w:left="640" w:right="1779" w:firstLine="948"/>
        <w:spacing w:after="0" w:line="278" w:lineRule="auto"/>
        <w:rPr>
          <w:sz w:val="20"/>
          <w:szCs w:val="20"/>
          <w:color w:val="auto"/>
        </w:rPr>
      </w:pPr>
      <w:r>
        <w:rPr>
          <w:rFonts w:ascii="Courier New" w:cs="Courier New" w:eastAsia="Courier New" w:hAnsi="Courier New"/>
          <w:sz w:val="16"/>
          <w:szCs w:val="16"/>
          <w:color w:val="auto"/>
        </w:rPr>
        <w:t>Section 5.04. Determination Required.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w:t>
      </w:r>
    </w:p>
    <w:p>
      <w:pPr>
        <w:spacing w:after="0" w:line="29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28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left="640" w:right="1779"/>
        <w:spacing w:after="0" w:line="273" w:lineRule="auto"/>
        <w:rPr>
          <w:sz w:val="20"/>
          <w:szCs w:val="20"/>
          <w:color w:val="auto"/>
        </w:rPr>
      </w:pPr>
      <w:r>
        <w:rPr>
          <w:rFonts w:ascii="Courier New" w:cs="Courier New" w:eastAsia="Courier New" w:hAnsi="Courier New"/>
          <w:sz w:val="16"/>
          <w:szCs w:val="16"/>
          <w:color w:val="auto"/>
        </w:rPr>
        <w:t>proceeding was brought, if any; any such determination may be made by a court under division (D) 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298" w:lineRule="exact"/>
        <w:rPr>
          <w:sz w:val="20"/>
          <w:szCs w:val="20"/>
          <w:color w:val="auto"/>
        </w:rPr>
      </w:pPr>
    </w:p>
    <w:p>
      <w:pPr>
        <w:ind w:left="640" w:right="1779" w:firstLine="948"/>
        <w:spacing w:after="0" w:line="249" w:lineRule="auto"/>
        <w:rPr>
          <w:sz w:val="20"/>
          <w:szCs w:val="20"/>
          <w:color w:val="auto"/>
        </w:rPr>
      </w:pPr>
      <w:r>
        <w:rPr>
          <w:rFonts w:ascii="Courier New" w:cs="Courier New" w:eastAsia="Courier New" w:hAnsi="Courier New"/>
          <w:sz w:val="18"/>
          <w:szCs w:val="18"/>
          <w:color w:val="auto"/>
        </w:rPr>
        <w:t>Section 5.05. Advances for Expenses.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104" w:lineRule="exact"/>
        <w:rPr>
          <w:sz w:val="20"/>
          <w:szCs w:val="20"/>
          <w:color w:val="auto"/>
        </w:rPr>
      </w:pPr>
    </w:p>
    <w:p>
      <w:pPr>
        <w:ind w:left="640" w:right="2519" w:firstLine="944"/>
        <w:spacing w:after="0" w:line="292" w:lineRule="auto"/>
        <w:tabs>
          <w:tab w:leader="none" w:pos="200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it shall ultimately be determined as provided in Section 5.04 that he is not entitled to be indemnified by the corporation as provided under Section 5.01; or</w:t>
      </w:r>
    </w:p>
    <w:p>
      <w:pPr>
        <w:spacing w:after="0" w:line="66" w:lineRule="exact"/>
        <w:rPr>
          <w:rFonts w:ascii="Courier New" w:cs="Courier New" w:eastAsia="Courier New" w:hAnsi="Courier New"/>
          <w:sz w:val="18"/>
          <w:szCs w:val="18"/>
          <w:color w:val="auto"/>
        </w:rPr>
      </w:pPr>
    </w:p>
    <w:p>
      <w:pPr>
        <w:ind w:left="640" w:right="1879" w:firstLine="944"/>
        <w:spacing w:after="0" w:line="285" w:lineRule="auto"/>
        <w:tabs>
          <w:tab w:leader="none" w:pos="200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76" w:lineRule="exact"/>
        <w:rPr>
          <w:sz w:val="20"/>
          <w:szCs w:val="20"/>
          <w:color w:val="auto"/>
        </w:rPr>
      </w:pPr>
    </w:p>
    <w:p>
      <w:pPr>
        <w:ind w:left="640" w:right="1879" w:firstLine="948"/>
        <w:spacing w:after="0" w:line="274" w:lineRule="auto"/>
        <w:rPr>
          <w:sz w:val="20"/>
          <w:szCs w:val="20"/>
          <w:color w:val="auto"/>
        </w:rPr>
      </w:pPr>
      <w:r>
        <w:rPr>
          <w:rFonts w:ascii="Courier New" w:cs="Courier New" w:eastAsia="Courier New" w:hAnsi="Courier New"/>
          <w:sz w:val="18"/>
          <w:szCs w:val="18"/>
          <w:color w:val="auto"/>
        </w:rPr>
        <w:t>Section 5.06. Article FIVE Not Exclusive. The indemnification provided by this Article FIVE shall not be exclusive of, and shall be in addition to, any other rights to which any person seeking indemnification may be entitled</w:t>
      </w:r>
    </w:p>
    <w:p>
      <w:pPr>
        <w:spacing w:after="0" w:line="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28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ind w:left="640" w:right="1879"/>
        <w:spacing w:after="0" w:line="250" w:lineRule="auto"/>
        <w:rPr>
          <w:sz w:val="20"/>
          <w:szCs w:val="20"/>
          <w:color w:val="auto"/>
        </w:rPr>
      </w:pPr>
      <w:r>
        <w:rPr>
          <w:rFonts w:ascii="Courier New" w:cs="Courier New" w:eastAsia="Courier New" w:hAnsi="Courier New"/>
          <w:sz w:val="18"/>
          <w:szCs w:val="18"/>
          <w:color w:val="auto"/>
        </w:rPr>
        <w:t>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102" w:lineRule="exact"/>
        <w:rPr>
          <w:sz w:val="20"/>
          <w:szCs w:val="20"/>
          <w:color w:val="auto"/>
        </w:rPr>
      </w:pPr>
    </w:p>
    <w:p>
      <w:pPr>
        <w:ind w:left="640" w:right="1779" w:firstLine="948"/>
        <w:spacing w:after="0" w:line="280" w:lineRule="auto"/>
        <w:rPr>
          <w:sz w:val="20"/>
          <w:szCs w:val="20"/>
          <w:color w:val="auto"/>
        </w:rPr>
      </w:pPr>
      <w:r>
        <w:rPr>
          <w:rFonts w:ascii="Courier New" w:cs="Courier New" w:eastAsia="Courier New" w:hAnsi="Courier New"/>
          <w:sz w:val="16"/>
          <w:szCs w:val="16"/>
          <w:color w:val="auto"/>
        </w:rPr>
        <w:t>Section 5.07. Insurance.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29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Section 5.08. Certain Definitions. For purposes of this</w:t>
      </w:r>
    </w:p>
    <w:p>
      <w:pPr>
        <w:spacing w:after="0" w:line="3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Article FIVE, and as examples and not by way of limitation:</w:t>
      </w:r>
    </w:p>
    <w:p>
      <w:pPr>
        <w:spacing w:after="0" w:line="169" w:lineRule="exact"/>
        <w:rPr>
          <w:sz w:val="20"/>
          <w:szCs w:val="20"/>
          <w:color w:val="auto"/>
        </w:rPr>
      </w:pPr>
    </w:p>
    <w:p>
      <w:pPr>
        <w:ind w:left="640" w:right="1779" w:firstLine="944"/>
        <w:spacing w:after="0" w:line="283" w:lineRule="auto"/>
        <w:tabs>
          <w:tab w:leader="none" w:pos="200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79" w:lineRule="exact"/>
        <w:rPr>
          <w:rFonts w:ascii="Courier New" w:cs="Courier New" w:eastAsia="Courier New" w:hAnsi="Courier New"/>
          <w:sz w:val="16"/>
          <w:szCs w:val="16"/>
          <w:color w:val="auto"/>
        </w:rPr>
      </w:pPr>
    </w:p>
    <w:p>
      <w:pPr>
        <w:ind w:left="640" w:right="1779" w:firstLine="944"/>
        <w:spacing w:after="0" w:line="247" w:lineRule="auto"/>
        <w:tabs>
          <w:tab w:leader="none" w:pos="200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 an employee benefit plan shall be deemed to have acted in a manner "not opposed to the best interests of the corporation" within the meaning of that term as used in this Article FIVE.</w:t>
      </w:r>
    </w:p>
    <w:p>
      <w:pPr>
        <w:spacing w:after="0" w:line="108" w:lineRule="exact"/>
        <w:rPr>
          <w:sz w:val="20"/>
          <w:szCs w:val="20"/>
          <w:color w:val="auto"/>
        </w:rPr>
      </w:pPr>
    </w:p>
    <w:p>
      <w:pPr>
        <w:ind w:left="640" w:right="2099" w:firstLine="948"/>
        <w:spacing w:after="0" w:line="292" w:lineRule="auto"/>
        <w:rPr>
          <w:sz w:val="20"/>
          <w:szCs w:val="20"/>
          <w:color w:val="auto"/>
        </w:rPr>
      </w:pPr>
      <w:r>
        <w:rPr>
          <w:rFonts w:ascii="Courier New" w:cs="Courier New" w:eastAsia="Courier New" w:hAnsi="Courier New"/>
          <w:sz w:val="18"/>
          <w:szCs w:val="18"/>
          <w:color w:val="auto"/>
        </w:rPr>
        <w:t>Section 5.09. Venue. Any action, suit or proceeding to determine a claim for indemnification under this Article FIVE may be maintained by the</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285"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ind w:left="960" w:right="1779"/>
        <w:spacing w:after="0" w:line="295" w:lineRule="auto"/>
        <w:rPr>
          <w:sz w:val="20"/>
          <w:szCs w:val="20"/>
          <w:color w:val="auto"/>
        </w:rPr>
      </w:pPr>
      <w:r>
        <w:rPr>
          <w:rFonts w:ascii="Courier New" w:cs="Courier New" w:eastAsia="Courier New" w:hAnsi="Courier New"/>
          <w:sz w:val="16"/>
          <w:szCs w:val="16"/>
          <w:color w:val="auto"/>
        </w:rPr>
        <w:t>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70" w:lineRule="exact"/>
        <w:rPr>
          <w:sz w:val="20"/>
          <w:szCs w:val="20"/>
          <w:color w:val="auto"/>
        </w:rPr>
      </w:pPr>
    </w:p>
    <w:p>
      <w:pPr>
        <w:ind w:right="2419" w:firstLine="1896"/>
        <w:spacing w:after="0" w:line="402" w:lineRule="auto"/>
        <w:rPr>
          <w:sz w:val="20"/>
          <w:szCs w:val="20"/>
          <w:color w:val="auto"/>
        </w:rPr>
      </w:pPr>
      <w:r>
        <w:rPr>
          <w:rFonts w:ascii="Courier New" w:cs="Courier New" w:eastAsia="Courier New" w:hAnsi="Courier New"/>
          <w:sz w:val="16"/>
          <w:szCs w:val="16"/>
          <w:color w:val="auto"/>
        </w:rPr>
        <w:t>Division (E) of Section 1701.13 of the Ohio Revised Code addresses indemnification by an Ohio corporation and provides as follows:</w:t>
      </w:r>
    </w:p>
    <w:p>
      <w:pPr>
        <w:spacing w:after="0" w:line="1" w:lineRule="exact"/>
        <w:rPr>
          <w:sz w:val="20"/>
          <w:szCs w:val="20"/>
          <w:color w:val="auto"/>
        </w:rPr>
      </w:pPr>
    </w:p>
    <w:p>
      <w:pPr>
        <w:ind w:left="960" w:right="1779" w:firstLine="948"/>
        <w:spacing w:after="0" w:line="243" w:lineRule="auto"/>
        <w:rPr>
          <w:sz w:val="20"/>
          <w:szCs w:val="20"/>
          <w:color w:val="auto"/>
        </w:rPr>
      </w:pPr>
      <w:r>
        <w:rPr>
          <w:rFonts w:ascii="Courier New" w:cs="Courier New" w:eastAsia="Courier New" w:hAnsi="Courier New"/>
          <w:sz w:val="18"/>
          <w:szCs w:val="18"/>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109" w:lineRule="exact"/>
        <w:rPr>
          <w:sz w:val="20"/>
          <w:szCs w:val="20"/>
          <w:color w:val="auto"/>
        </w:rPr>
      </w:pPr>
    </w:p>
    <w:p>
      <w:pPr>
        <w:ind w:left="960" w:right="1779" w:firstLine="944"/>
        <w:spacing w:after="0" w:line="279" w:lineRule="auto"/>
        <w:tabs>
          <w:tab w:leader="none" w:pos="232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291" w:lineRule="exact"/>
        <w:rPr>
          <w:sz w:val="20"/>
          <w:szCs w:val="20"/>
          <w:color w:val="auto"/>
        </w:rPr>
      </w:pPr>
    </w:p>
    <w:p>
      <w:pPr>
        <w:ind w:left="960" w:right="1999" w:firstLine="944"/>
        <w:spacing w:after="0" w:line="292" w:lineRule="auto"/>
        <w:tabs>
          <w:tab w:leader="none" w:pos="23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claim, issue, or matter as to which such person is adjudged to be liable for negligence or misconduct in the performance of his duty to the</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ind w:left="640" w:right="1779"/>
        <w:spacing w:after="0" w:line="290" w:lineRule="auto"/>
        <w:rPr>
          <w:sz w:val="20"/>
          <w:szCs w:val="20"/>
          <w:color w:val="auto"/>
        </w:rPr>
      </w:pPr>
      <w:r>
        <w:rPr>
          <w:rFonts w:ascii="Courier New" w:cs="Courier New" w:eastAsia="Courier New" w:hAnsi="Courier New"/>
          <w:sz w:val="16"/>
          <w:szCs w:val="16"/>
          <w:color w:val="auto"/>
        </w:rPr>
        <w:t>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pacing w:after="0" w:line="72" w:lineRule="exact"/>
        <w:rPr>
          <w:sz w:val="20"/>
          <w:szCs w:val="20"/>
          <w:color w:val="auto"/>
        </w:rPr>
      </w:pPr>
    </w:p>
    <w:p>
      <w:pPr>
        <w:ind w:left="640" w:right="1879" w:firstLine="944"/>
        <w:spacing w:after="0" w:line="402" w:lineRule="auto"/>
        <w:tabs>
          <w:tab w:leader="none" w:pos="200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or suit in which the only liability asserted against a director is pursuant to section 1701.95 of the Revised Code.</w:t>
      </w:r>
    </w:p>
    <w:p>
      <w:pPr>
        <w:spacing w:after="0" w:line="1" w:lineRule="exact"/>
        <w:rPr>
          <w:sz w:val="20"/>
          <w:szCs w:val="20"/>
          <w:color w:val="auto"/>
        </w:rPr>
      </w:pPr>
    </w:p>
    <w:p>
      <w:pPr>
        <w:ind w:left="640" w:right="1779" w:firstLine="944"/>
        <w:spacing w:after="0" w:line="256" w:lineRule="auto"/>
        <w:tabs>
          <w:tab w:leader="none" w:pos="200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98" w:lineRule="exact"/>
        <w:rPr>
          <w:rFonts w:ascii="Courier New" w:cs="Courier New" w:eastAsia="Courier New" w:hAnsi="Courier New"/>
          <w:sz w:val="18"/>
          <w:szCs w:val="18"/>
          <w:color w:val="auto"/>
        </w:rPr>
      </w:pPr>
    </w:p>
    <w:p>
      <w:pPr>
        <w:ind w:left="640" w:right="1779" w:firstLine="944"/>
        <w:spacing w:after="0" w:line="256" w:lineRule="auto"/>
        <w:tabs>
          <w:tab w:leader="none" w:pos="200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indemnification under division (E)(1) or (2) 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(E)(l) or (2) of this section. Such determination shall be made as follows:</w:t>
      </w:r>
    </w:p>
    <w:p>
      <w:pPr>
        <w:spacing w:after="0" w:line="98" w:lineRule="exact"/>
        <w:rPr>
          <w:sz w:val="20"/>
          <w:szCs w:val="20"/>
          <w:color w:val="auto"/>
        </w:rPr>
      </w:pPr>
    </w:p>
    <w:p>
      <w:pPr>
        <w:ind w:left="640" w:right="1779" w:firstLine="944"/>
        <w:spacing w:after="0" w:line="274" w:lineRule="auto"/>
        <w:tabs>
          <w:tab w:leader="none" w:pos="200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81" w:lineRule="exact"/>
        <w:rPr>
          <w:rFonts w:ascii="Courier New" w:cs="Courier New" w:eastAsia="Courier New" w:hAnsi="Courier New"/>
          <w:sz w:val="18"/>
          <w:szCs w:val="18"/>
          <w:color w:val="auto"/>
        </w:rPr>
      </w:pPr>
    </w:p>
    <w:p>
      <w:pPr>
        <w:ind w:left="640" w:right="1779" w:firstLine="944"/>
        <w:spacing w:after="0" w:line="256" w:lineRule="auto"/>
        <w:tabs>
          <w:tab w:leader="none" w:pos="200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98" w:lineRule="exact"/>
        <w:rPr>
          <w:rFonts w:ascii="Courier New" w:cs="Courier New" w:eastAsia="Courier New" w:hAnsi="Courier New"/>
          <w:sz w:val="18"/>
          <w:szCs w:val="18"/>
          <w:color w:val="auto"/>
        </w:rPr>
      </w:pPr>
    </w:p>
    <w:p>
      <w:pPr>
        <w:ind w:left="2540" w:hanging="956"/>
        <w:spacing w:after="0"/>
        <w:tabs>
          <w:tab w:leader="none" w:pos="2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shareholders;</w:t>
      </w:r>
    </w:p>
    <w:p>
      <w:pPr>
        <w:spacing w:after="0" w:line="201" w:lineRule="exact"/>
        <w:rPr>
          <w:rFonts w:ascii="Courier New" w:cs="Courier New" w:eastAsia="Courier New" w:hAnsi="Courier New"/>
          <w:sz w:val="18"/>
          <w:szCs w:val="18"/>
          <w:color w:val="auto"/>
        </w:rPr>
      </w:pPr>
    </w:p>
    <w:p>
      <w:pPr>
        <w:ind w:left="640" w:right="2099" w:firstLine="944"/>
        <w:spacing w:after="0" w:line="292" w:lineRule="auto"/>
        <w:tabs>
          <w:tab w:leader="none" w:pos="200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court of common pleas or the court in which the action, suit, or proceeding referred to in division (E)(1) or (2) of this section was brought.</w:t>
      </w:r>
    </w:p>
    <w:p>
      <w:pPr>
        <w:spacing w:after="0" w:line="66" w:lineRule="exact"/>
        <w:rPr>
          <w:sz w:val="20"/>
          <w:szCs w:val="20"/>
          <w:color w:val="auto"/>
        </w:rPr>
      </w:pPr>
    </w:p>
    <w:p>
      <w:pPr>
        <w:ind w:left="640" w:right="1779" w:firstLine="948"/>
        <w:spacing w:after="0" w:line="289" w:lineRule="auto"/>
        <w:rPr>
          <w:sz w:val="20"/>
          <w:szCs w:val="20"/>
          <w:color w:val="auto"/>
        </w:rPr>
      </w:pPr>
      <w:r>
        <w:rPr>
          <w:rFonts w:ascii="Courier New" w:cs="Courier New" w:eastAsia="Courier New" w:hAnsi="Courier New"/>
          <w:sz w:val="16"/>
          <w:szCs w:val="16"/>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28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9</w:t>
      </w:r>
    </w:p>
    <w:p>
      <w:pPr>
        <w:spacing w:after="0" w:line="31" w:lineRule="exact"/>
        <w:rPr>
          <w:sz w:val="20"/>
          <w:szCs w:val="20"/>
          <w:color w:val="auto"/>
        </w:rPr>
      </w:pPr>
    </w:p>
    <w:p>
      <w:pPr>
        <w:ind w:left="640" w:right="1779" w:firstLine="948"/>
        <w:spacing w:after="0" w:line="277" w:lineRule="auto"/>
        <w:rPr>
          <w:sz w:val="20"/>
          <w:szCs w:val="20"/>
          <w:color w:val="auto"/>
        </w:rPr>
      </w:pPr>
      <w:r>
        <w:rPr>
          <w:rFonts w:ascii="Courier New" w:cs="Courier New" w:eastAsia="Courier New" w:hAnsi="Courier New"/>
          <w:sz w:val="16"/>
          <w:szCs w:val="16"/>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294" w:lineRule="exact"/>
        <w:rPr>
          <w:sz w:val="20"/>
          <w:szCs w:val="20"/>
          <w:color w:val="auto"/>
        </w:rPr>
      </w:pPr>
    </w:p>
    <w:p>
      <w:pPr>
        <w:ind w:left="640" w:right="1879" w:firstLine="944"/>
        <w:spacing w:after="0" w:line="265" w:lineRule="auto"/>
        <w:tabs>
          <w:tab w:leader="none" w:pos="200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pacing w:after="0" w:line="89" w:lineRule="exact"/>
        <w:rPr>
          <w:rFonts w:ascii="Courier New" w:cs="Courier New" w:eastAsia="Courier New" w:hAnsi="Courier New"/>
          <w:sz w:val="18"/>
          <w:szCs w:val="18"/>
          <w:color w:val="auto"/>
        </w:rPr>
      </w:pPr>
    </w:p>
    <w:p>
      <w:pPr>
        <w:ind w:left="640" w:right="1879" w:firstLine="944"/>
        <w:spacing w:after="0" w:line="347" w:lineRule="auto"/>
        <w:tabs>
          <w:tab w:leader="none" w:pos="211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Reasonably cooperate with the corporation concerning the action, suit, or proceeding.</w:t>
      </w:r>
    </w:p>
    <w:p>
      <w:pPr>
        <w:spacing w:after="0" w:line="18" w:lineRule="exact"/>
        <w:rPr>
          <w:sz w:val="20"/>
          <w:szCs w:val="20"/>
          <w:color w:val="auto"/>
        </w:rPr>
      </w:pPr>
    </w:p>
    <w:p>
      <w:pPr>
        <w:ind w:left="640" w:right="1879" w:firstLine="944"/>
        <w:spacing w:after="0" w:line="250" w:lineRule="auto"/>
        <w:tabs>
          <w:tab w:leader="none" w:pos="200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104" w:lineRule="exact"/>
        <w:rPr>
          <w:sz w:val="20"/>
          <w:szCs w:val="20"/>
          <w:color w:val="auto"/>
        </w:rPr>
      </w:pPr>
    </w:p>
    <w:p>
      <w:pPr>
        <w:ind w:left="640" w:right="1879" w:firstLine="944"/>
        <w:spacing w:after="0" w:line="250" w:lineRule="auto"/>
        <w:tabs>
          <w:tab w:leader="none" w:pos="200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104" w:lineRule="exact"/>
        <w:rPr>
          <w:rFonts w:ascii="Courier New" w:cs="Courier New" w:eastAsia="Courier New" w:hAnsi="Courier New"/>
          <w:sz w:val="18"/>
          <w:szCs w:val="18"/>
          <w:color w:val="auto"/>
        </w:rPr>
      </w:pPr>
    </w:p>
    <w:p>
      <w:pPr>
        <w:ind w:left="640" w:right="1779" w:firstLine="944"/>
        <w:spacing w:after="0" w:line="250" w:lineRule="auto"/>
        <w:tabs>
          <w:tab w:leader="none" w:pos="200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w:t>
      </w:r>
    </w:p>
    <w:p>
      <w:pPr>
        <w:spacing w:after="0" w:line="1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285"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left="960" w:right="1999"/>
        <w:spacing w:after="0" w:line="262" w:lineRule="auto"/>
        <w:rPr>
          <w:sz w:val="20"/>
          <w:szCs w:val="20"/>
          <w:color w:val="auto"/>
        </w:rPr>
      </w:pPr>
      <w:r>
        <w:rPr>
          <w:rFonts w:ascii="Courier New" w:cs="Courier New" w:eastAsia="Courier New" w:hAnsi="Courier New"/>
          <w:sz w:val="18"/>
          <w:szCs w:val="18"/>
          <w:color w:val="auto"/>
        </w:rPr>
        <w:t>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90" w:lineRule="exact"/>
        <w:rPr>
          <w:sz w:val="20"/>
          <w:szCs w:val="20"/>
          <w:color w:val="auto"/>
        </w:rPr>
      </w:pPr>
    </w:p>
    <w:p>
      <w:pPr>
        <w:ind w:left="960" w:right="1879" w:firstLine="944"/>
        <w:spacing w:after="0" w:line="278" w:lineRule="auto"/>
        <w:tabs>
          <w:tab w:leader="none" w:pos="232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of a corporation to indemnify persons pursuant to division (E)(1) or (2) of this section does not limit the payment of expenses as they are incurred, indemnification, insurance, or other protection that may be provided pursuant to divisions (E)(5),</w:t>
      </w:r>
    </w:p>
    <w:p>
      <w:pPr>
        <w:spacing w:after="0" w:line="2" w:lineRule="exact"/>
        <w:rPr>
          <w:rFonts w:ascii="Courier New" w:cs="Courier New" w:eastAsia="Courier New" w:hAnsi="Courier New"/>
          <w:sz w:val="16"/>
          <w:szCs w:val="16"/>
          <w:color w:val="auto"/>
        </w:rPr>
      </w:pPr>
    </w:p>
    <w:p>
      <w:pPr>
        <w:ind w:left="960" w:right="187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and (7) of this section. Divisions (E)(1) and (2) of this section do not create any obligation to repay or return payments made by the corporation pursuant to division (E)(5), (6), or (7).</w:t>
      </w:r>
    </w:p>
    <w:p>
      <w:pPr>
        <w:spacing w:after="0" w:line="82" w:lineRule="exact"/>
        <w:rPr>
          <w:rFonts w:ascii="Courier New" w:cs="Courier New" w:eastAsia="Courier New" w:hAnsi="Courier New"/>
          <w:sz w:val="16"/>
          <w:szCs w:val="16"/>
          <w:color w:val="auto"/>
        </w:rPr>
      </w:pPr>
    </w:p>
    <w:p>
      <w:pPr>
        <w:ind w:left="960" w:right="1779" w:firstLine="944"/>
        <w:spacing w:after="0" w:line="248" w:lineRule="auto"/>
        <w:tabs>
          <w:tab w:leader="none" w:pos="232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division (E) of this section, references to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105"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The Registrant has purchased insurance coverage under a policy which insures directors and officers against certain liabilities which might be incurred by them in such capacity.</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31"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169"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3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the Index to Exhibits attached hereto and beginning at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14.</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3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169" w:lineRule="exact"/>
        <w:rPr>
          <w:sz w:val="20"/>
          <w:szCs w:val="20"/>
          <w:color w:val="auto"/>
        </w:rPr>
      </w:pPr>
    </w:p>
    <w:p>
      <w:pPr>
        <w:ind w:left="960" w:hanging="952"/>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1" w:lineRule="exact"/>
        <w:rPr>
          <w:rFonts w:ascii="Courier New" w:cs="Courier New" w:eastAsia="Courier New" w:hAnsi="Courier New"/>
          <w:sz w:val="18"/>
          <w:szCs w:val="18"/>
          <w:color w:val="auto"/>
        </w:rPr>
      </w:pPr>
    </w:p>
    <w:p>
      <w:pPr>
        <w:ind w:left="1900" w:right="1879" w:hanging="944"/>
        <w:spacing w:after="0" w:line="292" w:lineRule="auto"/>
        <w:tabs>
          <w:tab w:leader="none" w:pos="19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66" w:lineRule="exact"/>
        <w:rPr>
          <w:rFonts w:ascii="Courier New" w:cs="Courier New" w:eastAsia="Courier New" w:hAnsi="Courier New"/>
          <w:sz w:val="18"/>
          <w:szCs w:val="18"/>
          <w:color w:val="auto"/>
        </w:rPr>
      </w:pPr>
    </w:p>
    <w:p>
      <w:pPr>
        <w:ind w:left="2860" w:right="2619" w:hanging="956"/>
        <w:spacing w:after="0" w:line="402" w:lineRule="auto"/>
        <w:tabs>
          <w:tab w:leader="none" w:pos="2860" w:val="left"/>
        </w:tabs>
        <w:numPr>
          <w:ilvl w:val="2"/>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ind w:left="2860" w:right="1879" w:hanging="956"/>
        <w:spacing w:after="0" w:line="265" w:lineRule="auto"/>
        <w:tabs>
          <w:tab w:leader="none" w:pos="286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285" w:right="1440" w:bottom="1440" w:gutter="0" w:footer="0" w:header="0"/>
        </w:sectPr>
      </w:pPr>
    </w:p>
    <w:bookmarkStart w:id="10" w:name="page11"/>
    <w:bookmarkEnd w:id="10"/>
    <w:p>
      <w:pPr>
        <w:ind w:left="312"/>
        <w:spacing w:after="0"/>
        <w:rPr>
          <w:sz w:val="20"/>
          <w:szCs w:val="20"/>
          <w:color w:val="auto"/>
        </w:rPr>
      </w:pPr>
      <w:r>
        <w:rPr>
          <w:rFonts w:ascii="Courier New" w:cs="Courier New" w:eastAsia="Courier New" w:hAnsi="Courier New"/>
          <w:sz w:val="18"/>
          <w:szCs w:val="18"/>
          <w:color w:val="auto"/>
        </w:rPr>
        <w:t>11</w:t>
      </w:r>
    </w:p>
    <w:p>
      <w:pPr>
        <w:spacing w:after="0" w:line="31" w:lineRule="exact"/>
        <w:rPr>
          <w:sz w:val="20"/>
          <w:szCs w:val="20"/>
          <w:color w:val="auto"/>
        </w:rPr>
      </w:pPr>
    </w:p>
    <w:p>
      <w:pPr>
        <w:ind w:left="2852" w:right="2199"/>
        <w:spacing w:after="0" w:line="309" w:lineRule="auto"/>
        <w:rPr>
          <w:sz w:val="20"/>
          <w:szCs w:val="20"/>
          <w:color w:val="auto"/>
        </w:rPr>
      </w:pPr>
      <w:r>
        <w:rPr>
          <w:rFonts w:ascii="Courier New" w:cs="Courier New" w:eastAsia="Courier New" w:hAnsi="Courier New"/>
          <w:sz w:val="18"/>
          <w:szCs w:val="18"/>
          <w:color w:val="auto"/>
        </w:rPr>
        <w:t>mental change in the information set forth in the registration statement; and</w:t>
      </w:r>
    </w:p>
    <w:p>
      <w:pPr>
        <w:spacing w:after="0" w:line="51" w:lineRule="exact"/>
        <w:rPr>
          <w:sz w:val="20"/>
          <w:szCs w:val="20"/>
          <w:color w:val="auto"/>
        </w:rPr>
      </w:pPr>
    </w:p>
    <w:p>
      <w:pPr>
        <w:ind w:left="2852" w:right="1879" w:hanging="956"/>
        <w:spacing w:after="0" w:line="318" w:lineRule="auto"/>
        <w:tabs>
          <w:tab w:leader="none" w:pos="285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sz w:val="20"/>
          <w:szCs w:val="20"/>
          <w:color w:val="auto"/>
        </w:rPr>
      </w:pPr>
    </w:p>
    <w:p>
      <w:pPr>
        <w:ind w:left="1892" w:right="1779"/>
        <w:spacing w:after="0" w:line="256" w:lineRule="auto"/>
        <w:rPr>
          <w:sz w:val="20"/>
          <w:szCs w:val="20"/>
          <w:color w:val="auto"/>
        </w:rPr>
      </w:pPr>
      <w:r>
        <w:rPr>
          <w:rFonts w:ascii="Courier New" w:cs="Courier New" w:eastAsia="Courier New" w:hAnsi="Courier New"/>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98" w:lineRule="exact"/>
        <w:rPr>
          <w:sz w:val="20"/>
          <w:szCs w:val="20"/>
          <w:color w:val="auto"/>
        </w:rPr>
      </w:pPr>
    </w:p>
    <w:p>
      <w:pPr>
        <w:ind w:left="1892" w:right="1779" w:hanging="944"/>
        <w:spacing w:after="0" w:line="260" w:lineRule="auto"/>
        <w:tabs>
          <w:tab w:leader="none" w:pos="1892"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Courier New" w:cs="Courier New" w:eastAsia="Courier New" w:hAnsi="Courier New"/>
          <w:sz w:val="18"/>
          <w:szCs w:val="18"/>
          <w:color w:val="auto"/>
        </w:rPr>
      </w:pPr>
    </w:p>
    <w:p>
      <w:pPr>
        <w:ind w:left="1892" w:right="1879" w:hanging="944"/>
        <w:spacing w:after="0" w:line="292" w:lineRule="auto"/>
        <w:tabs>
          <w:tab w:leader="none" w:pos="1892"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66" w:lineRule="exact"/>
        <w:rPr>
          <w:rFonts w:ascii="Courier New" w:cs="Courier New" w:eastAsia="Courier New" w:hAnsi="Courier New"/>
          <w:sz w:val="18"/>
          <w:szCs w:val="18"/>
          <w:color w:val="auto"/>
        </w:rPr>
      </w:pPr>
    </w:p>
    <w:p>
      <w:pPr>
        <w:ind w:left="952" w:right="1779" w:hanging="952"/>
        <w:spacing w:after="0" w:line="253" w:lineRule="auto"/>
        <w:tabs>
          <w:tab w:leader="none" w:pos="95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3" w:lineRule="exact"/>
        <w:rPr>
          <w:rFonts w:ascii="Courier New" w:cs="Courier New" w:eastAsia="Courier New" w:hAnsi="Courier New"/>
          <w:sz w:val="18"/>
          <w:szCs w:val="18"/>
          <w:color w:val="auto"/>
        </w:rPr>
      </w:pPr>
    </w:p>
    <w:p>
      <w:pPr>
        <w:ind w:left="952" w:right="1779" w:hanging="952"/>
        <w:spacing w:after="0" w:line="277" w:lineRule="auto"/>
        <w:tabs>
          <w:tab w:leader="none" w:pos="95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provisions described in Item 6 of this Part II,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9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1"/>
          </w:cols>
          <w:pgMar w:left="248" w:top="285"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169"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Marysville, State of Ohio, on the 20th day of April, 1999.</w:t>
      </w:r>
    </w:p>
    <w:p>
      <w:pPr>
        <w:spacing w:after="0" w:line="9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By:/s/ Charles M. Berger</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Charles M. Berger, Chairman of the Board,</w:t>
      </w:r>
    </w:p>
    <w:p>
      <w:pPr>
        <w:spacing w:after="0" w:line="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169" w:lineRule="exact"/>
        <w:rPr>
          <w:sz w:val="20"/>
          <w:szCs w:val="20"/>
          <w:color w:val="auto"/>
        </w:rPr>
      </w:pPr>
    </w:p>
    <w:p>
      <w:pPr>
        <w:ind w:right="2519" w:firstLine="948"/>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April 20, 1999.</w:t>
      </w:r>
    </w:p>
    <w:p>
      <w:pPr>
        <w:sectPr>
          <w:pgSz w:w="11900" w:h="16838" w:orient="portrait"/>
          <w:cols w:equalWidth="0" w:num="1">
            <w:col w:w="10219"/>
          </w:cols>
          <w:pgMar w:left="240" w:top="285" w:right="1440" w:bottom="1440" w:gutter="0" w:footer="0" w:header="0"/>
        </w:sectPr>
      </w:pP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ectPr>
          <w:pgSz w:w="11900" w:h="16838" w:orient="portrait"/>
          <w:cols w:equalWidth="0" w:num="2">
            <w:col w:w="3820" w:space="720"/>
            <w:col w:w="5679"/>
          </w:cols>
          <w:pgMar w:left="240" w:top="28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James B Beard, Ph.D.*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75" w:lineRule="exact"/>
        <w:rPr>
          <w:sz w:val="20"/>
          <w:szCs w:val="20"/>
          <w:color w:val="auto"/>
        </w:rPr>
      </w:pPr>
    </w:p>
    <w:p>
      <w:pPr>
        <w:sectPr>
          <w:pgSz w:w="11900" w:h="16838" w:orient="portrait"/>
          <w:cols w:equalWidth="0" w:num="2">
            <w:col w:w="3820" w:space="720"/>
            <w:col w:w="5679"/>
          </w:cols>
          <w:pgMar w:left="240" w:top="285" w:right="1440" w:bottom="1440" w:gutter="0" w:footer="0" w:header="0"/>
          <w:type w:val="continuous"/>
        </w:sect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James B Beard, Ph.D.</w:t>
      </w:r>
    </w:p>
    <w:p>
      <w:pPr>
        <w:sectPr>
          <w:pgSz w:w="11900" w:h="16838" w:orient="portrait"/>
          <w:cols w:equalWidth="0" w:num="1">
            <w:col w:w="10219"/>
          </w:cols>
          <w:pgMar w:left="240" w:top="285"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M. Berger*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M. Berger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tabs>
          <w:tab w:leader="none" w:pos="1040" w:val="left"/>
          <w:tab w:leader="none" w:pos="1460" w:val="left"/>
          <w:tab w:leader="none" w:pos="1980" w:val="left"/>
        </w:tabs>
        <w:rPr>
          <w:sz w:val="20"/>
          <w:szCs w:val="20"/>
          <w:color w:val="auto"/>
        </w:rPr>
      </w:pPr>
      <w:r>
        <w:rPr>
          <w:rFonts w:ascii="Courier New" w:cs="Courier New" w:eastAsia="Courier New" w:hAnsi="Courier New"/>
          <w:sz w:val="18"/>
          <w:szCs w:val="18"/>
          <w:color w:val="auto"/>
        </w:rPr>
        <w:t>Chairman</w:t>
        <w:tab/>
        <w:t>of</w:t>
        <w:tab/>
        <w:t>the</w:t>
      </w:r>
      <w:r>
        <w:rPr>
          <w:sz w:val="20"/>
          <w:szCs w:val="20"/>
          <w:color w:val="auto"/>
        </w:rPr>
        <w:tab/>
      </w:r>
      <w:r>
        <w:rPr>
          <w:rFonts w:ascii="Courier New" w:cs="Courier New" w:eastAsia="Courier New" w:hAnsi="Courier New"/>
          <w:sz w:val="16"/>
          <w:szCs w:val="16"/>
          <w:color w:val="auto"/>
        </w:rPr>
        <w:t>Board/President/</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Chief Executive Officer</w:t>
      </w:r>
    </w:p>
    <w:p>
      <w:pPr>
        <w:spacing w:after="0" w:line="371" w:lineRule="exact"/>
        <w:rPr>
          <w:sz w:val="20"/>
          <w:szCs w:val="20"/>
          <w:color w:val="auto"/>
        </w:rPr>
      </w:pPr>
    </w:p>
    <w:p>
      <w:pPr>
        <w:sectPr>
          <w:pgSz w:w="11900" w:h="16838" w:orient="portrait"/>
          <w:cols w:equalWidth="0" w:num="2">
            <w:col w:w="3820" w:space="720"/>
            <w:col w:w="5679"/>
          </w:cols>
          <w:pgMar w:left="240" w:top="285"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Joseph P. Flannery*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P. Flannery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8" w:lineRule="exact"/>
        <w:rPr>
          <w:sz w:val="20"/>
          <w:szCs w:val="20"/>
          <w:color w:val="auto"/>
        </w:rPr>
      </w:pPr>
    </w:p>
    <w:p>
      <w:pPr>
        <w:sectPr>
          <w:pgSz w:w="11900" w:h="16838" w:orient="portrait"/>
          <w:cols w:equalWidth="0" w:num="2">
            <w:col w:w="3820" w:space="720"/>
            <w:col w:w="5679"/>
          </w:cols>
          <w:pgMar w:left="240" w:top="285"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Horace Hagedorn*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Horace Hagedorn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Chairman/Director</w:t>
      </w:r>
    </w:p>
    <w:p>
      <w:pPr>
        <w:spacing w:after="0" w:line="628" w:lineRule="exact"/>
        <w:rPr>
          <w:sz w:val="20"/>
          <w:szCs w:val="20"/>
          <w:color w:val="auto"/>
        </w:rPr>
      </w:pPr>
    </w:p>
    <w:p>
      <w:pPr>
        <w:sectPr>
          <w:pgSz w:w="11900" w:h="16838" w:orient="portrait"/>
          <w:cols w:equalWidth="0" w:num="2">
            <w:col w:w="3820" w:space="720"/>
            <w:col w:w="5679"/>
          </w:cols>
          <w:pgMar w:left="240" w:top="285"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James Hagedorn*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Hagedorn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of Scotts North America/</w:t>
      </w:r>
    </w:p>
    <w:p>
      <w:pPr>
        <w:spacing w:after="0" w:line="5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Director</w:t>
      </w:r>
    </w:p>
    <w:p>
      <w:pPr>
        <w:spacing w:after="0" w:line="371" w:lineRule="exact"/>
        <w:rPr>
          <w:sz w:val="20"/>
          <w:szCs w:val="20"/>
          <w:color w:val="auto"/>
        </w:rPr>
      </w:pPr>
    </w:p>
    <w:p>
      <w:pPr>
        <w:sectPr>
          <w:pgSz w:w="11900" w:h="16838" w:orient="portrait"/>
          <w:cols w:equalWidth="0" w:num="2">
            <w:col w:w="3820" w:space="720"/>
            <w:col w:w="5679"/>
          </w:cols>
          <w:pgMar w:left="240" w:top="285"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Albert E. Harris*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Albert E. Harris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628" w:lineRule="exact"/>
        <w:rPr>
          <w:sz w:val="20"/>
          <w:szCs w:val="20"/>
          <w:color w:val="auto"/>
        </w:rPr>
      </w:pPr>
    </w:p>
    <w:p>
      <w:pPr>
        <w:sectPr>
          <w:pgSz w:w="11900" w:h="16838" w:orient="portrait"/>
          <w:cols w:equalWidth="0" w:num="2">
            <w:col w:w="3820" w:space="720"/>
            <w:col w:w="5679"/>
          </w:cols>
          <w:pgMar w:left="240" w:top="285" w:right="1440" w:bottom="1440" w:gutter="0" w:footer="0" w:header="0"/>
          <w:type w:val="continuous"/>
        </w:sectPr>
      </w:pPr>
    </w:p>
    <w:p>
      <w:pPr>
        <w:spacing w:after="0"/>
        <w:tabs>
          <w:tab w:leader="none" w:pos="4520" w:val="left"/>
        </w:tabs>
        <w:rPr>
          <w:sz w:val="20"/>
          <w:szCs w:val="20"/>
          <w:color w:val="auto"/>
        </w:rPr>
      </w:pPr>
      <w:r>
        <w:rPr>
          <w:rFonts w:ascii="Courier New" w:cs="Courier New" w:eastAsia="Courier New" w:hAnsi="Courier New"/>
          <w:sz w:val="18"/>
          <w:szCs w:val="18"/>
          <w:color w:val="auto"/>
        </w:rPr>
        <w:t>John Kenlon*</w:t>
      </w:r>
      <w:r>
        <w:rPr>
          <w:sz w:val="20"/>
          <w:szCs w:val="20"/>
          <w:color w:val="auto"/>
        </w:rPr>
        <w:tab/>
      </w:r>
      <w:r>
        <w:rPr>
          <w:rFonts w:ascii="Courier New" w:cs="Courier New" w:eastAsia="Courier New" w:hAnsi="Courier New"/>
          <w:sz w:val="16"/>
          <w:szCs w:val="16"/>
          <w:color w:val="auto"/>
        </w:rPr>
        <w:t>Director</w:t>
      </w:r>
    </w:p>
    <w:p>
      <w:pPr>
        <w:spacing w:after="0" w:line="29"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John Kenlon</w:t>
      </w:r>
    </w:p>
    <w:p>
      <w:pPr>
        <w:spacing w:after="0" w:line="169" w:lineRule="exact"/>
        <w:rPr>
          <w:sz w:val="20"/>
          <w:szCs w:val="20"/>
          <w:color w:val="auto"/>
        </w:rPr>
      </w:pPr>
    </w:p>
    <w:p>
      <w:pPr>
        <w:spacing w:after="0"/>
        <w:tabs>
          <w:tab w:leader="none" w:pos="4520" w:val="left"/>
        </w:tabs>
        <w:rPr>
          <w:sz w:val="20"/>
          <w:szCs w:val="20"/>
          <w:color w:val="auto"/>
        </w:rPr>
      </w:pPr>
      <w:r>
        <w:rPr>
          <w:rFonts w:ascii="Courier New" w:cs="Courier New" w:eastAsia="Courier New" w:hAnsi="Courier New"/>
          <w:sz w:val="18"/>
          <w:szCs w:val="18"/>
          <w:color w:val="auto"/>
        </w:rPr>
        <w:t>Karen Gordon Mills*</w:t>
      </w:r>
      <w:r>
        <w:rPr>
          <w:sz w:val="20"/>
          <w:szCs w:val="20"/>
          <w:color w:val="auto"/>
        </w:rPr>
        <w:tab/>
      </w:r>
      <w:r>
        <w:rPr>
          <w:rFonts w:ascii="Courier New" w:cs="Courier New" w:eastAsia="Courier New" w:hAnsi="Courier New"/>
          <w:sz w:val="16"/>
          <w:szCs w:val="16"/>
          <w:color w:val="auto"/>
        </w:rPr>
        <w:t>Director</w:t>
      </w:r>
    </w:p>
    <w:p>
      <w:pPr>
        <w:spacing w:after="0" w:line="29"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Karen Gordon Mills</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285" w:right="1440"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39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13</w:t>
            </w:r>
          </w:p>
        </w:tc>
        <w:tc>
          <w:tcPr>
            <w:tcW w:w="3800" w:type="dxa"/>
            <w:vAlign w:val="bottom"/>
            <w:vMerge w:val="restart"/>
          </w:tcPr>
          <w:p>
            <w:pPr>
              <w:ind w:left="640"/>
              <w:spacing w:after="0"/>
              <w:rPr>
                <w:sz w:val="20"/>
                <w:szCs w:val="20"/>
                <w:color w:val="auto"/>
              </w:rPr>
            </w:pPr>
            <w:r>
              <w:rPr>
                <w:rFonts w:ascii="Courier New" w:cs="Courier New" w:eastAsia="Courier New" w:hAnsi="Courier New"/>
                <w:sz w:val="18"/>
                <w:szCs w:val="18"/>
                <w:color w:val="auto"/>
                <w:w w:val="96"/>
              </w:rPr>
              <w:t>Executive Vice President/Chief</w:t>
            </w:r>
          </w:p>
        </w:tc>
        <w:tc>
          <w:tcPr>
            <w:tcW w:w="0" w:type="dxa"/>
            <w:vAlign w:val="bottom"/>
          </w:tcPr>
          <w:p>
            <w:pPr>
              <w:spacing w:after="0"/>
              <w:rPr>
                <w:sz w:val="1"/>
                <w:szCs w:val="1"/>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Jean</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 Mordo*</w:t>
            </w:r>
          </w:p>
        </w:tc>
        <w:tc>
          <w:tcPr>
            <w:tcW w:w="3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38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Financial Officer/Principal</w:t>
            </w:r>
          </w:p>
        </w:tc>
        <w:tc>
          <w:tcPr>
            <w:tcW w:w="0" w:type="dxa"/>
            <w:vAlign w:val="bottom"/>
          </w:tcPr>
          <w:p>
            <w:pPr>
              <w:spacing w:after="0"/>
              <w:rPr>
                <w:sz w:val="1"/>
                <w:szCs w:val="1"/>
                <w:color w:val="auto"/>
              </w:rPr>
            </w:pPr>
          </w:p>
        </w:tc>
      </w:tr>
      <w:tr>
        <w:trPr>
          <w:trHeight w:val="296"/>
        </w:trPr>
        <w:tc>
          <w:tcPr>
            <w:tcW w:w="480" w:type="dxa"/>
            <w:vAlign w:val="bottom"/>
          </w:tcPr>
          <w:p>
            <w:pPr>
              <w:spacing w:after="0"/>
              <w:rPr>
                <w:sz w:val="20"/>
                <w:szCs w:val="20"/>
                <w:color w:val="auto"/>
              </w:rPr>
            </w:pPr>
            <w:r>
              <w:rPr>
                <w:rFonts w:ascii="Courier New" w:cs="Courier New" w:eastAsia="Courier New" w:hAnsi="Courier New"/>
                <w:sz w:val="18"/>
                <w:szCs w:val="18"/>
                <w:color w:val="auto"/>
              </w:rPr>
              <w:t>Jean</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H. Mordo</w:t>
            </w:r>
          </w:p>
        </w:tc>
        <w:tc>
          <w:tcPr>
            <w:tcW w:w="3800" w:type="dxa"/>
            <w:vAlign w:val="bottom"/>
          </w:tcPr>
          <w:p>
            <w:pPr>
              <w:ind w:left="640"/>
              <w:spacing w:after="0"/>
              <w:rPr>
                <w:sz w:val="20"/>
                <w:szCs w:val="20"/>
                <w:color w:val="auto"/>
              </w:rPr>
            </w:pPr>
            <w:r>
              <w:rPr>
                <w:rFonts w:ascii="Courier New" w:cs="Courier New" w:eastAsia="Courier New" w:hAnsi="Courier New"/>
                <w:sz w:val="18"/>
                <w:szCs w:val="18"/>
                <w:color w:val="auto"/>
              </w:rPr>
              <w:t>Accounting Officer</w:t>
            </w:r>
          </w:p>
        </w:tc>
        <w:tc>
          <w:tcPr>
            <w:tcW w:w="0" w:type="dxa"/>
            <w:vAlign w:val="bottom"/>
          </w:tcPr>
          <w:p>
            <w:pPr>
              <w:spacing w:after="0"/>
              <w:rPr>
                <w:sz w:val="1"/>
                <w:szCs w:val="1"/>
                <w:color w:val="auto"/>
              </w:rPr>
            </w:pPr>
          </w:p>
        </w:tc>
      </w:tr>
      <w:tr>
        <w:trPr>
          <w:trHeight w:val="343"/>
        </w:trPr>
        <w:tc>
          <w:tcPr>
            <w:tcW w:w="3900" w:type="dxa"/>
            <w:vAlign w:val="bottom"/>
            <w:gridSpan w:val="2"/>
          </w:tcPr>
          <w:p>
            <w:pPr>
              <w:spacing w:after="0"/>
              <w:rPr>
                <w:sz w:val="20"/>
                <w:szCs w:val="20"/>
                <w:color w:val="auto"/>
              </w:rPr>
            </w:pPr>
            <w:r>
              <w:rPr>
                <w:rFonts w:ascii="Courier New" w:cs="Courier New" w:eastAsia="Courier New" w:hAnsi="Courier New"/>
                <w:sz w:val="18"/>
                <w:szCs w:val="18"/>
                <w:color w:val="auto"/>
              </w:rPr>
              <w:t>Patrick J. Norton*</w:t>
            </w:r>
          </w:p>
        </w:tc>
        <w:tc>
          <w:tcPr>
            <w:tcW w:w="3800" w:type="dxa"/>
            <w:vAlign w:val="bottom"/>
          </w:tcPr>
          <w:p>
            <w:pPr>
              <w:ind w:left="640"/>
              <w:spacing w:after="0"/>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bl>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Patrick J. Norton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20"/>
                <w:szCs w:val="20"/>
                <w:color w:val="auto"/>
              </w:rPr>
            </w:pPr>
            <w:r>
              <w:rPr>
                <w:rFonts w:ascii="Courier New" w:cs="Courier New" w:eastAsia="Courier New" w:hAnsi="Courier New"/>
                <w:sz w:val="18"/>
                <w:szCs w:val="18"/>
                <w:color w:val="auto"/>
              </w:rPr>
              <w:t>John M. Sullivan*</w:t>
            </w:r>
          </w:p>
        </w:tc>
        <w:tc>
          <w:tcPr>
            <w:tcW w:w="4740" w:type="dxa"/>
            <w:vAlign w:val="bottom"/>
          </w:tcPr>
          <w:p>
            <w:pPr>
              <w:ind w:left="840"/>
              <w:spacing w:after="0"/>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0"/>
                <w:szCs w:val="20"/>
                <w:color w:val="auto"/>
              </w:rPr>
            </w:pPr>
            <w:r>
              <w:rPr>
                <w:rFonts w:ascii="Courier New" w:cs="Courier New" w:eastAsia="Courier New" w:hAnsi="Courier New"/>
                <w:sz w:val="18"/>
                <w:szCs w:val="18"/>
                <w:color w:val="auto"/>
              </w:rPr>
              <w:t>John M. Sullivan</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00" w:type="dxa"/>
            <w:vAlign w:val="bottom"/>
          </w:tcPr>
          <w:p>
            <w:pPr>
              <w:spacing w:after="0"/>
              <w:rPr>
                <w:sz w:val="20"/>
                <w:szCs w:val="20"/>
                <w:color w:val="auto"/>
              </w:rPr>
            </w:pPr>
            <w:r>
              <w:rPr>
                <w:rFonts w:ascii="Courier New" w:cs="Courier New" w:eastAsia="Courier New" w:hAnsi="Courier New"/>
                <w:sz w:val="18"/>
                <w:szCs w:val="18"/>
                <w:color w:val="auto"/>
              </w:rPr>
              <w:t>L. Jack Van Fossen*</w:t>
            </w:r>
          </w:p>
        </w:tc>
        <w:tc>
          <w:tcPr>
            <w:tcW w:w="4740" w:type="dxa"/>
            <w:vAlign w:val="bottom"/>
          </w:tcPr>
          <w:p>
            <w:pPr>
              <w:ind w:left="840"/>
              <w:spacing w:after="0"/>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0"/>
                <w:szCs w:val="20"/>
                <w:color w:val="auto"/>
              </w:rPr>
            </w:pPr>
            <w:r>
              <w:rPr>
                <w:rFonts w:ascii="Courier New" w:cs="Courier New" w:eastAsia="Courier New" w:hAnsi="Courier New"/>
                <w:sz w:val="18"/>
                <w:szCs w:val="18"/>
                <w:color w:val="auto"/>
              </w:rPr>
              <w:t>L. Jack Van Fossen</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00" w:type="dxa"/>
            <w:vAlign w:val="bottom"/>
          </w:tcPr>
          <w:p>
            <w:pPr>
              <w:spacing w:after="0"/>
              <w:rPr>
                <w:sz w:val="20"/>
                <w:szCs w:val="20"/>
                <w:color w:val="auto"/>
              </w:rPr>
            </w:pPr>
            <w:r>
              <w:rPr>
                <w:rFonts w:ascii="Courier New" w:cs="Courier New" w:eastAsia="Courier New" w:hAnsi="Courier New"/>
                <w:sz w:val="18"/>
                <w:szCs w:val="18"/>
                <w:color w:val="auto"/>
              </w:rPr>
              <w:t>John Walker, Ph.D.*</w:t>
            </w:r>
          </w:p>
        </w:tc>
        <w:tc>
          <w:tcPr>
            <w:tcW w:w="4740" w:type="dxa"/>
            <w:vAlign w:val="bottom"/>
          </w:tcPr>
          <w:p>
            <w:pPr>
              <w:ind w:left="840"/>
              <w:spacing w:after="0"/>
              <w:rPr>
                <w:sz w:val="20"/>
                <w:szCs w:val="20"/>
                <w:color w:val="auto"/>
              </w:rPr>
            </w:pPr>
            <w:r>
              <w:rPr>
                <w:rFonts w:ascii="Courier New" w:cs="Courier New" w:eastAsia="Courier New" w:hAnsi="Courier New"/>
                <w:sz w:val="18"/>
                <w:szCs w:val="18"/>
                <w:color w:val="auto"/>
              </w:rPr>
              <w:t>Director</w:t>
            </w:r>
          </w:p>
        </w:tc>
        <w:tc>
          <w:tcPr>
            <w:tcW w:w="0" w:type="dxa"/>
            <w:vAlign w:val="bottom"/>
          </w:tcPr>
          <w:p>
            <w:pPr>
              <w:spacing w:after="0"/>
              <w:rPr>
                <w:sz w:val="1"/>
                <w:szCs w:val="1"/>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0"/>
                <w:szCs w:val="20"/>
                <w:color w:val="auto"/>
              </w:rPr>
            </w:pPr>
            <w:r>
              <w:rPr>
                <w:rFonts w:ascii="Courier New" w:cs="Courier New" w:eastAsia="Courier New" w:hAnsi="Courier New"/>
                <w:sz w:val="18"/>
                <w:szCs w:val="18"/>
                <w:color w:val="auto"/>
              </w:rPr>
              <w:t>John Walker, Ph.D.</w:t>
            </w: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700" w:type="dxa"/>
            <w:vAlign w:val="bottom"/>
          </w:tcPr>
          <w:p>
            <w:pPr>
              <w:spacing w:after="0"/>
              <w:rPr>
                <w:sz w:val="20"/>
                <w:szCs w:val="20"/>
                <w:color w:val="auto"/>
              </w:rPr>
            </w:pPr>
            <w:r>
              <w:rPr>
                <w:rFonts w:ascii="Courier New" w:cs="Courier New" w:eastAsia="Courier New" w:hAnsi="Courier New"/>
                <w:sz w:val="18"/>
                <w:szCs w:val="18"/>
                <w:color w:val="auto"/>
              </w:rPr>
              <w:t>*By:/s/ G. Robert Lucas</w:t>
            </w:r>
          </w:p>
        </w:tc>
        <w:tc>
          <w:tcPr>
            <w:tcW w:w="4740" w:type="dxa"/>
            <w:vAlign w:val="bottom"/>
          </w:tcPr>
          <w:p>
            <w:pPr>
              <w:ind w:left="740"/>
              <w:spacing w:after="0"/>
              <w:rPr>
                <w:sz w:val="20"/>
                <w:szCs w:val="20"/>
                <w:color w:val="auto"/>
              </w:rPr>
            </w:pPr>
            <w:r>
              <w:rPr>
                <w:rFonts w:ascii="Courier New" w:cs="Courier New" w:eastAsia="Courier New" w:hAnsi="Courier New"/>
                <w:sz w:val="18"/>
                <w:szCs w:val="18"/>
                <w:color w:val="auto"/>
                <w:w w:val="96"/>
              </w:rPr>
              <w:t>Senior Vice President, General Counsel</w:t>
            </w:r>
          </w:p>
        </w:tc>
        <w:tc>
          <w:tcPr>
            <w:tcW w:w="0" w:type="dxa"/>
            <w:vAlign w:val="bottom"/>
          </w:tcPr>
          <w:p>
            <w:pPr>
              <w:spacing w:after="0"/>
              <w:rPr>
                <w:sz w:val="1"/>
                <w:szCs w:val="1"/>
                <w:color w:val="auto"/>
              </w:rPr>
            </w:pPr>
          </w:p>
        </w:tc>
      </w:tr>
      <w:tr>
        <w:trPr>
          <w:trHeight w:val="296"/>
        </w:trPr>
        <w:tc>
          <w:tcPr>
            <w:tcW w:w="3700" w:type="dxa"/>
            <w:vAlign w:val="bottom"/>
            <w:vMerge w:val="restart"/>
          </w:tcPr>
          <w:p>
            <w:pPr>
              <w:ind w:left="420"/>
              <w:spacing w:after="0"/>
              <w:rPr>
                <w:sz w:val="20"/>
                <w:szCs w:val="20"/>
                <w:color w:val="auto"/>
              </w:rPr>
            </w:pPr>
            <w:r>
              <w:rPr>
                <w:rFonts w:ascii="Courier New" w:cs="Courier New" w:eastAsia="Courier New" w:hAnsi="Courier New"/>
                <w:sz w:val="18"/>
                <w:szCs w:val="18"/>
                <w:color w:val="auto"/>
                <w:w w:val="72"/>
              </w:rPr>
              <w:t>-------------------------</w:t>
            </w:r>
            <w:r>
              <w:rPr>
                <w:rFonts w:ascii="Courier New" w:cs="Courier New" w:eastAsia="Courier New" w:hAnsi="Courier New"/>
                <w:sz w:val="35"/>
                <w:szCs w:val="35"/>
                <w:color w:val="auto"/>
                <w:w w:val="72"/>
                <w:vertAlign w:val="subscript"/>
              </w:rPr>
              <w:t>G.RobertLucas</w:t>
            </w:r>
          </w:p>
        </w:tc>
        <w:tc>
          <w:tcPr>
            <w:tcW w:w="4740" w:type="dxa"/>
            <w:vAlign w:val="bottom"/>
          </w:tcPr>
          <w:p>
            <w:pPr>
              <w:ind w:left="740"/>
              <w:spacing w:after="0"/>
              <w:rPr>
                <w:sz w:val="20"/>
                <w:szCs w:val="20"/>
                <w:color w:val="auto"/>
              </w:rPr>
            </w:pPr>
            <w:r>
              <w:rPr>
                <w:rFonts w:ascii="Courier New" w:cs="Courier New" w:eastAsia="Courier New" w:hAnsi="Courier New"/>
                <w:sz w:val="18"/>
                <w:szCs w:val="18"/>
                <w:color w:val="auto"/>
              </w:rPr>
              <w:t>and Secretary Attorney-in-Fact</w:t>
            </w:r>
          </w:p>
        </w:tc>
        <w:tc>
          <w:tcPr>
            <w:tcW w:w="0" w:type="dxa"/>
            <w:vAlign w:val="bottom"/>
          </w:tcPr>
          <w:p>
            <w:pPr>
              <w:spacing w:after="0"/>
              <w:rPr>
                <w:sz w:val="1"/>
                <w:szCs w:val="1"/>
                <w:color w:val="auto"/>
              </w:rPr>
            </w:pPr>
          </w:p>
        </w:tc>
      </w:tr>
      <w:tr>
        <w:trPr>
          <w:trHeight w:val="219"/>
        </w:trPr>
        <w:tc>
          <w:tcPr>
            <w:tcW w:w="3700" w:type="dxa"/>
            <w:vAlign w:val="bottom"/>
            <w:vMerge w:val="continue"/>
          </w:tcPr>
          <w:p>
            <w:pPr>
              <w:spacing w:after="0"/>
              <w:rPr>
                <w:sz w:val="19"/>
                <w:szCs w:val="19"/>
                <w:color w:val="auto"/>
              </w:rPr>
            </w:pPr>
          </w:p>
        </w:tc>
        <w:tc>
          <w:tcPr>
            <w:tcW w:w="4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3700" w:type="dxa"/>
            <w:vAlign w:val="bottom"/>
          </w:tcPr>
          <w:p>
            <w:pPr>
              <w:spacing w:after="0"/>
              <w:rPr>
                <w:sz w:val="24"/>
                <w:szCs w:val="24"/>
                <w:color w:val="auto"/>
              </w:rPr>
            </w:pPr>
          </w:p>
        </w:tc>
        <w:tc>
          <w:tcPr>
            <w:tcW w:w="4740" w:type="dxa"/>
            <w:vAlign w:val="bottom"/>
          </w:tcPr>
          <w:p>
            <w:pPr>
              <w:ind w:left="420"/>
              <w:spacing w:after="0"/>
              <w:rPr>
                <w:sz w:val="20"/>
                <w:szCs w:val="20"/>
                <w:color w:val="auto"/>
              </w:rPr>
            </w:pPr>
            <w:r>
              <w:rPr>
                <w:rFonts w:ascii="Courier New" w:cs="Courier New" w:eastAsia="Courier New" w:hAnsi="Courier New"/>
                <w:sz w:val="18"/>
                <w:szCs w:val="18"/>
                <w:color w:val="auto"/>
              </w:rPr>
              <w:t>13</w:t>
            </w:r>
          </w:p>
        </w:tc>
        <w:tc>
          <w:tcPr>
            <w:tcW w:w="0" w:type="dxa"/>
            <w:vAlign w:val="bottom"/>
          </w:tcPr>
          <w:p>
            <w:pPr>
              <w:spacing w:after="0"/>
              <w:rPr>
                <w:sz w:val="1"/>
                <w:szCs w:val="1"/>
                <w:color w:val="auto"/>
              </w:rPr>
            </w:pPr>
          </w:p>
        </w:tc>
      </w:tr>
    </w:tbl>
    <w:p>
      <w:pPr>
        <w:sectPr>
          <w:pgSz w:w="11900" w:h="16838" w:orient="portrait"/>
          <w:cols w:equalWidth="0" w:num="1">
            <w:col w:w="10219"/>
          </w:cols>
          <w:pgMar w:left="240" w:top="284"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14</w:t>
            </w:r>
          </w:p>
        </w:tc>
        <w:tc>
          <w:tcPr>
            <w:tcW w:w="13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11"/>
        </w:trPr>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80" w:type="dxa"/>
            <w:vAlign w:val="bottom"/>
          </w:tcPr>
          <w:p>
            <w:pPr>
              <w:jc w:val="center"/>
              <w:ind w:right="1772"/>
              <w:spacing w:after="0"/>
              <w:rPr>
                <w:sz w:val="20"/>
                <w:szCs w:val="20"/>
                <w:color w:val="auto"/>
              </w:rPr>
            </w:pPr>
            <w:r>
              <w:rPr>
                <w:rFonts w:ascii="Courier New" w:cs="Courier New" w:eastAsia="Courier New" w:hAnsi="Courier New"/>
                <w:sz w:val="18"/>
                <w:szCs w:val="18"/>
                <w:color w:val="auto"/>
                <w:w w:val="96"/>
              </w:rPr>
              <w:t>INDEX TO EXHIBITS</w:t>
            </w:r>
          </w:p>
        </w:tc>
        <w:tc>
          <w:tcPr>
            <w:tcW w:w="1940" w:type="dxa"/>
            <w:vAlign w:val="bottom"/>
          </w:tcPr>
          <w:p>
            <w:pPr>
              <w:spacing w:after="0"/>
              <w:rPr>
                <w:sz w:val="24"/>
                <w:szCs w:val="24"/>
                <w:color w:val="auto"/>
              </w:rPr>
            </w:pPr>
          </w:p>
        </w:tc>
      </w:tr>
      <w:tr>
        <w:trPr>
          <w:trHeight w:val="296"/>
        </w:trPr>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80" w:type="dxa"/>
            <w:vAlign w:val="bottom"/>
          </w:tcPr>
          <w:p>
            <w:pPr>
              <w:jc w:val="center"/>
              <w:ind w:right="1772"/>
              <w:spacing w:after="0"/>
              <w:rPr>
                <w:sz w:val="20"/>
                <w:szCs w:val="20"/>
                <w:color w:val="auto"/>
              </w:rPr>
            </w:pPr>
            <w:r>
              <w:rPr>
                <w:rFonts w:ascii="Courier New" w:cs="Courier New" w:eastAsia="Courier New" w:hAnsi="Courier New"/>
                <w:sz w:val="18"/>
                <w:szCs w:val="18"/>
                <w:color w:val="auto"/>
                <w:w w:val="96"/>
              </w:rPr>
              <w:t>-----------------</w:t>
            </w:r>
          </w:p>
        </w:tc>
        <w:tc>
          <w:tcPr>
            <w:tcW w:w="1940" w:type="dxa"/>
            <w:vAlign w:val="bottom"/>
          </w:tcPr>
          <w:p>
            <w:pPr>
              <w:spacing w:after="0"/>
              <w:rPr>
                <w:sz w:val="24"/>
                <w:szCs w:val="24"/>
                <w:color w:val="auto"/>
              </w:rPr>
            </w:pPr>
          </w:p>
        </w:tc>
      </w:tr>
      <w:tr>
        <w:trPr>
          <w:trHeight w:val="311"/>
        </w:trPr>
        <w:tc>
          <w:tcPr>
            <w:tcW w:w="158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380" w:type="dxa"/>
            <w:vAlign w:val="bottom"/>
          </w:tcPr>
          <w:p>
            <w:pPr>
              <w:spacing w:after="0"/>
              <w:rPr>
                <w:sz w:val="24"/>
                <w:szCs w:val="24"/>
                <w:color w:val="auto"/>
              </w:rPr>
            </w:pPr>
          </w:p>
        </w:tc>
        <w:tc>
          <w:tcPr>
            <w:tcW w:w="4480" w:type="dxa"/>
            <w:vAlign w:val="bottom"/>
          </w:tcPr>
          <w:p>
            <w:pPr>
              <w:jc w:val="center"/>
              <w:ind w:right="1752"/>
              <w:spacing w:after="0"/>
              <w:rPr>
                <w:sz w:val="20"/>
                <w:szCs w:val="20"/>
                <w:color w:val="auto"/>
              </w:rPr>
            </w:pPr>
            <w:r>
              <w:rPr>
                <w:rFonts w:ascii="Courier New" w:cs="Courier New" w:eastAsia="Courier New" w:hAnsi="Courier New"/>
                <w:sz w:val="18"/>
                <w:szCs w:val="18"/>
                <w:color w:val="auto"/>
                <w:w w:val="97"/>
              </w:rPr>
              <w:t>Description</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Page No.</w:t>
            </w:r>
          </w:p>
        </w:tc>
      </w:tr>
      <w:tr>
        <w:trPr>
          <w:trHeight w:val="296"/>
        </w:trPr>
        <w:tc>
          <w:tcPr>
            <w:tcW w:w="15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380" w:type="dxa"/>
            <w:vAlign w:val="bottom"/>
          </w:tcPr>
          <w:p>
            <w:pPr>
              <w:spacing w:after="0"/>
              <w:rPr>
                <w:sz w:val="24"/>
                <w:szCs w:val="24"/>
                <w:color w:val="auto"/>
              </w:rPr>
            </w:pPr>
          </w:p>
        </w:tc>
        <w:tc>
          <w:tcPr>
            <w:tcW w:w="4480" w:type="dxa"/>
            <w:vAlign w:val="bottom"/>
          </w:tcPr>
          <w:p>
            <w:pPr>
              <w:ind w:left="940"/>
              <w:spacing w:after="0"/>
              <w:rPr>
                <w:sz w:val="20"/>
                <w:szCs w:val="20"/>
                <w:color w:val="auto"/>
              </w:rPr>
            </w:pPr>
            <w:r>
              <w:rPr>
                <w:rFonts w:ascii="Courier New" w:cs="Courier New" w:eastAsia="Courier New" w:hAnsi="Courier New"/>
                <w:sz w:val="18"/>
                <w:szCs w:val="18"/>
                <w:color w:val="auto"/>
              </w:rPr>
              <w:t>-----------</w:t>
            </w:r>
          </w:p>
        </w:tc>
        <w:tc>
          <w:tcPr>
            <w:tcW w:w="19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311"/>
        </w:trPr>
        <w:tc>
          <w:tcPr>
            <w:tcW w:w="1580" w:type="dxa"/>
            <w:vAlign w:val="bottom"/>
          </w:tcPr>
          <w:p>
            <w:pPr>
              <w:ind w:left="540"/>
              <w:spacing w:after="0"/>
              <w:rPr>
                <w:sz w:val="20"/>
                <w:szCs w:val="20"/>
                <w:color w:val="auto"/>
              </w:rPr>
            </w:pPr>
            <w:r>
              <w:rPr>
                <w:rFonts w:ascii="Courier New" w:cs="Courier New" w:eastAsia="Courier New" w:hAnsi="Courier New"/>
                <w:sz w:val="18"/>
                <w:szCs w:val="18"/>
                <w:color w:val="auto"/>
              </w:rPr>
              <w:t>5</w:t>
            </w: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Opinion of</w:t>
            </w:r>
          </w:p>
        </w:tc>
        <w:tc>
          <w:tcPr>
            <w:tcW w:w="4480" w:type="dxa"/>
            <w:vAlign w:val="bottom"/>
          </w:tcPr>
          <w:p>
            <w:pPr>
              <w:spacing w:after="0"/>
              <w:rPr>
                <w:sz w:val="20"/>
                <w:szCs w:val="20"/>
                <w:color w:val="auto"/>
              </w:rPr>
            </w:pPr>
            <w:r>
              <w:rPr>
                <w:rFonts w:ascii="Courier New" w:cs="Courier New" w:eastAsia="Courier New" w:hAnsi="Courier New"/>
                <w:sz w:val="18"/>
                <w:szCs w:val="18"/>
                <w:color w:val="auto"/>
              </w:rPr>
              <w:t>Vorys, Sater, Seymour and Pease LLP as</w:t>
            </w:r>
          </w:p>
        </w:tc>
        <w:tc>
          <w:tcPr>
            <w:tcW w:w="19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r>
      <w:tr>
        <w:trPr>
          <w:trHeight w:val="296"/>
        </w:trPr>
        <w:tc>
          <w:tcPr>
            <w:tcW w:w="1580" w:type="dxa"/>
            <w:vAlign w:val="bottom"/>
          </w:tcPr>
          <w:p>
            <w:pPr>
              <w:spacing w:after="0"/>
              <w:rPr>
                <w:sz w:val="24"/>
                <w:szCs w:val="24"/>
                <w:color w:val="auto"/>
              </w:rPr>
            </w:pP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w w:val="95"/>
              </w:rPr>
              <w:t>to legality</w:t>
            </w:r>
          </w:p>
        </w:tc>
        <w:tc>
          <w:tcPr>
            <w:tcW w:w="44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11"/>
        </w:trPr>
        <w:tc>
          <w:tcPr>
            <w:tcW w:w="1580" w:type="dxa"/>
            <w:vAlign w:val="bottom"/>
          </w:tcPr>
          <w:p>
            <w:pPr>
              <w:ind w:left="540"/>
              <w:spacing w:after="0"/>
              <w:rPr>
                <w:sz w:val="20"/>
                <w:szCs w:val="20"/>
                <w:color w:val="auto"/>
              </w:rPr>
            </w:pPr>
            <w:r>
              <w:rPr>
                <w:rFonts w:ascii="Courier New" w:cs="Courier New" w:eastAsia="Courier New" w:hAnsi="Courier New"/>
                <w:sz w:val="18"/>
                <w:szCs w:val="18"/>
                <w:color w:val="auto"/>
              </w:rPr>
              <w:t>10</w:t>
            </w: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The Scotts</w:t>
            </w:r>
          </w:p>
        </w:tc>
        <w:tc>
          <w:tcPr>
            <w:tcW w:w="4480" w:type="dxa"/>
            <w:vAlign w:val="bottom"/>
          </w:tcPr>
          <w:p>
            <w:pPr>
              <w:spacing w:after="0"/>
              <w:rPr>
                <w:sz w:val="20"/>
                <w:szCs w:val="20"/>
                <w:color w:val="auto"/>
              </w:rPr>
            </w:pPr>
            <w:r>
              <w:rPr>
                <w:rFonts w:ascii="Courier New" w:cs="Courier New" w:eastAsia="Courier New" w:hAnsi="Courier New"/>
                <w:sz w:val="18"/>
                <w:szCs w:val="18"/>
                <w:color w:val="auto"/>
              </w:rPr>
              <w:t>Company 1996 Stock Option Plan (reflects</w:t>
            </w:r>
          </w:p>
        </w:tc>
        <w:tc>
          <w:tcPr>
            <w:tcW w:w="19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r>
      <w:tr>
        <w:trPr>
          <w:trHeight w:val="296"/>
        </w:trPr>
        <w:tc>
          <w:tcPr>
            <w:tcW w:w="1580" w:type="dxa"/>
            <w:vAlign w:val="bottom"/>
          </w:tcPr>
          <w:p>
            <w:pPr>
              <w:spacing w:after="0"/>
              <w:rPr>
                <w:sz w:val="24"/>
                <w:szCs w:val="24"/>
                <w:color w:val="auto"/>
              </w:rPr>
            </w:pP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amendments</w:t>
            </w:r>
          </w:p>
        </w:tc>
        <w:tc>
          <w:tcPr>
            <w:tcW w:w="4480" w:type="dxa"/>
            <w:vAlign w:val="bottom"/>
          </w:tcPr>
          <w:p>
            <w:pPr>
              <w:spacing w:after="0"/>
              <w:rPr>
                <w:sz w:val="20"/>
                <w:szCs w:val="20"/>
                <w:color w:val="auto"/>
              </w:rPr>
            </w:pPr>
            <w:r>
              <w:rPr>
                <w:rFonts w:ascii="Courier New" w:cs="Courier New" w:eastAsia="Courier New" w:hAnsi="Courier New"/>
                <w:sz w:val="18"/>
                <w:szCs w:val="18"/>
                <w:color w:val="auto"/>
              </w:rPr>
              <w:t>through April 1, 1999)</w:t>
            </w:r>
          </w:p>
        </w:tc>
        <w:tc>
          <w:tcPr>
            <w:tcW w:w="1940" w:type="dxa"/>
            <w:vAlign w:val="bottom"/>
          </w:tcPr>
          <w:p>
            <w:pPr>
              <w:spacing w:after="0"/>
              <w:rPr>
                <w:sz w:val="24"/>
                <w:szCs w:val="24"/>
                <w:color w:val="auto"/>
              </w:rPr>
            </w:pPr>
          </w:p>
        </w:tc>
      </w:tr>
      <w:tr>
        <w:trPr>
          <w:trHeight w:val="405"/>
        </w:trPr>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23(a)</w:t>
            </w: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Consent of</w:t>
            </w:r>
          </w:p>
        </w:tc>
        <w:tc>
          <w:tcPr>
            <w:tcW w:w="4480" w:type="dxa"/>
            <w:vAlign w:val="bottom"/>
          </w:tcPr>
          <w:p>
            <w:pPr>
              <w:spacing w:after="0"/>
              <w:rPr>
                <w:sz w:val="20"/>
                <w:szCs w:val="20"/>
                <w:color w:val="auto"/>
              </w:rPr>
            </w:pPr>
            <w:r>
              <w:rPr>
                <w:rFonts w:ascii="Courier New" w:cs="Courier New" w:eastAsia="Courier New" w:hAnsi="Courier New"/>
                <w:sz w:val="18"/>
                <w:szCs w:val="18"/>
                <w:color w:val="auto"/>
              </w:rPr>
              <w:t>PricewaterhouseCoopers LLP</w:t>
            </w:r>
          </w:p>
        </w:tc>
        <w:tc>
          <w:tcPr>
            <w:tcW w:w="19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r>
      <w:tr>
        <w:trPr>
          <w:trHeight w:val="311"/>
        </w:trPr>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23(b)</w:t>
            </w: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Consent of</w:t>
            </w:r>
          </w:p>
        </w:tc>
        <w:tc>
          <w:tcPr>
            <w:tcW w:w="4480" w:type="dxa"/>
            <w:vAlign w:val="bottom"/>
          </w:tcPr>
          <w:p>
            <w:pPr>
              <w:spacing w:after="0"/>
              <w:rPr>
                <w:sz w:val="20"/>
                <w:szCs w:val="20"/>
                <w:color w:val="auto"/>
              </w:rPr>
            </w:pPr>
            <w:r>
              <w:rPr>
                <w:rFonts w:ascii="Courier New" w:cs="Courier New" w:eastAsia="Courier New" w:hAnsi="Courier New"/>
                <w:sz w:val="18"/>
                <w:szCs w:val="18"/>
                <w:color w:val="auto"/>
              </w:rPr>
              <w:t>Vorys, Sater, Seymour and Pease LLP</w:t>
            </w: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w w:val="96"/>
              </w:rPr>
              <w:t>Filed as part of</w:t>
            </w:r>
          </w:p>
        </w:tc>
      </w:tr>
      <w:tr>
        <w:trPr>
          <w:trHeight w:val="296"/>
        </w:trPr>
        <w:tc>
          <w:tcPr>
            <w:tcW w:w="1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Exhibit 5</w:t>
            </w:r>
          </w:p>
        </w:tc>
      </w:tr>
      <w:tr>
        <w:trPr>
          <w:trHeight w:val="405"/>
        </w:trPr>
        <w:tc>
          <w:tcPr>
            <w:tcW w:w="1580" w:type="dxa"/>
            <w:vAlign w:val="bottom"/>
          </w:tcPr>
          <w:p>
            <w:pPr>
              <w:ind w:left="540"/>
              <w:spacing w:after="0"/>
              <w:rPr>
                <w:sz w:val="20"/>
                <w:szCs w:val="20"/>
                <w:color w:val="auto"/>
              </w:rPr>
            </w:pPr>
            <w:r>
              <w:rPr>
                <w:rFonts w:ascii="Courier New" w:cs="Courier New" w:eastAsia="Courier New" w:hAnsi="Courier New"/>
                <w:sz w:val="18"/>
                <w:szCs w:val="18"/>
                <w:color w:val="auto"/>
              </w:rPr>
              <w:t>24</w:t>
            </w:r>
          </w:p>
        </w:tc>
        <w:tc>
          <w:tcPr>
            <w:tcW w:w="586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Powers of Attorney</w:t>
            </w:r>
          </w:p>
        </w:tc>
        <w:tc>
          <w:tcPr>
            <w:tcW w:w="19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r>
    </w:tbl>
    <w:p>
      <w:pPr>
        <w:spacing w:after="0" w:line="109"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Filed herewith.</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285"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5</w:t>
      </w:r>
    </w:p>
    <w:p>
      <w:pPr>
        <w:ind w:left="7480"/>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[Letterhead of Vorys, Sater, Seymour and Pease LLP]</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(614) 464-6400</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April 21,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238" w:lineRule="auto"/>
        <w:rPr>
          <w:sz w:val="20"/>
          <w:szCs w:val="20"/>
          <w:color w:val="auto"/>
        </w:rPr>
      </w:pPr>
      <w:r>
        <w:rPr>
          <w:rFonts w:ascii="Courier New" w:cs="Courier New" w:eastAsia="Courier New" w:hAnsi="Courier New"/>
          <w:sz w:val="18"/>
          <w:szCs w:val="18"/>
          <w:color w:val="auto"/>
        </w:rPr>
        <w:t>14111 Scottslawn Road</w:t>
      </w:r>
    </w:p>
    <w:p>
      <w:pPr>
        <w:spacing w:after="0"/>
        <w:rPr>
          <w:sz w:val="20"/>
          <w:szCs w:val="20"/>
          <w:color w:val="auto"/>
        </w:rPr>
      </w:pPr>
      <w:r>
        <w:rPr>
          <w:rFonts w:ascii="Courier New" w:cs="Courier New" w:eastAsia="Courier New" w:hAnsi="Courier New"/>
          <w:sz w:val="18"/>
          <w:szCs w:val="18"/>
          <w:color w:val="auto"/>
        </w:rPr>
        <w:t>Marysville, OH 43041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779" w:firstLine="1896"/>
        <w:spacing w:after="0" w:line="246" w:lineRule="auto"/>
        <w:rPr>
          <w:sz w:val="20"/>
          <w:szCs w:val="20"/>
          <w:color w:val="auto"/>
        </w:rPr>
      </w:pPr>
      <w:r>
        <w:rPr>
          <w:rFonts w:ascii="Courier New" w:cs="Courier New" w:eastAsia="Courier New" w:hAnsi="Courier New"/>
          <w:sz w:val="18"/>
          <w:szCs w:val="18"/>
          <w:color w:val="auto"/>
        </w:rPr>
        <w:t>We are familiar with the proceedings taken and proposed to be taken by The Scotts Company, an Ohio corporation (the "Company"), in connection with the adoption of an amendment to The Scotts Company 1996 Stock Option Plan, as amended (the "Plan"), to make an additional 2,500,000 common shares, without par value (the "Common Shares"), of the Company available pursuant to the Plan, the granting of options to purchase Common Shares of the Company pursuant to the Plan, and the issuance and sale of Common Shares of the Company upon exercise of options granted and to be granted under the Plan, as described in the Registration Statement on Form S-8 (the "Registration Statement") to be filed with the Securities and Exchange Commission on the date hereof. The purpose of the Registration Statement is to register the additional 2,500,000 Common Shares reserved for issuance under the Plan pursuant to the provisions of the Securities Act of 1933, as amended (the "1993 Act"), and the rules and regulations promulgated thereunder.</w:t>
      </w:r>
    </w:p>
    <w:p>
      <w:pPr>
        <w:spacing w:after="0" w:line="113"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In connection with this opinion, we have examined an original or copy of, and have relied upon the accuracy of, without independent verification or investigation: (a) the Registration Statement; (b) the Plan; (c) the Company's Amended Articles of Incorporation, as amended; (d) the Company's Regulations, as amended; and (e) certain proceedings of the directors and of the shareholders of the Company. We have also relied upon such representations of the Company and officers of the Company and such authorities of law as we have deemed relevant as a basis for this opinion.</w:t>
      </w:r>
    </w:p>
    <w:p>
      <w:pPr>
        <w:spacing w:after="0" w:line="104" w:lineRule="exact"/>
        <w:rPr>
          <w:sz w:val="20"/>
          <w:szCs w:val="20"/>
          <w:color w:val="auto"/>
        </w:rPr>
      </w:pPr>
    </w:p>
    <w:p>
      <w:pPr>
        <w:jc w:val="both"/>
        <w:ind w:right="2319" w:firstLine="1896"/>
        <w:spacing w:after="0" w:line="274" w:lineRule="auto"/>
        <w:rPr>
          <w:sz w:val="20"/>
          <w:szCs w:val="20"/>
          <w:color w:val="auto"/>
        </w:rPr>
      </w:pPr>
      <w:r>
        <w:rPr>
          <w:rFonts w:ascii="Courier New" w:cs="Courier New" w:eastAsia="Courier New" w:hAnsi="Courier New"/>
          <w:sz w:val="18"/>
          <w:szCs w:val="18"/>
          <w:color w:val="auto"/>
        </w:rPr>
        <w:t>We have relied solely upon the examinations and inquiries recited herein, and we have not undertaken any independent investigation to determine the existence or absence of any facts, and no inference as to our knowledge concerning such facts should be drawn.</w:t>
      </w:r>
    </w:p>
    <w:p>
      <w:pPr>
        <w:sectPr>
          <w:pgSz w:w="11900" w:h="16838" w:orient="portrait"/>
          <w:cols w:equalWidth="0" w:num="1">
            <w:col w:w="10219"/>
          </w:cols>
          <w:pgMar w:left="240" w:top="110"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April 21, 1999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w:t>
      </w:r>
    </w:p>
    <w:p>
      <w:pPr>
        <w:spacing w:after="0" w:line="201" w:lineRule="exact"/>
        <w:rPr>
          <w:sz w:val="20"/>
          <w:szCs w:val="20"/>
          <w:color w:val="auto"/>
        </w:rPr>
      </w:pPr>
    </w:p>
    <w:p>
      <w:pPr>
        <w:ind w:right="1779" w:firstLine="1896"/>
        <w:spacing w:after="0" w:line="289" w:lineRule="auto"/>
        <w:rPr>
          <w:sz w:val="20"/>
          <w:szCs w:val="20"/>
          <w:color w:val="auto"/>
        </w:rPr>
      </w:pPr>
      <w:r>
        <w:rPr>
          <w:rFonts w:ascii="Courier New" w:cs="Courier New" w:eastAsia="Courier New" w:hAnsi="Courier New"/>
          <w:sz w:val="16"/>
          <w:szCs w:val="16"/>
          <w:color w:val="auto"/>
        </w:rPr>
        <w:t>Based upon and subject to the foregoing and the further qualifications and limitations set forth below, as of the date hereof, we are of the opinion that after the additional 2,500,000 Common Shares of the Company to be registered under the Registration Statement have been issued and delivered by the Company, upon the exercise of options granted under the Plan, against payment of the purchase price therefor, in accordance with the terms of the Plan, said Common Shares will be validly issued, fully paid and non-assessable, assuming compliance with applicable federal and state securities laws.</w:t>
      </w:r>
    </w:p>
    <w:p>
      <w:pPr>
        <w:spacing w:after="0" w:line="77" w:lineRule="exact"/>
        <w:rPr>
          <w:sz w:val="20"/>
          <w:szCs w:val="20"/>
          <w:color w:val="auto"/>
        </w:rPr>
      </w:pPr>
    </w:p>
    <w:p>
      <w:pPr>
        <w:ind w:right="1879" w:firstLine="1896"/>
        <w:spacing w:after="0" w:line="298" w:lineRule="auto"/>
        <w:rPr>
          <w:sz w:val="20"/>
          <w:szCs w:val="20"/>
          <w:color w:val="auto"/>
        </w:rPr>
      </w:pPr>
      <w:r>
        <w:rPr>
          <w:rFonts w:ascii="Courier New" w:cs="Courier New" w:eastAsia="Courier New" w:hAnsi="Courier New"/>
          <w:sz w:val="16"/>
          <w:szCs w:val="16"/>
          <w:color w:val="auto"/>
        </w:rPr>
        <w:t>Our opinion is limited to the General Corporation Law of Ohio in effect as of the date hereof. This opinion is furnished by us solely for the benefit of the Company in connection with the offering of the Common Shares pursuant to the Plan and the filing of the Registration Statement and any amendments thereto. This opinion may not be relied upon by any other person or assigned, quoted or otherwise used without our specific written consent.</w:t>
      </w:r>
    </w:p>
    <w:p>
      <w:pPr>
        <w:spacing w:after="0" w:line="68"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Notwithstanding the foregoing, we consent to the filing of this opinion as an exhibit to the Registration Statement and to the reference to us therein. By giving such consent, we do not admit that we come within the category of persons whose consent is required under Section 7 of the 1933 Act or the rules and regulations promulgated thereunder.</w:t>
      </w:r>
    </w:p>
    <w:p>
      <w:pPr>
        <w:spacing w:after="0" w:line="90"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/s/ Vorys, Sater, Seymour and Pease LLP</w:t>
      </w:r>
    </w:p>
    <w:p>
      <w:pPr>
        <w:spacing w:after="0" w:line="22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Vorys, Sater, Seymour and Pease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ETF:blr</w:t>
      </w:r>
    </w:p>
    <w:p>
      <w:pPr>
        <w:sectPr>
          <w:pgSz w:w="11900" w:h="16838" w:orient="portrait"/>
          <w:cols w:equalWidth="0" w:num="1">
            <w:col w:w="10219"/>
          </w:cols>
          <w:pgMar w:left="240" w:top="285"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10</w:t>
      </w:r>
    </w:p>
    <w:p>
      <w:pPr>
        <w:spacing w:after="0" w:line="200" w:lineRule="exact"/>
        <w:rPr>
          <w:sz w:val="20"/>
          <w:szCs w:val="20"/>
          <w:color w:val="auto"/>
        </w:rPr>
      </w:pPr>
    </w:p>
    <w:p>
      <w:pPr>
        <w:spacing w:after="0" w:line="37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1996 STOCK OPTION PLAN</w:t>
      </w:r>
    </w:p>
    <w:p>
      <w:pPr>
        <w:jc w:val="center"/>
        <w:ind w:right="1879"/>
        <w:spacing w:after="0"/>
        <w:rPr>
          <w:sz w:val="20"/>
          <w:szCs w:val="20"/>
          <w:color w:val="auto"/>
        </w:rPr>
      </w:pPr>
      <w:r>
        <w:rPr>
          <w:rFonts w:ascii="Courier New" w:cs="Courier New" w:eastAsia="Courier New" w:hAnsi="Courier New"/>
          <w:sz w:val="18"/>
          <w:szCs w:val="18"/>
          <w:color w:val="auto"/>
        </w:rPr>
        <w:t>(REFLECTS AMENDMENTS THROUGH APRIL 1, 1999)</w:t>
      </w:r>
    </w:p>
    <w:p>
      <w:pPr>
        <w:spacing w:after="0" w:line="37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l.</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PURPOSE</w:t>
      </w:r>
    </w:p>
    <w:p>
      <w:pPr>
        <w:spacing w:after="0" w:line="201" w:lineRule="exact"/>
        <w:rPr>
          <w:sz w:val="20"/>
          <w:szCs w:val="20"/>
          <w:color w:val="auto"/>
        </w:rPr>
      </w:pPr>
    </w:p>
    <w:p>
      <w:pPr>
        <w:ind w:right="2099" w:firstLine="948"/>
        <w:spacing w:after="0" w:line="289" w:lineRule="auto"/>
        <w:rPr>
          <w:sz w:val="20"/>
          <w:szCs w:val="20"/>
          <w:color w:val="auto"/>
        </w:rPr>
      </w:pPr>
      <w:r>
        <w:rPr>
          <w:rFonts w:ascii="Courier New" w:cs="Courier New" w:eastAsia="Courier New" w:hAnsi="Courier New"/>
          <w:sz w:val="16"/>
          <w:szCs w:val="16"/>
          <w:color w:val="auto"/>
        </w:rPr>
        <w:t>The purpose of the Plan is to foster and promote the long-term financial success of the Company and materially increase shareholder value by</w:t>
      </w:r>
    </w:p>
    <w:p>
      <w:pPr>
        <w:spacing w:after="0" w:line="1" w:lineRule="exact"/>
        <w:rPr>
          <w:sz w:val="20"/>
          <w:szCs w:val="20"/>
          <w:color w:val="auto"/>
        </w:rPr>
      </w:pPr>
    </w:p>
    <w:p>
      <w:pPr>
        <w:ind w:right="1779" w:firstLine="8"/>
        <w:spacing w:after="0" w:line="256"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encouraging and providing for the acquisition of an ownership interest in the Company by Employees and Eligible Directors, and (b) enabling the Company to attract and retain the services of an outstanding management team upon whose judgment, interest, and special effort the successful conduct of its operations is largely dependent.</w:t>
      </w:r>
    </w:p>
    <w:p>
      <w:pPr>
        <w:spacing w:after="0" w:line="9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2.</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2.1 Definitions. Whenever used herein, the following terms shall have the respective meanings set forth below:</w:t>
      </w:r>
    </w:p>
    <w:p>
      <w:pPr>
        <w:spacing w:after="0" w:line="18" w:lineRule="exact"/>
        <w:rPr>
          <w:sz w:val="20"/>
          <w:szCs w:val="20"/>
          <w:color w:val="auto"/>
        </w:rPr>
      </w:pPr>
    </w:p>
    <w:p>
      <w:pPr>
        <w:ind w:left="1380" w:hanging="424"/>
        <w:spacing w:after="0"/>
        <w:tabs>
          <w:tab w:leader="none" w:pos="1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 means the Securities Exchange Act of 1934, as amended.</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means any Option.</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1" w:lineRule="exact"/>
        <w:rPr>
          <w:rFonts w:ascii="Courier New" w:cs="Courier New" w:eastAsia="Courier New" w:hAnsi="Courier New"/>
          <w:sz w:val="18"/>
          <w:szCs w:val="18"/>
          <w:color w:val="auto"/>
        </w:rPr>
      </w:pPr>
    </w:p>
    <w:p>
      <w:pPr>
        <w:ind w:right="1779" w:firstLine="956"/>
        <w:spacing w:after="0" w:line="250" w:lineRule="auto"/>
        <w:tabs>
          <w:tab w:leader="none" w:pos="136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means (i) the willful failure by a Participant to perform substantially his duties as an Employee of the Company (other than due to physical or mental illness) after reasonable notice to the Participant of such failure, (ii) the Participant's engaging in serious misconduct that is injurious to the Company or any Subsidiary, (iii) the Participant's having been convicted of, or entered a plea of nolo contendere to, a crime that constitutes a felony or (iv) the breach by the Participant of any written covenant or agreement with the Company or any Subsidiary not to disclose any information pertaining to the Company or any Subsidiary or not to compete or interfere with the Company or any Subsidiary.</w:t>
      </w:r>
    </w:p>
    <w:p>
      <w:pPr>
        <w:spacing w:after="0" w:line="104"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means the occurrence of any of the following</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events:</w:t>
      </w:r>
    </w:p>
    <w:p>
      <w:pPr>
        <w:spacing w:after="0" w:line="169" w:lineRule="exact"/>
        <w:rPr>
          <w:rFonts w:ascii="Courier New" w:cs="Courier New" w:eastAsia="Courier New" w:hAnsi="Courier New"/>
          <w:sz w:val="18"/>
          <w:szCs w:val="18"/>
          <w:color w:val="auto"/>
        </w:rPr>
      </w:pPr>
    </w:p>
    <w:p>
      <w:pPr>
        <w:ind w:left="960" w:right="1779" w:firstLine="944"/>
        <w:spacing w:after="0" w:line="252" w:lineRule="auto"/>
        <w:tabs>
          <w:tab w:leader="none" w:pos="2329"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members of the Board at the beginning of any consecutive twenty-four calendar month period (the "Incumbent Directors") cease for any reason other than due to death to constitute at least a majority of the members of the Board, provided that any director whose election, or nomination for election by the Company's shareholders, was approved by a vote of at least a majority of the members of the Board then still in office who were members of the Board at the beginning of such twenty-four calendar month period, shall be treated as an Incumbent Director; or</w:t>
      </w:r>
    </w:p>
    <w:p>
      <w:pPr>
        <w:spacing w:after="0" w:line="98" w:lineRule="exact"/>
        <w:rPr>
          <w:rFonts w:ascii="Courier New" w:cs="Courier New" w:eastAsia="Courier New" w:hAnsi="Courier New"/>
          <w:sz w:val="18"/>
          <w:szCs w:val="18"/>
          <w:color w:val="auto"/>
        </w:rPr>
      </w:pPr>
    </w:p>
    <w:p>
      <w:pPr>
        <w:ind w:left="960" w:right="1779" w:firstLine="944"/>
        <w:spacing w:after="0" w:line="274" w:lineRule="auto"/>
        <w:tabs>
          <w:tab w:leader="none" w:pos="2435"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including a "group" (as such terms are used in Sections 13(d) and 14(d)(2) of the Act, but excluding the Company, any of its Subsidiaries, or any employee benefit plan of the Company or of any of its Subsidiaries,) is or becomes the</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10"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ind w:left="640" w:right="1779"/>
        <w:spacing w:after="0" w:line="262" w:lineRule="auto"/>
        <w:rPr>
          <w:sz w:val="20"/>
          <w:szCs w:val="20"/>
          <w:color w:val="auto"/>
        </w:rPr>
      </w:pPr>
      <w:r>
        <w:rPr>
          <w:rFonts w:ascii="Courier New" w:cs="Courier New" w:eastAsia="Courier New" w:hAnsi="Courier New"/>
          <w:sz w:val="18"/>
          <w:szCs w:val="18"/>
          <w:color w:val="auto"/>
        </w:rPr>
        <w:t>"beneficial owner" (as defined in Rule 13(d)(3) under the Act), directly or indirectly, of securities of the Company representing more than 49% of the combined voting power of the Company's then outstanding securities; or</w:t>
      </w:r>
    </w:p>
    <w:p>
      <w:pPr>
        <w:spacing w:after="0" w:line="90" w:lineRule="exact"/>
        <w:rPr>
          <w:sz w:val="20"/>
          <w:szCs w:val="20"/>
          <w:color w:val="auto"/>
        </w:rPr>
      </w:pPr>
    </w:p>
    <w:p>
      <w:pPr>
        <w:ind w:left="640" w:right="1879" w:firstLine="944"/>
        <w:spacing w:after="0" w:line="252" w:lineRule="auto"/>
        <w:tabs>
          <w:tab w:leader="none" w:pos="222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shareholders of the Company shall approve a definitive agreement (1) for the merger or other business combination of the Company with or into another corporation, a majority of the directors of which were not directors of the Company immediately prior to the merger and in which the shareholders of the Company immediately prior to the effective date of such merger own less than 50% of the voting power in such corporation; or (2) for the sale or other disposition of all or substantially all of the assets of the Company; or</w:t>
      </w:r>
    </w:p>
    <w:p>
      <w:pPr>
        <w:spacing w:after="0" w:line="98" w:lineRule="exact"/>
        <w:rPr>
          <w:rFonts w:ascii="Courier New" w:cs="Courier New" w:eastAsia="Courier New" w:hAnsi="Courier New"/>
          <w:sz w:val="18"/>
          <w:szCs w:val="18"/>
          <w:color w:val="auto"/>
        </w:rPr>
      </w:pPr>
    </w:p>
    <w:p>
      <w:pPr>
        <w:ind w:left="640" w:right="1779" w:firstLine="944"/>
        <w:spacing w:after="0" w:line="306" w:lineRule="auto"/>
        <w:tabs>
          <w:tab w:leader="none" w:pos="2115"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of Stock pursuant to any tender or exchange offer made by any "person," including a "group" (as such terms are used in Sections 13(d) and l4(d)(2) of the Act), other than the Company, any of its Subsidiaries, or an employee benefit plan of the Company or of any of its Subsidiaries, for more than 49% of the Stock of the Company.</w:t>
      </w:r>
    </w:p>
    <w:p>
      <w:pPr>
        <w:spacing w:after="0" w:line="60" w:lineRule="exact"/>
        <w:rPr>
          <w:rFonts w:ascii="Courier New" w:cs="Courier New" w:eastAsia="Courier New" w:hAnsi="Courier New"/>
          <w:sz w:val="16"/>
          <w:szCs w:val="16"/>
          <w:color w:val="auto"/>
        </w:rPr>
      </w:pPr>
    </w:p>
    <w:p>
      <w:pPr>
        <w:ind w:left="-320" w:right="1779" w:firstLine="956"/>
        <w:spacing w:after="0" w:line="256" w:lineRule="auto"/>
        <w:tabs>
          <w:tab w:leader="none" w:pos="104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Price" means the highest price per share of Stock offered in conjunction with any transaction resulting in a Change in Control (as determined in good faith by the Committee if any part of the offered price is payable other than in cash) or, in the case of a Change in Control occurring solely by reason of a change in the composition of the Board, the highest Fair Market Value of the Stock on any of the 30 trading days immediately preceding the date on which a Change in Control occurs.</w:t>
      </w:r>
    </w:p>
    <w:p>
      <w:pPr>
        <w:spacing w:after="0" w:line="98" w:lineRule="exact"/>
        <w:rPr>
          <w:rFonts w:ascii="Courier New" w:cs="Courier New" w:eastAsia="Courier New" w:hAnsi="Courier New"/>
          <w:sz w:val="18"/>
          <w:szCs w:val="18"/>
          <w:color w:val="auto"/>
        </w:rPr>
      </w:pPr>
    </w:p>
    <w:p>
      <w:pPr>
        <w:ind w:left="1060" w:hanging="424"/>
        <w:spacing w:after="0"/>
        <w:tabs>
          <w:tab w:leader="none" w:pos="10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spacing w:after="0" w:line="201" w:lineRule="exact"/>
        <w:rPr>
          <w:rFonts w:ascii="Courier New" w:cs="Courier New" w:eastAsia="Courier New" w:hAnsi="Courier New"/>
          <w:sz w:val="18"/>
          <w:szCs w:val="18"/>
          <w:color w:val="auto"/>
        </w:rPr>
      </w:pPr>
    </w:p>
    <w:p>
      <w:pPr>
        <w:ind w:left="-320" w:right="1779" w:firstLine="956"/>
        <w:spacing w:after="0" w:line="250" w:lineRule="auto"/>
        <w:tabs>
          <w:tab w:leader="none" w:pos="104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Compensation and Organization Committee of the Board which shall have the meaning ascribed to a "compensation committee" in Section 1.162-27(c)(4) of the final regulations promulgated under Section 162(m) of the Code and which shall consist of three or more members, each of whom shall be (i) a person from time to time permitted by the rules promulgated under Section 16 of the Act in order for grants of Awards to be exempt transactions under said Section 16 and (ii) receiving remuneration in no other capacity than as a director, except as permitted under Section 1.162-27(e)(3) of the final regulations promulgated under Section 162(m) of the Code and the rulings thereunder.</w:t>
      </w:r>
    </w:p>
    <w:p>
      <w:pPr>
        <w:spacing w:after="0" w:line="104" w:lineRule="exact"/>
        <w:rPr>
          <w:rFonts w:ascii="Courier New" w:cs="Courier New" w:eastAsia="Courier New" w:hAnsi="Courier New"/>
          <w:sz w:val="18"/>
          <w:szCs w:val="18"/>
          <w:color w:val="auto"/>
        </w:rPr>
      </w:pPr>
    </w:p>
    <w:p>
      <w:pPr>
        <w:ind w:left="-320" w:right="2099" w:firstLine="956"/>
        <w:spacing w:after="0" w:line="347" w:lineRule="auto"/>
        <w:tabs>
          <w:tab w:leader="none" w:pos="104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The Scotts Company, an Ohio corporation, and any successor thereto.</w:t>
      </w:r>
    </w:p>
    <w:p>
      <w:pPr>
        <w:spacing w:after="0" w:line="18" w:lineRule="exact"/>
        <w:rPr>
          <w:rFonts w:ascii="Courier New" w:cs="Courier New" w:eastAsia="Courier New" w:hAnsi="Courier New"/>
          <w:sz w:val="18"/>
          <w:szCs w:val="18"/>
          <w:color w:val="auto"/>
        </w:rPr>
      </w:pPr>
    </w:p>
    <w:p>
      <w:pPr>
        <w:ind w:left="-320" w:right="1879" w:firstLine="956"/>
        <w:spacing w:after="0" w:line="292" w:lineRule="auto"/>
        <w:tabs>
          <w:tab w:leader="none" w:pos="104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Option" means a "nonstatutory stock option" ("NSO") granted to each Eligible Director pursuant to Section 6.6 without any action by the Board or the Committee.</w:t>
      </w:r>
    </w:p>
    <w:p>
      <w:pPr>
        <w:spacing w:after="0" w:line="66" w:lineRule="exact"/>
        <w:rPr>
          <w:rFonts w:ascii="Courier New" w:cs="Courier New" w:eastAsia="Courier New" w:hAnsi="Courier New"/>
          <w:sz w:val="18"/>
          <w:szCs w:val="18"/>
          <w:color w:val="auto"/>
        </w:rPr>
      </w:pPr>
    </w:p>
    <w:p>
      <w:pPr>
        <w:ind w:left="-320" w:right="1879" w:firstLine="956"/>
        <w:spacing w:after="0" w:line="265" w:lineRule="auto"/>
        <w:tabs>
          <w:tab w:leader="none" w:pos="104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the inability of the Participant to perform his duties for a period of at least six months due to a physical or medical infirmity. Notwithstanding the foregoing, with respect to Incentive Stock Options, the term "Disability" shall be defined as such term is defined in Section 22(e)(3) of the Code.</w:t>
      </w:r>
    </w:p>
    <w:p>
      <w:pPr>
        <w:spacing w:after="0" w:line="89" w:lineRule="exact"/>
        <w:rPr>
          <w:rFonts w:ascii="Courier New" w:cs="Courier New" w:eastAsia="Courier New" w:hAnsi="Courier New"/>
          <w:sz w:val="18"/>
          <w:szCs w:val="18"/>
          <w:color w:val="auto"/>
        </w:rPr>
      </w:pPr>
    </w:p>
    <w:p>
      <w:pPr>
        <w:ind w:left="-320" w:right="1879" w:firstLine="956"/>
        <w:spacing w:after="0" w:line="347" w:lineRule="auto"/>
        <w:tabs>
          <w:tab w:leader="none" w:pos="104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Director" means, on any date, a person who is serving as a member of the Board and who is not an Employee.</w:t>
      </w:r>
    </w:p>
    <w:p>
      <w:pPr>
        <w:spacing w:after="0" w:line="18" w:lineRule="exact"/>
        <w:rPr>
          <w:rFonts w:ascii="Courier New" w:cs="Courier New" w:eastAsia="Courier New" w:hAnsi="Courier New"/>
          <w:sz w:val="18"/>
          <w:szCs w:val="18"/>
          <w:color w:val="auto"/>
        </w:rPr>
      </w:pPr>
    </w:p>
    <w:p>
      <w:pPr>
        <w:ind w:left="-320" w:right="1879" w:firstLine="956"/>
        <w:spacing w:after="0" w:line="347" w:lineRule="auto"/>
        <w:tabs>
          <w:tab w:leader="none" w:pos="104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means any officer or other key executive and management employee of the Company or of any of its Subsidiaries.</w:t>
      </w:r>
    </w:p>
    <w:p>
      <w:pPr>
        <w:spacing w:after="0" w:line="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285"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ind w:right="1779" w:firstLine="956"/>
        <w:spacing w:after="0" w:line="286" w:lineRule="auto"/>
        <w:tabs>
          <w:tab w:leader="none" w:pos="136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means, on any date, the closing price of the Stock as reported on the New York Stock Exchange (or on such other recognized market or quotation system on which the trading prices of the Stock are traded or quoted at the relevant time) on such date. In the event that there are no Stock transactions reported on the New York Stock Exchange (or such other market or system) on such date, Fair Market Value shall mean the closing price on the immediately preceding date on which Stock transactions were so reported.</w:t>
      </w:r>
    </w:p>
    <w:p>
      <w:pPr>
        <w:spacing w:after="0" w:line="76" w:lineRule="exact"/>
        <w:rPr>
          <w:rFonts w:ascii="Courier New" w:cs="Courier New" w:eastAsia="Courier New" w:hAnsi="Courier New"/>
          <w:sz w:val="16"/>
          <w:szCs w:val="16"/>
          <w:color w:val="auto"/>
        </w:rPr>
      </w:pPr>
    </w:p>
    <w:p>
      <w:pPr>
        <w:ind w:right="1879" w:firstLine="956"/>
        <w:spacing w:after="0" w:line="265" w:lineRule="auto"/>
        <w:tabs>
          <w:tab w:leader="none" w:pos="136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the right to purchase Stock at a stated price for a specified period of time. For purposes of the Plan, an Option may be either (i) an "Incentive Stock Option" (ISO) within the meaning of Section 422 of the Code or (ii) a NSO which does not qualify for treatment as an "Incentive Stock Option."</w:t>
      </w:r>
    </w:p>
    <w:p>
      <w:pPr>
        <w:spacing w:after="0" w:line="89" w:lineRule="exact"/>
        <w:rPr>
          <w:rFonts w:ascii="Courier New" w:cs="Courier New" w:eastAsia="Courier New" w:hAnsi="Courier New"/>
          <w:sz w:val="18"/>
          <w:szCs w:val="18"/>
          <w:color w:val="auto"/>
        </w:rPr>
      </w:pPr>
    </w:p>
    <w:p>
      <w:pPr>
        <w:ind w:right="2199" w:firstLine="956"/>
        <w:spacing w:after="0" w:line="347" w:lineRule="auto"/>
        <w:tabs>
          <w:tab w:leader="none" w:pos="136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means any Employee designated by the Committee to participate in the Plan.</w:t>
      </w:r>
    </w:p>
    <w:p>
      <w:pPr>
        <w:spacing w:after="0" w:line="18" w:lineRule="exact"/>
        <w:rPr>
          <w:rFonts w:ascii="Courier New" w:cs="Courier New" w:eastAsia="Courier New" w:hAnsi="Courier New"/>
          <w:sz w:val="18"/>
          <w:szCs w:val="18"/>
          <w:color w:val="auto"/>
        </w:rPr>
      </w:pPr>
    </w:p>
    <w:p>
      <w:pPr>
        <w:ind w:right="2419" w:firstLine="956"/>
        <w:spacing w:after="0" w:line="347" w:lineRule="auto"/>
        <w:tabs>
          <w:tab w:leader="none" w:pos="136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The Scotts Company 1996 Stock Option Plan, as in effect from time to time.</w:t>
      </w:r>
    </w:p>
    <w:p>
      <w:pPr>
        <w:spacing w:after="0" w:line="18" w:lineRule="exact"/>
        <w:rPr>
          <w:rFonts w:ascii="Courier New" w:cs="Courier New" w:eastAsia="Courier New" w:hAnsi="Courier New"/>
          <w:sz w:val="18"/>
          <w:szCs w:val="18"/>
          <w:color w:val="auto"/>
        </w:rPr>
      </w:pPr>
    </w:p>
    <w:p>
      <w:pPr>
        <w:jc w:val="both"/>
        <w:ind w:right="1879" w:firstLine="956"/>
        <w:spacing w:after="0" w:line="318" w:lineRule="auto"/>
        <w:tabs>
          <w:tab w:leader="none" w:pos="136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means termination of a Participant's employment on or after the normal retirement date or, with the Committee's approval, on or after any early retirement date established under any retirement plan maintained by the Company or a Subsidiary in which the Participant participates.</w:t>
      </w:r>
    </w:p>
    <w:p>
      <w:pPr>
        <w:spacing w:after="0" w:line="52" w:lineRule="exact"/>
        <w:rPr>
          <w:rFonts w:ascii="Courier New" w:cs="Courier New" w:eastAsia="Courier New" w:hAnsi="Courier New"/>
          <w:sz w:val="16"/>
          <w:szCs w:val="16"/>
          <w:color w:val="auto"/>
        </w:rPr>
      </w:pPr>
    </w:p>
    <w:p>
      <w:pPr>
        <w:ind w:left="1380" w:hanging="424"/>
        <w:spacing w:after="0"/>
        <w:tabs>
          <w:tab w:leader="none" w:pos="138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means the Common Shares, without par value, of the Company.</w:t>
      </w:r>
    </w:p>
    <w:p>
      <w:pPr>
        <w:spacing w:after="0" w:line="223" w:lineRule="exact"/>
        <w:rPr>
          <w:rFonts w:ascii="Courier New" w:cs="Courier New" w:eastAsia="Courier New" w:hAnsi="Courier New"/>
          <w:sz w:val="16"/>
          <w:szCs w:val="16"/>
          <w:color w:val="auto"/>
        </w:rPr>
      </w:pPr>
    </w:p>
    <w:p>
      <w:pPr>
        <w:ind w:right="1879" w:firstLine="956"/>
        <w:spacing w:after="0" w:line="274" w:lineRule="auto"/>
        <w:tabs>
          <w:tab w:leader="none" w:pos="136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any corporation or partnership in which the Company owns, directly or indirectly, 50% or more of the total combined voting power of all classes of stock of such corporation or of the capital interest or profits interest of such partnership.</w:t>
      </w:r>
    </w:p>
    <w:p>
      <w:pPr>
        <w:spacing w:after="0" w:line="82" w:lineRule="exact"/>
        <w:rPr>
          <w:sz w:val="20"/>
          <w:szCs w:val="20"/>
          <w:color w:val="auto"/>
        </w:rPr>
      </w:pPr>
    </w:p>
    <w:p>
      <w:pPr>
        <w:ind w:right="1879" w:firstLine="948"/>
        <w:spacing w:after="0" w:line="274" w:lineRule="auto"/>
        <w:rPr>
          <w:sz w:val="20"/>
          <w:szCs w:val="20"/>
          <w:color w:val="auto"/>
        </w:rPr>
      </w:pPr>
      <w:r>
        <w:rPr>
          <w:rFonts w:ascii="Courier New" w:cs="Courier New" w:eastAsia="Courier New" w:hAnsi="Courier New"/>
          <w:sz w:val="18"/>
          <w:szCs w:val="18"/>
          <w:color w:val="auto"/>
        </w:rPr>
        <w:t>2.2 Gender and Number. Except when otherwise indicated by the context, words in the masculine gender used in the Plan shall include the feminine gender, the singular shall include the plural, and the plural shall include the singular.</w:t>
      </w:r>
    </w:p>
    <w:p>
      <w:pPr>
        <w:spacing w:after="0" w:line="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3.</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ELIGIBILITY AND PARTICIPATION</w:t>
      </w:r>
    </w:p>
    <w:p>
      <w:pPr>
        <w:spacing w:after="0" w:line="201"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Except as otherwise provided in Section 6.6, the only persons eligible to participate in the Plan shall be those Employees selected by the Committee as Participants.</w:t>
      </w:r>
    </w:p>
    <w:p>
      <w:pPr>
        <w:spacing w:after="0" w:line="6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4.</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POWERS OF THE COMMITTEE</w:t>
      </w:r>
    </w:p>
    <w:p>
      <w:pPr>
        <w:spacing w:after="0" w:line="201" w:lineRule="exact"/>
        <w:rPr>
          <w:sz w:val="20"/>
          <w:szCs w:val="20"/>
          <w:color w:val="auto"/>
        </w:rPr>
      </w:pPr>
    </w:p>
    <w:p>
      <w:pPr>
        <w:ind w:right="1879" w:firstLine="948"/>
        <w:spacing w:after="0" w:line="256" w:lineRule="auto"/>
        <w:rPr>
          <w:sz w:val="20"/>
          <w:szCs w:val="20"/>
          <w:color w:val="auto"/>
        </w:rPr>
      </w:pPr>
      <w:r>
        <w:rPr>
          <w:rFonts w:ascii="Courier New" w:cs="Courier New" w:eastAsia="Courier New" w:hAnsi="Courier New"/>
          <w:sz w:val="18"/>
          <w:szCs w:val="18"/>
          <w:color w:val="auto"/>
        </w:rPr>
        <w:t>4.l Power to Grant. The Committee shall determine the Participants to whom Awards shall be granted, the type or types of Awards to be granted and the terms and conditions of any and all such Awards. The Committee may establish different terms and conditions for different types of Awards, for different Participants receiving the same type of Award and for the same Participant for each Award such Participant may receive, whether or not granted at different times.</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0"/>
          <w:szCs w:val="20"/>
          <w:color w:val="auto"/>
        </w:rPr>
      </w:pPr>
    </w:p>
    <w:p>
      <w:pPr>
        <w:ind w:right="1779" w:firstLine="948"/>
        <w:spacing w:after="0" w:line="280" w:lineRule="auto"/>
        <w:rPr>
          <w:sz w:val="20"/>
          <w:szCs w:val="20"/>
          <w:color w:val="auto"/>
        </w:rPr>
      </w:pPr>
      <w:r>
        <w:rPr>
          <w:rFonts w:ascii="Courier New" w:cs="Courier New" w:eastAsia="Courier New" w:hAnsi="Courier New"/>
          <w:sz w:val="16"/>
          <w:szCs w:val="16"/>
          <w:color w:val="auto"/>
        </w:rPr>
        <w:t>4.2 Administration. The Committee shall be responsible for the administration of the Plan. The Committee, by majority action thereof, is authorized to prescribe, amend, and rescind rules and regulations relating to the Plan, to provide for conditions deemed necessary or advisable to protect the interests of the Company, and to make all other determinations (including, without limitation, whether a Participant has incurred a Disability) necessary or advisable for the administration and interpretation of the Plan in order to carry out its provisions and purposes. Determinations, interpretations, or other actions made or taken by the Committee pursuant to the provisions of the Plan shall be final, binding, and conclusive for all purposes and upon all persons.</w:t>
      </w:r>
    </w:p>
    <w:p>
      <w:pPr>
        <w:spacing w:after="0" w:line="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5.</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STOCK SUBJECT TO PLAN</w:t>
      </w:r>
    </w:p>
    <w:p>
      <w:pPr>
        <w:spacing w:after="0" w:line="201" w:lineRule="exact"/>
        <w:rPr>
          <w:sz w:val="20"/>
          <w:szCs w:val="20"/>
          <w:color w:val="auto"/>
        </w:rPr>
      </w:pPr>
    </w:p>
    <w:p>
      <w:pPr>
        <w:ind w:right="1779" w:firstLine="948"/>
        <w:spacing w:after="0" w:line="276" w:lineRule="auto"/>
        <w:rPr>
          <w:sz w:val="20"/>
          <w:szCs w:val="20"/>
          <w:color w:val="auto"/>
        </w:rPr>
      </w:pPr>
      <w:r>
        <w:rPr>
          <w:rFonts w:ascii="Courier New" w:cs="Courier New" w:eastAsia="Courier New" w:hAnsi="Courier New"/>
          <w:sz w:val="16"/>
          <w:szCs w:val="16"/>
          <w:color w:val="auto"/>
        </w:rPr>
        <w:t>5.1 Number. Subject to the provisions of Section 5.3, the number of shares of Stock subject to Awards under the Plan may not exceed 5,500,000 shares of Stock. Subject to the provisions of Section 5.3, no Employee shall receive Awards for more than 150,000 shares of Stock over any one-year period. For this purpose, to the extent that any Award is cancelled (as described in Section</w:t>
      </w:r>
    </w:p>
    <w:p>
      <w:pPr>
        <w:spacing w:after="0" w:line="3"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1.162-27(e)(2)(vi)(B) of the final regulations promulgated under Section 162(m) of the Code), such cancelled Award shall continue to be counted against the maximum number of shares of Stock for which Awards may be granted to an Employee under the Plan. The shares of Stock to be delivered under the Plan may consist, in whole or in part, of treasury Stock or authorized but unissued Stock, not reserved for any other purpose.</w:t>
      </w:r>
    </w:p>
    <w:p>
      <w:pPr>
        <w:spacing w:after="0" w:line="101"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5.2 Cancelled, Terminated, or Forfeited Awards. Except as provided in Section 5.1, any shares of Stock subject to an Award which for any reason is cancelled, terminated or otherwise settled without the issuance of any Stock shall again be available for Awards under the Plan.</w:t>
      </w:r>
    </w:p>
    <w:p>
      <w:pPr>
        <w:spacing w:after="0" w:line="82"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5.3 Adjustment in Capitalization. In the event of any Stock dividend or Stock split, recapitalization (including, without limitation, the payment of an extraordinary dividend), merger, consolidation, combination, spin-off, distribution of assets to shareholders, exchange of shares, or other similar corporate change, the aggregate number of shares of Stock available for Awards under Section 5.1 or subject to outstanding Awards and the respective prices and/or limitations applicable to outstanding Awards may be appropriately adjusted by the Committee, whose determination shall be conclusive. If, pursuant to the preceding sentence, an adjustment is made to the number of shares subject to outstanding Options held by Participants a corresponding adjustment shall be made to the number of shares subject to outstanding Director Options and if an adjustment is made to the number of shares of Stock authorized for issuance under the Plan, a corresponding adjustment shall be made to the number of shares subject to each Director Option thereafter granted pursuant to Section 6.6.</w:t>
      </w:r>
    </w:p>
    <w:p>
      <w:pPr>
        <w:spacing w:after="0" w:line="8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6.</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OPTIONS</w:t>
      </w:r>
    </w:p>
    <w:p>
      <w:pPr>
        <w:spacing w:after="0" w:line="201"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6.1 Grant of Options. Options may be granted to Participants at such time or times as shall be determined by the Committee. Options granted under the Plan may be of two types: (i) Incentive Stock Options and (ii) NSOs. The Committee shall have complete discretion in</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right="1779"/>
        <w:spacing w:after="0" w:line="245" w:lineRule="auto"/>
        <w:rPr>
          <w:sz w:val="20"/>
          <w:szCs w:val="20"/>
          <w:color w:val="auto"/>
        </w:rPr>
      </w:pPr>
      <w:r>
        <w:rPr>
          <w:rFonts w:ascii="Courier New" w:cs="Courier New" w:eastAsia="Courier New" w:hAnsi="Courier New"/>
          <w:sz w:val="18"/>
          <w:szCs w:val="18"/>
          <w:color w:val="auto"/>
        </w:rPr>
        <w:t>determining the number of Options, if any, to be granted to a Participant. Without limiting the foregoing, the Committee may grant Options containing provisions for the issuance to the Participant, upon exercise of such Option and payment of the exercise price therefor with previously owned shares of Stock, of an additional Option for the number of shares so delivered, having such other terms and conditions not inconsistent with the Plan as the Committee shall determine. Each Option shall be evidenced by an Option agreement that shall specify the type of Option granted, the exercise price, the duration of the Option, the number of shares of Stock to which the Option pertains, and such other terms and conditions not inconsistent with the Plan as the Committee shall determine.</w:t>
      </w:r>
    </w:p>
    <w:p>
      <w:pPr>
        <w:spacing w:after="0" w:line="109" w:lineRule="exact"/>
        <w:rPr>
          <w:sz w:val="20"/>
          <w:szCs w:val="20"/>
          <w:color w:val="auto"/>
        </w:rPr>
      </w:pPr>
    </w:p>
    <w:p>
      <w:pPr>
        <w:ind w:right="1879" w:firstLine="948"/>
        <w:spacing w:after="0" w:line="252" w:lineRule="auto"/>
        <w:rPr>
          <w:sz w:val="20"/>
          <w:szCs w:val="20"/>
          <w:color w:val="auto"/>
        </w:rPr>
      </w:pPr>
      <w:r>
        <w:rPr>
          <w:rFonts w:ascii="Courier New" w:cs="Courier New" w:eastAsia="Courier New" w:hAnsi="Courier New"/>
          <w:sz w:val="18"/>
          <w:szCs w:val="18"/>
          <w:color w:val="auto"/>
        </w:rPr>
        <w:t>6.2 Option Price. NSOs and Incentive Stock Options granted pursuant to the Plan shall have an exercise price which is not less than the Fair Market Value of the Stock on the date the Option is granted. To the extent that an Incentive Stock Option is granted to a Participant who owns (actually or constructively under the provisions of Section 424(d) of the Code) Stock possessing more than 10% of the total combined voting power of all classes of Stock of the Company or of any Subsidiary, such Incentive Stock Option shall have an exercise price which is not less than 110% of the Fair Market Value on the date the Option is granted.</w:t>
      </w:r>
    </w:p>
    <w:p>
      <w:pPr>
        <w:spacing w:after="0" w:line="99"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6.3 Exercise of Options. Options awarded to a Participant under the Plan shall be exercisable at such times and shall be subject to such restrictions and conditions including the performance of a minimum period of service, as the Committee may impose, either at or after the time of grant of such Options; provided, however, that if the Committee does not specify another exercise schedule at the time of grant, each Option shall become exercisable on the third anniversary of the date of grant, subject to the Committee's right to accelerate the exercisability of such Option in its discretion. Notwithstanding the foregoing, no Option shall be exercisable for more than 10 years after the date on which it is granted; provided, however, in the case of an Incentive Stock Option granted to a Participant who owns (actually or constructively under the provisions of Section 424(d) of the Code) Stock possessing more than 10% of total combined voting power of all classes of Stock of the Company or any Subsidiary, such Incentive Stock Option shall not be exercisable for more than 5 years after the date on which it is granted.</w:t>
      </w:r>
    </w:p>
    <w:p>
      <w:pPr>
        <w:spacing w:after="0" w:line="291" w:lineRule="exact"/>
        <w:rPr>
          <w:sz w:val="20"/>
          <w:szCs w:val="20"/>
          <w:color w:val="auto"/>
        </w:rPr>
      </w:pPr>
    </w:p>
    <w:p>
      <w:pPr>
        <w:ind w:right="1779" w:firstLine="948"/>
        <w:spacing w:after="0" w:line="249" w:lineRule="auto"/>
        <w:rPr>
          <w:sz w:val="20"/>
          <w:szCs w:val="20"/>
          <w:color w:val="auto"/>
        </w:rPr>
      </w:pPr>
      <w:r>
        <w:rPr>
          <w:rFonts w:ascii="Courier New" w:cs="Courier New" w:eastAsia="Courier New" w:hAnsi="Courier New"/>
          <w:sz w:val="18"/>
          <w:szCs w:val="18"/>
          <w:color w:val="auto"/>
        </w:rPr>
        <w:t>6.4 Payment. The Committee shall establish procedures governing the exercise of Options, which shall require that written notice of exercise be given and that the Option price be paid in full in cash or equivalents, including by personal check, at the time of exercise or pursuant to any arrangement that the Committee shall approve. The Committee may, in its discretion, permit a Participant to make payment in Stock already owned by him, valued at its Fair Market Value on the date of exercise, as partial or full payment of the exercise price. As soon as practicable after receipt of a written exercise notice and full payment of the exercise price, the Company shall deliver to the Participant a certificate or certificates representing the acquired shares of Stock.</w:t>
      </w:r>
    </w:p>
    <w:p>
      <w:pPr>
        <w:spacing w:after="0" w:line="104" w:lineRule="exact"/>
        <w:rPr>
          <w:sz w:val="20"/>
          <w:szCs w:val="20"/>
          <w:color w:val="auto"/>
        </w:rPr>
      </w:pPr>
    </w:p>
    <w:p>
      <w:pPr>
        <w:ind w:right="1879" w:firstLine="948"/>
        <w:spacing w:after="0" w:line="248" w:lineRule="auto"/>
        <w:rPr>
          <w:sz w:val="20"/>
          <w:szCs w:val="20"/>
          <w:color w:val="auto"/>
        </w:rPr>
      </w:pPr>
      <w:r>
        <w:rPr>
          <w:rFonts w:ascii="Courier New" w:cs="Courier New" w:eastAsia="Courier New" w:hAnsi="Courier New"/>
          <w:sz w:val="18"/>
          <w:szCs w:val="18"/>
          <w:color w:val="auto"/>
        </w:rPr>
        <w:t>6.5 Incentive Stock Options. Notwithstanding anything in the Plan to the contrary, no term of this Plan relating to Incentive Stock Options shall be interpreted, amended or altered, nor shall any discretion or authority granted under the Plan be so exercised, so as to disqualify the Plan under Section 422 of the Code, or, without the consent of any Participant affected thereby, to cause any Incentive Stock Option previously granted to fail to qualify for the Federal income tax treatment afforded under Section 421 of the Code. Further, the aggregate Fair Market Value (determined as of the time an Incentive Stock Option is granted) of the Stock with respect to which Incentive Stock Options are exercisable for the first time by any Participant during any calendar year (under all option plans of the Company and all Subsidiaries of the Company) shall not exceed $100,000.</w:t>
      </w:r>
    </w:p>
    <w:p>
      <w:pPr>
        <w:spacing w:after="0" w:line="105"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6.6 Director Options. Notwithstanding anything else contained herein to the contrary, on the first business day following the date of each annual meeting of shareholders during the</w:t>
      </w:r>
    </w:p>
    <w:p>
      <w:pPr>
        <w:sectPr>
          <w:pgSz w:w="11900" w:h="16838" w:orient="portrait"/>
          <w:cols w:equalWidth="0" w:num="1">
            <w:col w:w="10219"/>
          </w:cols>
          <w:pgMar w:left="240" w:top="285" w:right="1440" w:bottom="1440" w:gutter="0" w:footer="0" w:header="0"/>
        </w:sectPr>
      </w:pP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85" w:right="1440" w:bottom="1440"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ind w:right="1779"/>
        <w:spacing w:after="0" w:line="276" w:lineRule="auto"/>
        <w:rPr>
          <w:sz w:val="20"/>
          <w:szCs w:val="20"/>
          <w:color w:val="auto"/>
        </w:rPr>
      </w:pPr>
      <w:r>
        <w:rPr>
          <w:rFonts w:ascii="Courier New" w:cs="Courier New" w:eastAsia="Courier New" w:hAnsi="Courier New"/>
          <w:sz w:val="16"/>
          <w:szCs w:val="16"/>
          <w:color w:val="auto"/>
        </w:rPr>
        <w:t>term of the Plan, each Eligible Director who is not a member of a Board committee shall receive a Director Option to purchase 5,000 shares of Stock at an exercise price per share equal to the Fair Market Value of the Stock on the date of grant. An Eligible Director who is a member of one or more Board committees, shall receive a grant of 5,500 shares. An Eligible Director who chairs one or more Board committees shall receive a grant of 6,000 shares. Each Director Option shall be exercisable six months after the date of grant and shall remain exercisable until the earlier to occur of (i) the tenth anniversary of the date of grant or (ii) the first anniversary of the date the Eligible Director ceases to be a member of the Board, except that if the Eligible Director ceases to be a member of the Board after having been convicted of, or pled guilty or nolo contendere to, a felony, his Director Options shall be cancelled on the date he ceases to be a director. An Eligible Director may exercise a Director Option in the manner described in Section 6.3.</w:t>
      </w:r>
    </w:p>
    <w:p>
      <w:pPr>
        <w:spacing w:after="0" w:line="29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7.</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TERMINATION OF EMPLOYMENT</w:t>
      </w:r>
    </w:p>
    <w:p>
      <w:pPr>
        <w:spacing w:after="0" w:line="201" w:lineRule="exact"/>
        <w:rPr>
          <w:sz w:val="20"/>
          <w:szCs w:val="20"/>
          <w:color w:val="auto"/>
        </w:rPr>
      </w:pPr>
    </w:p>
    <w:p>
      <w:pPr>
        <w:ind w:right="1779" w:firstLine="948"/>
        <w:spacing w:after="0" w:line="247" w:lineRule="auto"/>
        <w:rPr>
          <w:sz w:val="20"/>
          <w:szCs w:val="20"/>
          <w:color w:val="auto"/>
        </w:rPr>
      </w:pPr>
      <w:r>
        <w:rPr>
          <w:rFonts w:ascii="Courier New" w:cs="Courier New" w:eastAsia="Courier New" w:hAnsi="Courier New"/>
          <w:sz w:val="18"/>
          <w:szCs w:val="18"/>
          <w:color w:val="auto"/>
        </w:rPr>
        <w:t>7.1 Termination of Employment Due to Retirement. Unless otherwise determined by the Committee at the time of grant, in the event a Participant's employment terminates by reason of Retirement, any Options granted to such Participant which are then outstanding (whether or not exercisable prior to the date of such termination) may be exercised at any time prior to the expiration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 terminates his employment by reason of Retirement may exercise such Incentive Stock Option at any time prior to the expiration of the term of the Option or within three (3) months following the Participant's termination of employment, whichever period is shorter.</w:t>
      </w:r>
    </w:p>
    <w:p>
      <w:pPr>
        <w:spacing w:after="0" w:line="108" w:lineRule="exact"/>
        <w:rPr>
          <w:sz w:val="20"/>
          <w:szCs w:val="20"/>
          <w:color w:val="auto"/>
        </w:rPr>
      </w:pPr>
    </w:p>
    <w:p>
      <w:pPr>
        <w:ind w:right="1779" w:firstLine="948"/>
        <w:spacing w:after="0" w:line="245" w:lineRule="auto"/>
        <w:rPr>
          <w:sz w:val="20"/>
          <w:szCs w:val="20"/>
          <w:color w:val="auto"/>
        </w:rPr>
      </w:pPr>
      <w:r>
        <w:rPr>
          <w:rFonts w:ascii="Courier New" w:cs="Courier New" w:eastAsia="Courier New" w:hAnsi="Courier New"/>
          <w:sz w:val="18"/>
          <w:szCs w:val="18"/>
          <w:color w:val="auto"/>
        </w:rPr>
        <w:t>7.2 Termination of Employment Due to Death or Disability. Unless otherwise determined by the Committee at the time of grant, in the event a Participant's employment terminates by reason of death or Disability, any Options granted to such Participant which are then outstanding (whether or not exercisable prior to the date of such termination) may be exercised by the Participant or the Participant's designated beneficiary, and if none is named, in accordance with Section 10.2, at any time prior to the expiration date of the term of the Options or within five (5) years (or such shorter period as the Committee shall determine at the time of grant) following the Participant's termination of employment, whichever period is shorter. Notwithstanding any provision contained herein, with respect to any Incentive Stock Option, a Participant whose employment terminates by reason of death or Disability may exercise (or his designated beneficiary may exercise, in the case of death) such Incentive Stock Option at any time prior to the expiration of the term of the Option or within one (1) year following the Participant's termination of employment, whichever period is shorter.</w:t>
      </w:r>
    </w:p>
    <w:p>
      <w:pPr>
        <w:spacing w:after="0" w:line="113"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7.3 Termination of Employment For Cause. Unless otherwise determined by the Committee at the time of grant, in the event a Participant's employment is terminated for Cause, any Options granted to such Participant which are then outstanding (whether or not exercisable prior to the date of such termination) shall be forfeited.</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ind w:right="1779" w:firstLine="948"/>
        <w:spacing w:after="0" w:line="247" w:lineRule="auto"/>
        <w:rPr>
          <w:sz w:val="20"/>
          <w:szCs w:val="20"/>
          <w:color w:val="auto"/>
        </w:rPr>
      </w:pPr>
      <w:r>
        <w:rPr>
          <w:rFonts w:ascii="Courier New" w:cs="Courier New" w:eastAsia="Courier New" w:hAnsi="Courier New"/>
          <w:sz w:val="18"/>
          <w:szCs w:val="18"/>
          <w:color w:val="auto"/>
        </w:rPr>
        <w:t>7.4 Termination of Employment for Any Other Reason. Unless otherwise determined by the Committee at or after the time of grant, in the event the employment of the Participant shall terminate for any reason other than one described in Section 7.1, 7.2 or 7.3, any Options granted to such Participant which are exercisable at the date of the Participant's termination of employment, or on such accelerated basis as the Committee may have determined in its discretion, shall remain exercisable until the earlier to occur of (i) the expiration of the term of such Options or (ii) the ninetieth day following the Participant's termination of employment, whichever period is shorter.</w:t>
      </w:r>
    </w:p>
    <w:p>
      <w:pPr>
        <w:spacing w:after="0" w:line="105" w:lineRule="exact"/>
        <w:rPr>
          <w:sz w:val="20"/>
          <w:szCs w:val="20"/>
          <w:color w:val="auto"/>
        </w:rPr>
      </w:pPr>
    </w:p>
    <w:p>
      <w:pPr>
        <w:ind w:right="1779" w:firstLine="948"/>
        <w:spacing w:after="0" w:line="245" w:lineRule="auto"/>
        <w:rPr>
          <w:sz w:val="20"/>
          <w:szCs w:val="20"/>
          <w:color w:val="auto"/>
        </w:rPr>
      </w:pPr>
      <w:r>
        <w:rPr>
          <w:rFonts w:ascii="Courier New" w:cs="Courier New" w:eastAsia="Courier New" w:hAnsi="Courier New"/>
          <w:sz w:val="18"/>
          <w:szCs w:val="18"/>
          <w:color w:val="auto"/>
        </w:rPr>
        <w:t>7.5 Limitations on Exercisability Following Termination of Employment. No Options shall be exercisable after termination of employment unless the Participant shall have, during the time period in which the Options are exercisable, (a) refrained from serving as an officer, director or employee of any individual, partnership or corporation, or the owner of a business, or a member of a partnership which conducts business in competition with the Company or renders any service (including, without limitation, advertising agencies and business consultants) to competitors with any portion of the business of the Company, (b) been available, if so requested by the Company, at reasonable times and upon a reasonable basis, to consult with, supply information to, and otherwise cooperate with, the Company, and (c) refrained from engaging in a deliberate action which has been determined by the Committee to cause substantial harm to the interests of the Company. If any of these conditions is not fulfilled, the Committee may require the Participant to forfeit all rights to any Options which have not been exercised prior to the date of the breach of the condition.</w:t>
      </w:r>
    </w:p>
    <w:p>
      <w:pPr>
        <w:spacing w:after="0" w:line="11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SECTION 8.</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CHANGE IN CONTROL</w:t>
      </w:r>
    </w:p>
    <w:p>
      <w:pPr>
        <w:spacing w:after="0" w:line="201" w:lineRule="exact"/>
        <w:rPr>
          <w:sz w:val="20"/>
          <w:szCs w:val="20"/>
          <w:color w:val="auto"/>
        </w:rPr>
      </w:pPr>
    </w:p>
    <w:p>
      <w:pPr>
        <w:ind w:right="1779" w:firstLine="948"/>
        <w:spacing w:after="0" w:line="250" w:lineRule="auto"/>
        <w:rPr>
          <w:sz w:val="20"/>
          <w:szCs w:val="20"/>
          <w:color w:val="auto"/>
        </w:rPr>
      </w:pPr>
      <w:r>
        <w:rPr>
          <w:rFonts w:ascii="Courier New" w:cs="Courier New" w:eastAsia="Courier New" w:hAnsi="Courier New"/>
          <w:sz w:val="18"/>
          <w:szCs w:val="18"/>
          <w:color w:val="auto"/>
        </w:rPr>
        <w:t>8.1 Accelerated Vesting and Payment. Subject to the provisions of Section 8.2 below, in the event of a Change in Control, each Participant shall be permitted, in his discretion, to surrender any Option (excluding any Director Option) or portion thereof in exchange for a payment in cash of an amount equal to the excess of the Change in Control Price over the exercise price of the Option. Such right to surrender an Option in exchange for a payment in cash shall remain in effect only during the fifteen-day period commencing with the day following the date of a Change in Control. Thereafter, the Option shall only be exercisable in accordance with the terms and conditions of the Stock Option Agreement and the provisions of the Plan.</w:t>
      </w:r>
    </w:p>
    <w:p>
      <w:pPr>
        <w:spacing w:after="0" w:line="104" w:lineRule="exact"/>
        <w:rPr>
          <w:sz w:val="20"/>
          <w:szCs w:val="20"/>
          <w:color w:val="auto"/>
        </w:rPr>
      </w:pPr>
    </w:p>
    <w:p>
      <w:pPr>
        <w:ind w:right="1779" w:firstLine="948"/>
        <w:spacing w:after="0" w:line="289" w:lineRule="auto"/>
        <w:rPr>
          <w:sz w:val="20"/>
          <w:szCs w:val="20"/>
          <w:color w:val="auto"/>
        </w:rPr>
      </w:pPr>
      <w:r>
        <w:rPr>
          <w:rFonts w:ascii="Courier New" w:cs="Courier New" w:eastAsia="Courier New" w:hAnsi="Courier New"/>
          <w:sz w:val="16"/>
          <w:szCs w:val="16"/>
          <w:color w:val="auto"/>
        </w:rPr>
        <w:t>8.2 Alternative Awards. Notwithstanding Section 8.l, no cancellation or cash settlement or other payment shall occur with respect to any Award or any class of Awards if the Committee reasonably determines in good faith prior to the occurrence of a Change in Control that such Award or Awards shall be honored or assumed, or new rights substituted therefor (such honored, assumed or substituted award hereinafter called an "Alternative Award"), by a Participant's employer (or the parent or a subsidiary of such employer) immediately following the Change in Control, provided that any such Alternative Award must:</w:t>
      </w:r>
    </w:p>
    <w:p>
      <w:pPr>
        <w:spacing w:after="0" w:line="77" w:lineRule="exact"/>
        <w:rPr>
          <w:sz w:val="20"/>
          <w:szCs w:val="20"/>
          <w:color w:val="auto"/>
        </w:rPr>
      </w:pPr>
    </w:p>
    <w:p>
      <w:pPr>
        <w:jc w:val="both"/>
        <w:ind w:right="2319" w:firstLine="956"/>
        <w:spacing w:after="0" w:line="402" w:lineRule="auto"/>
        <w:tabs>
          <w:tab w:leader="none" w:pos="136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based on stock which is traded on an established securities market, or which will be so traded within 60 days of the Change in Control;</w:t>
      </w:r>
    </w:p>
    <w:p>
      <w:pPr>
        <w:ind w:right="1779" w:firstLine="956"/>
        <w:spacing w:after="0" w:line="265"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such Participant (or each Participant in a class of Participants) with rights and entitlements substantially equivalent to or better than the rights, terms and conditions applicable under such Award, including, but not limited to, an identical or better exercise or vesting schedule and identical or better timing and methods of payment;</w:t>
      </w:r>
    </w:p>
    <w:p>
      <w:pPr>
        <w:spacing w:after="0" w:line="89" w:lineRule="exact"/>
        <w:rPr>
          <w:rFonts w:ascii="Courier New" w:cs="Courier New" w:eastAsia="Courier New" w:hAnsi="Courier New"/>
          <w:sz w:val="18"/>
          <w:szCs w:val="18"/>
          <w:color w:val="auto"/>
        </w:rPr>
      </w:pPr>
    </w:p>
    <w:p>
      <w:pPr>
        <w:ind w:right="2519" w:firstLine="956"/>
        <w:spacing w:after="0" w:line="347" w:lineRule="auto"/>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substantially equivalent economic value to such Award (determined at the time of the Change in Control); and</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ind w:right="1779" w:firstLine="956"/>
        <w:spacing w:after="0" w:line="256" w:lineRule="auto"/>
        <w:tabs>
          <w:tab w:leader="none" w:pos="147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terms and conditions which provide that in the event that the Participant's employment is involuntarily terminated or constructively terminated, any conditions on a Participant's rights under, or any restrictions on transfer or exercisability applicable to, each such Alternative Award shall be waived or shall lapse, as the case may be.</w:t>
      </w:r>
    </w:p>
    <w:p>
      <w:pPr>
        <w:spacing w:after="0" w:line="96" w:lineRule="exact"/>
        <w:rPr>
          <w:sz w:val="20"/>
          <w:szCs w:val="20"/>
          <w:color w:val="auto"/>
        </w:rPr>
      </w:pPr>
    </w:p>
    <w:p>
      <w:pPr>
        <w:ind w:right="1879" w:firstLine="948"/>
        <w:spacing w:after="0" w:line="306" w:lineRule="auto"/>
        <w:rPr>
          <w:sz w:val="20"/>
          <w:szCs w:val="20"/>
          <w:color w:val="auto"/>
        </w:rPr>
      </w:pPr>
      <w:r>
        <w:rPr>
          <w:rFonts w:ascii="Courier New" w:cs="Courier New" w:eastAsia="Courier New" w:hAnsi="Courier New"/>
          <w:sz w:val="16"/>
          <w:szCs w:val="16"/>
          <w:color w:val="auto"/>
        </w:rPr>
        <w:t>For this purpose, a constructive termination shall mean a termination by a Participant following a material reduction in the Participant's compensation, a material reduction in the Participant's responsibilities or the relocation of the Participant's principal place of employment to another location, in each case without the Participant's written consent.</w:t>
      </w:r>
    </w:p>
    <w:p>
      <w:pPr>
        <w:spacing w:after="0" w:line="60" w:lineRule="exact"/>
        <w:rPr>
          <w:sz w:val="20"/>
          <w:szCs w:val="20"/>
          <w:color w:val="auto"/>
        </w:rPr>
      </w:pPr>
    </w:p>
    <w:p>
      <w:pPr>
        <w:ind w:right="1879" w:firstLine="948"/>
        <w:spacing w:after="0" w:line="298" w:lineRule="auto"/>
        <w:rPr>
          <w:sz w:val="20"/>
          <w:szCs w:val="20"/>
          <w:color w:val="auto"/>
        </w:rPr>
      </w:pPr>
      <w:r>
        <w:rPr>
          <w:rFonts w:ascii="Courier New" w:cs="Courier New" w:eastAsia="Courier New" w:hAnsi="Courier New"/>
          <w:sz w:val="16"/>
          <w:szCs w:val="16"/>
          <w:color w:val="auto"/>
        </w:rPr>
        <w:t>8.3 Director Options. Upon a Change in Control, each Director Option granted to an Eligible Director shall be cancelled in exchange for a payment in cash of an amount equal to the excess of the Change in Control Price over the exercise price for such Director Option unless (i) the Stock remains traded on an established securities market following the Change in Control and (ii) such Eligible Director remains on the Board following the Change in Control.</w:t>
      </w:r>
    </w:p>
    <w:p>
      <w:pPr>
        <w:spacing w:after="0" w:line="68" w:lineRule="exact"/>
        <w:rPr>
          <w:sz w:val="20"/>
          <w:szCs w:val="20"/>
          <w:color w:val="auto"/>
        </w:rPr>
      </w:pPr>
    </w:p>
    <w:p>
      <w:pPr>
        <w:ind w:right="1879" w:firstLine="948"/>
        <w:spacing w:after="0" w:line="253" w:lineRule="auto"/>
        <w:rPr>
          <w:sz w:val="20"/>
          <w:szCs w:val="20"/>
          <w:color w:val="auto"/>
        </w:rPr>
      </w:pPr>
      <w:r>
        <w:rPr>
          <w:rFonts w:ascii="Courier New" w:cs="Courier New" w:eastAsia="Courier New" w:hAnsi="Courier New"/>
          <w:sz w:val="18"/>
          <w:szCs w:val="18"/>
          <w:color w:val="auto"/>
        </w:rPr>
        <w:t>8.4 Options Granted Within Six Months of the Change in Control. If any Option (including a Director Option) granted within six months of the date on which a Change in Control occurs (i) is held by a person subject to the reporting requirements of Section 16(a) of the Act and (ii) is to be cashed out pursuant to Section 8.1 or 8.3, such cash out shall not occur unless and until, in the opinion of the Company's counsel, such cash out could occur without such reporting person being potentially subject to liability under Section 16(b) of the Act by reason of such cash out.</w:t>
      </w:r>
    </w:p>
    <w:p>
      <w:pPr>
        <w:spacing w:after="0" w:line="1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9.</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AMENDMENT, MODIFICATION, AND TERMINATION OF PLAN</w:t>
      </w:r>
    </w:p>
    <w:p>
      <w:pPr>
        <w:spacing w:after="0" w:line="201" w:lineRule="exact"/>
        <w:rPr>
          <w:sz w:val="20"/>
          <w:szCs w:val="20"/>
          <w:color w:val="auto"/>
        </w:rPr>
      </w:pPr>
    </w:p>
    <w:p>
      <w:pPr>
        <w:ind w:right="1779" w:firstLine="948"/>
        <w:spacing w:after="0" w:line="277" w:lineRule="auto"/>
        <w:rPr>
          <w:sz w:val="20"/>
          <w:szCs w:val="20"/>
          <w:color w:val="auto"/>
        </w:rPr>
      </w:pPr>
      <w:r>
        <w:rPr>
          <w:rFonts w:ascii="Courier New" w:cs="Courier New" w:eastAsia="Courier New" w:hAnsi="Courier New"/>
          <w:sz w:val="16"/>
          <w:szCs w:val="16"/>
          <w:color w:val="auto"/>
        </w:rPr>
        <w:t>The Board or the Committee may at any time terminate or suspend the Plan, and from time to time may amend or modify the Plan; provided, however, that no amendment may be made to Section 6.6 or any other provision of the Plan relating to Director Options within six months of the last date on which any such provision was amended. Any such amendment, termination or suspension may be made without the approval of the shareholders of the Company except as such shareholder approval may be required (a) to satisfy the requirements of Rule 16b-3 under the Act, or any successor rule or regulation, (b) to satisfy applicable requirements of the Code or (c) to satisfy applicable requirements of any securities exchange on which are listed any of the Company's equity securities. No amendment of the Plan shall result in any Committee member's losing his status as a "disinterested person" as defined in Rule 16b-3 under the Act, or any successor rule or regulation, with respect to any employee benefit plan of the Company or result in the Plan's losing its status as a plan satisfying the requirements of said Rule 16b-3. No amendment, modification, or termination of the Plan shall in any manner adversely affect any Award therefore granted under the Plan, without the consent of the Participant.</w:t>
      </w:r>
    </w:p>
    <w:p>
      <w:pPr>
        <w:spacing w:after="0" w:line="2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9</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SECTION 10</w:t>
      </w:r>
    </w:p>
    <w:p>
      <w:pPr>
        <w:spacing w:after="0" w:line="16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MISCELLANEOUS PROVISIONS</w:t>
      </w:r>
    </w:p>
    <w:p>
      <w:pPr>
        <w:spacing w:after="0" w:line="201" w:lineRule="exact"/>
        <w:rPr>
          <w:sz w:val="20"/>
          <w:szCs w:val="20"/>
          <w:color w:val="auto"/>
        </w:rPr>
      </w:pPr>
    </w:p>
    <w:p>
      <w:pPr>
        <w:ind w:right="1779" w:firstLine="948"/>
        <w:spacing w:after="0" w:line="278" w:lineRule="auto"/>
        <w:rPr>
          <w:sz w:val="20"/>
          <w:szCs w:val="20"/>
          <w:color w:val="auto"/>
        </w:rPr>
      </w:pPr>
      <w:r>
        <w:rPr>
          <w:rFonts w:ascii="Courier New" w:cs="Courier New" w:eastAsia="Courier New" w:hAnsi="Courier New"/>
          <w:sz w:val="16"/>
          <w:szCs w:val="16"/>
          <w:color w:val="auto"/>
        </w:rPr>
        <w:t>10.1 Assignability. With the permission of the Committee, a Participant who has been granted a NSO under the Plan, may transfer such Option to a revocable inter vivos trust as to which the Participant is the settlor or may transfer such an Option to a "Permissible Transferee." A Permissible Transferee shall be defined as any member of the immediate family of the Participant, any trust, whether revocable or irrevocable, solely for the benefit of members of the Participant's immediate family, or any partnership whose only partners are members of the Participant's immediate family. Any such transferee of a NSO shall remain subject to all of the terms and conditions applicable to such NSO and subject to the rules and regulations prescribed by the Committee. A NSO may not be retransferred by a Permissible Transferee except by will or the laws of descent and distribution and then only to another Permissible Transferee. Other than as described above, an Award granted under the Plan may not be transferred except by will or the laws of descent and distribution and, during the lifetime of the Participant to whom granted, may be exercised only by him, his guardian or legal representative.</w:t>
      </w:r>
    </w:p>
    <w:p>
      <w:pPr>
        <w:spacing w:after="0" w:line="295" w:lineRule="exact"/>
        <w:rPr>
          <w:sz w:val="20"/>
          <w:szCs w:val="20"/>
          <w:color w:val="auto"/>
        </w:rPr>
      </w:pPr>
    </w:p>
    <w:p>
      <w:pPr>
        <w:ind w:right="1779" w:firstLine="948"/>
        <w:spacing w:after="0" w:line="248" w:lineRule="auto"/>
        <w:rPr>
          <w:sz w:val="20"/>
          <w:szCs w:val="20"/>
          <w:color w:val="auto"/>
        </w:rPr>
      </w:pPr>
      <w:r>
        <w:rPr>
          <w:rFonts w:ascii="Courier New" w:cs="Courier New" w:eastAsia="Courier New" w:hAnsi="Courier New"/>
          <w:sz w:val="18"/>
          <w:szCs w:val="18"/>
          <w:color w:val="auto"/>
        </w:rPr>
        <w:t>10.2 Beneficiary Designation. Each Participant and each Eligible Director under the Plan may from time to time name any beneficiary or beneficiaries (who may be named contingently or successively) to whom any benefit under the Plan is to be paid or by whom any right under the Plan is to be exercised in case of his death. Each designation shall revoke all prior designations by the same Participant or Eligible Director, shall be in a form prescribed by the Committee, and shall be effective only when filed in writing with the Committee. In the absence of any such designation, benefits remaining unpaid at the Participant's death shall be paid to or exercised by his surviving spouse, if any, or otherwise to or by his estate and Director Options outstanding at the Eligible Director's death shall be exercised by his surviving spouse, if any, or otherwise by his estate.</w:t>
      </w:r>
    </w:p>
    <w:p>
      <w:pPr>
        <w:spacing w:after="0" w:line="105"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10.3 No Guarantee of Employment or Participation. Nothing in the Plan shall interfere with or limit in any way the right of the Company or any Subsidiary to terminate any Participant's employment at any time, nor confer upon any Participant any right to continue in the employ of the Company or any Subsidiary. No Employee shall have a right to be selected as a Participant, or, having been so selected, to receive any future Awards. Nothing in the Plan shall confer upon an Eligible Director a right to continue to serve on the Board or to be nominated for reelection to the Board.</w:t>
      </w:r>
    </w:p>
    <w:p>
      <w:pPr>
        <w:spacing w:after="0" w:line="104" w:lineRule="exact"/>
        <w:rPr>
          <w:sz w:val="20"/>
          <w:szCs w:val="20"/>
          <w:color w:val="auto"/>
        </w:rPr>
      </w:pPr>
    </w:p>
    <w:p>
      <w:pPr>
        <w:ind w:right="1779" w:firstLine="948"/>
        <w:spacing w:after="0" w:line="249" w:lineRule="auto"/>
        <w:rPr>
          <w:sz w:val="20"/>
          <w:szCs w:val="20"/>
          <w:color w:val="auto"/>
        </w:rPr>
      </w:pPr>
      <w:r>
        <w:rPr>
          <w:rFonts w:ascii="Courier New" w:cs="Courier New" w:eastAsia="Courier New" w:hAnsi="Courier New"/>
          <w:sz w:val="18"/>
          <w:szCs w:val="18"/>
          <w:color w:val="auto"/>
        </w:rPr>
        <w:t>10.4 Tax Withholding. The Company shall have the power to withhold, or require a Participant or Eligible Director to remit to the Company, an amount sufficient to satisfy Federal, State, and local withholding tax requirements on any Award under the Plan, and the Company may defer payment of cash or issuance of Stock until such requirements are satisfied. The Committee may, in its discretion, permit a Participant to elect, subject to such conditions as the Committee shall impose, (i) to have shares of Stock otherwise issuable under the Plan withheld by the Company or (ii) to deliver to the Company previously acquired shares of Stock having a Fair Market Value sufficient to satisfy all or part of the Participant's estimated total Federal, state, and local tax obligation associated with the transaction.</w:t>
      </w:r>
    </w:p>
    <w:p>
      <w:pPr>
        <w:spacing w:after="0" w:line="104"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10.5 Indemnification.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made a party or in which he may be involved by reason of any action taken or failure to act under the Plan and against and from any and all amounts paid by him in settlement thereof, with</w:t>
      </w:r>
    </w:p>
    <w:p>
      <w:pPr>
        <w:sectPr>
          <w:pgSz w:w="11900" w:h="16838" w:orient="portrait"/>
          <w:cols w:equalWidth="0" w:num="1">
            <w:col w:w="10219"/>
          </w:cols>
          <w:pgMar w:left="240" w:top="285" w:right="1440" w:bottom="1440" w:gutter="0" w:footer="0" w:header="0"/>
        </w:sectPr>
      </w:pP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85" w:right="1440" w:bottom="1440"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the 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and shall be independent of any other rights of indemnification to which such persons may be entitled under the Company's Articles of Incorporation or Code of Regulations, by contract, as a matter of law, or otherwise.</w:t>
      </w:r>
    </w:p>
    <w:p>
      <w:pPr>
        <w:spacing w:after="0" w:line="106"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10.6 No Limitation on Compensation. Nothing in the Plan shall be construed to limit the right of the Company to establish other plans or to pay compensation to its Employees or directors, in cash or property, in a manner which is not expressly authorized under the Plan.</w:t>
      </w:r>
    </w:p>
    <w:p>
      <w:pPr>
        <w:spacing w:after="0" w:line="82" w:lineRule="exact"/>
        <w:rPr>
          <w:sz w:val="20"/>
          <w:szCs w:val="20"/>
          <w:color w:val="auto"/>
        </w:rPr>
      </w:pPr>
    </w:p>
    <w:p>
      <w:pPr>
        <w:ind w:right="1779" w:firstLine="948"/>
        <w:spacing w:after="0" w:line="285" w:lineRule="auto"/>
        <w:rPr>
          <w:sz w:val="20"/>
          <w:szCs w:val="20"/>
          <w:color w:val="auto"/>
        </w:rPr>
      </w:pPr>
      <w:r>
        <w:rPr>
          <w:rFonts w:ascii="Courier New" w:cs="Courier New" w:eastAsia="Courier New" w:hAnsi="Courier New"/>
          <w:sz w:val="16"/>
          <w:szCs w:val="16"/>
          <w:color w:val="auto"/>
        </w:rPr>
        <w:t>10.7 International Employees. It is the Company's desire to provide the same motivation to materially increase shareholder value and to enable the Company to attract and retain the services of outstanding managers in the international locations where the Company maintains facilities and employs people. To this end, the Company will adopt incentives in its foreign locations that provide as closely as possible the same motivational effect as Options provide to domestic Participants. The Committee may grant Awards to employees who are subject to the tax laws of nations other than the United States, which Awards may have terms and conditions that differ from other Awards granted under the Plan for the purposes of complying with foreign tax laws.</w:t>
      </w:r>
    </w:p>
    <w:p>
      <w:pPr>
        <w:spacing w:after="0" w:line="291" w:lineRule="exact"/>
        <w:rPr>
          <w:sz w:val="20"/>
          <w:szCs w:val="20"/>
          <w:color w:val="auto"/>
        </w:rPr>
      </w:pPr>
    </w:p>
    <w:p>
      <w:pPr>
        <w:ind w:right="1779" w:firstLine="948"/>
        <w:spacing w:after="0" w:line="247" w:lineRule="auto"/>
        <w:rPr>
          <w:sz w:val="20"/>
          <w:szCs w:val="20"/>
          <w:color w:val="auto"/>
        </w:rPr>
      </w:pPr>
      <w:r>
        <w:rPr>
          <w:rFonts w:ascii="Courier New" w:cs="Courier New" w:eastAsia="Courier New" w:hAnsi="Courier New"/>
          <w:sz w:val="18"/>
          <w:szCs w:val="18"/>
          <w:color w:val="auto"/>
        </w:rPr>
        <w:t>10.8 Requirements of Law. The granting of Awards and the issuance of shares of Stock shall be subject to all applicable laws, rules, and regulations, and to such approvals by any governmental agencies or national securities exchanges as may be required. Notwithstanding the foregoing, no Stock shall be issued under the Plan unless the Company is satisfied that such issuance will be in compliance with applicable federal and state securities laws. Certificates for Stock delivered under the Plan may be subject to such stock transfer orders and other restrictions as the Committee may deem advisable under the rules, regulations and other requirements of the Securities and Exchange Commission, any stock exchange upon which the Stock is then listed or traded, the Nasdaq National Market or any applicable federal or state securities law. The Committee may cause a legend or legends to be placed on any such certificates to make appropriate reference to such restrictions.</w:t>
      </w:r>
    </w:p>
    <w:p>
      <w:pPr>
        <w:spacing w:after="0" w:line="108" w:lineRule="exact"/>
        <w:rPr>
          <w:sz w:val="20"/>
          <w:szCs w:val="20"/>
          <w:color w:val="auto"/>
        </w:rPr>
      </w:pPr>
    </w:p>
    <w:p>
      <w:pPr>
        <w:ind w:right="1779" w:firstLine="948"/>
        <w:spacing w:after="0" w:line="298" w:lineRule="auto"/>
        <w:rPr>
          <w:sz w:val="20"/>
          <w:szCs w:val="20"/>
          <w:color w:val="auto"/>
        </w:rPr>
      </w:pPr>
      <w:r>
        <w:rPr>
          <w:rFonts w:ascii="Courier New" w:cs="Courier New" w:eastAsia="Courier New" w:hAnsi="Courier New"/>
          <w:sz w:val="16"/>
          <w:szCs w:val="16"/>
          <w:color w:val="auto"/>
        </w:rPr>
        <w:t>10.9 Term of Plan. The Plan shall be effective upon its adoption by the Committee, subject to approval by the Board and approval by the affirmative vote of the holders of a majority of the shares of voting stock present in person or represented by proxy at the 1996 Annual Meeting of Shareholders. The Plan shall continue in effect, unless sooner terminated pursuant to Section 9, until the tenth anniversary of the date on which it is adopted by the Board.</w:t>
      </w:r>
    </w:p>
    <w:p>
      <w:pPr>
        <w:spacing w:after="0" w:line="68" w:lineRule="exact"/>
        <w:rPr>
          <w:sz w:val="20"/>
          <w:szCs w:val="20"/>
          <w:color w:val="auto"/>
        </w:rPr>
      </w:pPr>
    </w:p>
    <w:p>
      <w:pPr>
        <w:ind w:right="1999" w:firstLine="948"/>
        <w:spacing w:after="0" w:line="402" w:lineRule="auto"/>
        <w:rPr>
          <w:sz w:val="20"/>
          <w:szCs w:val="20"/>
          <w:color w:val="auto"/>
        </w:rPr>
      </w:pPr>
      <w:r>
        <w:rPr>
          <w:rFonts w:ascii="Courier New" w:cs="Courier New" w:eastAsia="Courier New" w:hAnsi="Courier New"/>
          <w:sz w:val="16"/>
          <w:szCs w:val="16"/>
          <w:color w:val="auto"/>
        </w:rPr>
        <w:t>10.10 Governing Law. The Plan, and all agreements hereunder, shall be construed in accordance with and governed by the laws of the State of Ohio.</w:t>
      </w:r>
    </w:p>
    <w:p>
      <w:pPr>
        <w:spacing w:after="0" w:line="1" w:lineRule="exact"/>
        <w:rPr>
          <w:sz w:val="20"/>
          <w:szCs w:val="20"/>
          <w:color w:val="auto"/>
        </w:rPr>
      </w:pPr>
    </w:p>
    <w:p>
      <w:pPr>
        <w:ind w:right="2099" w:firstLine="948"/>
        <w:spacing w:after="0" w:line="402" w:lineRule="auto"/>
        <w:rPr>
          <w:sz w:val="20"/>
          <w:szCs w:val="20"/>
          <w:color w:val="auto"/>
        </w:rPr>
      </w:pPr>
      <w:r>
        <w:rPr>
          <w:rFonts w:ascii="Courier New" w:cs="Courier New" w:eastAsia="Courier New" w:hAnsi="Courier New"/>
          <w:sz w:val="16"/>
          <w:szCs w:val="16"/>
          <w:color w:val="auto"/>
        </w:rPr>
        <w:t>10.11 No Impact On Benefits. Plan Awards are not compensation for purposes of calculating an Employee's rights under any employee benefit plan.</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285"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23(a)</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[Logo of PricewaterhouseCoopers LLP]</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19, 1999</w:t>
      </w:r>
    </w:p>
    <w:p>
      <w:pPr>
        <w:spacing w:after="0" w:line="201"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of The Scotts Company on Form S-8 of our report dated October 23, 1998 (except for Note 20 as to which the date is December 15, 1998) on our audits of the consolidated financial statements and financial statement schedules of The Scotts Company and Subsidiaries as of September 30, 1998 and 1997, and for the three years ended September 30, 1998, 1997, and 1996, which report is included in the Annual Report on Form 10-K.</w:t>
      </w:r>
    </w:p>
    <w:p>
      <w:pPr>
        <w:spacing w:after="0" w:line="9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/s/</w:t>
        <w:tab/>
        <w:t>PricewaterhouseCoopers LLP</w:t>
      </w:r>
    </w:p>
    <w:p>
      <w:pPr>
        <w:sectPr>
          <w:pgSz w:w="11900" w:h="16838" w:orient="portrait"/>
          <w:cols w:equalWidth="0" w:num="1">
            <w:col w:w="10219"/>
          </w:cols>
          <w:pgMar w:left="240" w:top="110"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475"/>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1996 STOCK OPTION PLAN, AS AMENDED,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8" w:lineRule="exact"/>
        <w:rPr>
          <w:sz w:val="20"/>
          <w:szCs w:val="20"/>
          <w:color w:val="auto"/>
        </w:rPr>
      </w:pPr>
    </w:p>
    <w:p>
      <w:pPr>
        <w:ind w:right="1779" w:firstLine="1475"/>
        <w:spacing w:after="0" w:line="347" w:lineRule="auto"/>
        <w:rPr>
          <w:sz w:val="20"/>
          <w:szCs w:val="20"/>
          <w:color w:val="auto"/>
        </w:rPr>
      </w:pPr>
      <w:r>
        <w:rPr>
          <w:rFonts w:ascii="Courier New" w:cs="Courier New" w:eastAsia="Courier New" w:hAnsi="Courier New"/>
          <w:sz w:val="18"/>
          <w:szCs w:val="18"/>
          <w:color w:val="auto"/>
        </w:rPr>
        <w:t>IN WITNESS WHEREOF, the undersigned has hereunto set his hand this 20th day of April, 1999.</w:t>
      </w:r>
    </w:p>
    <w:p>
      <w:pPr>
        <w:spacing w:after="0" w:line="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James B Beard</w:t>
      </w:r>
    </w:p>
    <w:p>
      <w:pPr>
        <w:spacing w:after="0" w:line="3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James B Beard, Ph.D.</w:t>
      </w:r>
    </w:p>
    <w:p>
      <w:pPr>
        <w:sectPr>
          <w:pgSz w:w="11900" w:h="16838" w:orient="portrait"/>
          <w:cols w:equalWidth="0" w:num="1">
            <w:col w:w="10219"/>
          </w:cols>
          <w:pgMar w:left="240" w:top="110"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475"/>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1996 STOCK OPTION PLAN, AS AMENDED,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8" w:lineRule="exact"/>
        <w:rPr>
          <w:sz w:val="20"/>
          <w:szCs w:val="20"/>
          <w:color w:val="auto"/>
        </w:rPr>
      </w:pPr>
    </w:p>
    <w:p>
      <w:pPr>
        <w:ind w:right="1779" w:firstLine="1475"/>
        <w:spacing w:after="0" w:line="347" w:lineRule="auto"/>
        <w:rPr>
          <w:sz w:val="20"/>
          <w:szCs w:val="20"/>
          <w:color w:val="auto"/>
        </w:rPr>
      </w:pPr>
      <w:r>
        <w:rPr>
          <w:rFonts w:ascii="Courier New" w:cs="Courier New" w:eastAsia="Courier New" w:hAnsi="Courier New"/>
          <w:sz w:val="18"/>
          <w:szCs w:val="18"/>
          <w:color w:val="auto"/>
        </w:rPr>
        <w:t>IN WITNESS WHEREOF, the undersigned has hereunto set his hand this 20th day of April, 1999.</w:t>
      </w:r>
    </w:p>
    <w:p>
      <w:pPr>
        <w:spacing w:after="0" w:line="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Charles M. Berger</w:t>
      </w:r>
    </w:p>
    <w:p>
      <w:pPr>
        <w:spacing w:after="0" w:line="3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Charles M. Berger</w:t>
      </w:r>
    </w:p>
    <w:p>
      <w:pPr>
        <w:sectPr>
          <w:pgSz w:w="11900" w:h="16838" w:orient="portrait"/>
          <w:cols w:equalWidth="0" w:num="1">
            <w:col w:w="10219"/>
          </w:cols>
          <w:pgMar w:left="240" w:top="285"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3</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475"/>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1996 STOCK OPTION PLAN, AS AMENDED,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8" w:lineRule="exact"/>
        <w:rPr>
          <w:sz w:val="20"/>
          <w:szCs w:val="20"/>
          <w:color w:val="auto"/>
        </w:rPr>
      </w:pPr>
    </w:p>
    <w:p>
      <w:pPr>
        <w:ind w:right="1779" w:firstLine="1475"/>
        <w:spacing w:after="0" w:line="347" w:lineRule="auto"/>
        <w:rPr>
          <w:sz w:val="20"/>
          <w:szCs w:val="20"/>
          <w:color w:val="auto"/>
        </w:rPr>
      </w:pPr>
      <w:r>
        <w:rPr>
          <w:rFonts w:ascii="Courier New" w:cs="Courier New" w:eastAsia="Courier New" w:hAnsi="Courier New"/>
          <w:sz w:val="18"/>
          <w:szCs w:val="18"/>
          <w:color w:val="auto"/>
        </w:rPr>
        <w:t>IN WITNESS WHEREOF, the undersigned has hereunto set his hand this 20th day of April, 1999.</w:t>
      </w:r>
    </w:p>
    <w:p>
      <w:pPr>
        <w:spacing w:after="0" w:line="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Joseph P. Flannery</w:t>
      </w:r>
    </w:p>
    <w:p>
      <w:pPr>
        <w:spacing w:after="0" w:line="3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Joseph P. Flannery</w:t>
      </w:r>
    </w:p>
    <w:p>
      <w:pPr>
        <w:sectPr>
          <w:pgSz w:w="11900" w:h="16838" w:orient="portrait"/>
          <w:cols w:equalWidth="0" w:num="1">
            <w:col w:w="10219"/>
          </w:cols>
          <w:pgMar w:left="240" w:top="285"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4</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475"/>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1996 STOCK OPTION PLAN, AS AMENDED,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8" w:lineRule="exact"/>
        <w:rPr>
          <w:sz w:val="20"/>
          <w:szCs w:val="20"/>
          <w:color w:val="auto"/>
        </w:rPr>
      </w:pPr>
    </w:p>
    <w:p>
      <w:pPr>
        <w:ind w:right="1779" w:firstLine="1475"/>
        <w:spacing w:after="0" w:line="347" w:lineRule="auto"/>
        <w:rPr>
          <w:sz w:val="20"/>
          <w:szCs w:val="20"/>
          <w:color w:val="auto"/>
        </w:rPr>
      </w:pPr>
      <w:r>
        <w:rPr>
          <w:rFonts w:ascii="Courier New" w:cs="Courier New" w:eastAsia="Courier New" w:hAnsi="Courier New"/>
          <w:sz w:val="18"/>
          <w:szCs w:val="18"/>
          <w:color w:val="auto"/>
        </w:rPr>
        <w:t>IN WITNESS WHEREOF, the undersigned has hereunto set his hand this 20th day of April, 1999.</w:t>
      </w:r>
    </w:p>
    <w:p>
      <w:pPr>
        <w:spacing w:after="0" w:line="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Horace Hagedorn</w:t>
      </w:r>
    </w:p>
    <w:p>
      <w:pPr>
        <w:spacing w:after="0" w:line="3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Horace Hagedorn</w:t>
      </w:r>
    </w:p>
    <w:p>
      <w:pPr>
        <w:sectPr>
          <w:pgSz w:w="11900" w:h="16838" w:orient="portrait"/>
          <w:cols w:equalWidth="0" w:num="1">
            <w:col w:w="10219"/>
          </w:cols>
          <w:pgMar w:left="240" w:top="285"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5</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475"/>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1996 STOCK OPTION PLAN, AS AMENDED,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8" w:lineRule="exact"/>
        <w:rPr>
          <w:sz w:val="20"/>
          <w:szCs w:val="20"/>
          <w:color w:val="auto"/>
        </w:rPr>
      </w:pPr>
    </w:p>
    <w:p>
      <w:pPr>
        <w:ind w:right="1779" w:firstLine="1475"/>
        <w:spacing w:after="0" w:line="347" w:lineRule="auto"/>
        <w:rPr>
          <w:sz w:val="20"/>
          <w:szCs w:val="20"/>
          <w:color w:val="auto"/>
        </w:rPr>
      </w:pPr>
      <w:r>
        <w:rPr>
          <w:rFonts w:ascii="Courier New" w:cs="Courier New" w:eastAsia="Courier New" w:hAnsi="Courier New"/>
          <w:sz w:val="18"/>
          <w:szCs w:val="18"/>
          <w:color w:val="auto"/>
        </w:rPr>
        <w:t>IN WITNESS WHEREOF, the undersigned has hereunto set his hand this 20th day of April, 1999.</w:t>
      </w:r>
    </w:p>
    <w:p>
      <w:pPr>
        <w:spacing w:after="0" w:line="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James Hagedorn</w:t>
      </w:r>
    </w:p>
    <w:p>
      <w:pPr>
        <w:spacing w:after="0" w:line="3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James Hagedorn</w:t>
      </w:r>
    </w:p>
    <w:p>
      <w:pPr>
        <w:sectPr>
          <w:pgSz w:w="11900" w:h="16838" w:orient="portrait"/>
          <w:cols w:equalWidth="0" w:num="1">
            <w:col w:w="10219"/>
          </w:cols>
          <w:pgMar w:left="240" w:top="285"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6</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475"/>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1996 STOCK OPTION PLAN, AS AMENDED,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8" w:lineRule="exact"/>
        <w:rPr>
          <w:sz w:val="20"/>
          <w:szCs w:val="20"/>
          <w:color w:val="auto"/>
        </w:rPr>
      </w:pPr>
    </w:p>
    <w:p>
      <w:pPr>
        <w:ind w:right="1779" w:firstLine="1475"/>
        <w:spacing w:after="0" w:line="347" w:lineRule="auto"/>
        <w:rPr>
          <w:sz w:val="20"/>
          <w:szCs w:val="20"/>
          <w:color w:val="auto"/>
        </w:rPr>
      </w:pPr>
      <w:r>
        <w:rPr>
          <w:rFonts w:ascii="Courier New" w:cs="Courier New" w:eastAsia="Courier New" w:hAnsi="Courier New"/>
          <w:sz w:val="18"/>
          <w:szCs w:val="18"/>
          <w:color w:val="auto"/>
        </w:rPr>
        <w:t>IN WITNESS WHEREOF, the undersigned has hereunto set his hand this 20th day of April, 1999.</w:t>
      </w:r>
    </w:p>
    <w:p>
      <w:pPr>
        <w:spacing w:after="0" w:line="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Albert E. Harris</w:t>
      </w:r>
    </w:p>
    <w:p>
      <w:pPr>
        <w:spacing w:after="0" w:line="3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Albert E. Harris</w:t>
      </w:r>
    </w:p>
    <w:p>
      <w:pPr>
        <w:sectPr>
          <w:pgSz w:w="11900" w:h="16838" w:orient="portrait"/>
          <w:cols w:equalWidth="0" w:num="1">
            <w:col w:w="10219"/>
          </w:cols>
          <w:pgMar w:left="240" w:top="285"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7</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475"/>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1996 STOCK OPTION PLAN, AS AMENDED,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8" w:lineRule="exact"/>
        <w:rPr>
          <w:sz w:val="20"/>
          <w:szCs w:val="20"/>
          <w:color w:val="auto"/>
        </w:rPr>
      </w:pPr>
    </w:p>
    <w:p>
      <w:pPr>
        <w:ind w:right="1779" w:firstLine="1475"/>
        <w:spacing w:after="0" w:line="347" w:lineRule="auto"/>
        <w:rPr>
          <w:sz w:val="20"/>
          <w:szCs w:val="20"/>
          <w:color w:val="auto"/>
        </w:rPr>
      </w:pPr>
      <w:r>
        <w:rPr>
          <w:rFonts w:ascii="Courier New" w:cs="Courier New" w:eastAsia="Courier New" w:hAnsi="Courier New"/>
          <w:sz w:val="18"/>
          <w:szCs w:val="18"/>
          <w:color w:val="auto"/>
        </w:rPr>
        <w:t>IN WITNESS WHEREOF, the undersigned has hereunto set his hand this 20th day of April, 1999.</w:t>
      </w:r>
    </w:p>
    <w:p>
      <w:pPr>
        <w:spacing w:after="0" w:line="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John Kenlon</w:t>
      </w:r>
    </w:p>
    <w:p>
      <w:pPr>
        <w:spacing w:after="0" w:line="3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John Kenlon</w:t>
      </w:r>
    </w:p>
    <w:p>
      <w:pPr>
        <w:sectPr>
          <w:pgSz w:w="11900" w:h="16838" w:orient="portrait"/>
          <w:cols w:equalWidth="0" w:num="1">
            <w:col w:w="10219"/>
          </w:cols>
          <w:pgMar w:left="240" w:top="285"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8</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475"/>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1996 STOCK OPTION PLAN, AS AMENDED, hereby constitutes and appoints CHARLES M. BERGER, JEAN H. MORDO and G. ROBERT LUCAS, and each of them, as her true and lawful attorneys-in-fact and agents with full power of substitution and resubstitution, for her and in her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her or their substitute or substitutes, may lawfully do or cause to be done by virtue hereof.</w:t>
      </w:r>
    </w:p>
    <w:p>
      <w:pPr>
        <w:spacing w:after="0" w:line="108" w:lineRule="exact"/>
        <w:rPr>
          <w:sz w:val="20"/>
          <w:szCs w:val="20"/>
          <w:color w:val="auto"/>
        </w:rPr>
      </w:pPr>
    </w:p>
    <w:p>
      <w:pPr>
        <w:ind w:right="1779" w:firstLine="1475"/>
        <w:spacing w:after="0" w:line="347" w:lineRule="auto"/>
        <w:rPr>
          <w:sz w:val="20"/>
          <w:szCs w:val="20"/>
          <w:color w:val="auto"/>
        </w:rPr>
      </w:pPr>
      <w:r>
        <w:rPr>
          <w:rFonts w:ascii="Courier New" w:cs="Courier New" w:eastAsia="Courier New" w:hAnsi="Courier New"/>
          <w:sz w:val="18"/>
          <w:szCs w:val="18"/>
          <w:color w:val="auto"/>
        </w:rPr>
        <w:t>IN WITNESS WHEREOF, the undersigned has hereunto set her hand this 20th day of April, 1999.</w:t>
      </w:r>
    </w:p>
    <w:p>
      <w:pPr>
        <w:spacing w:after="0" w:line="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Karen Gordon Mills</w:t>
      </w:r>
    </w:p>
    <w:p>
      <w:pPr>
        <w:spacing w:after="0" w:line="3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Karen Gordon Mills</w:t>
      </w:r>
    </w:p>
    <w:p>
      <w:pPr>
        <w:sectPr>
          <w:pgSz w:w="11900" w:h="16838" w:orient="portrait"/>
          <w:cols w:equalWidth="0" w:num="1">
            <w:col w:w="10219"/>
          </w:cols>
          <w:pgMar w:left="240" w:top="285"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9</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475"/>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1996 STOCK OPTION PLAN, AS AMENDED,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8" w:lineRule="exact"/>
        <w:rPr>
          <w:sz w:val="20"/>
          <w:szCs w:val="20"/>
          <w:color w:val="auto"/>
        </w:rPr>
      </w:pPr>
    </w:p>
    <w:p>
      <w:pPr>
        <w:ind w:right="1779" w:firstLine="1475"/>
        <w:spacing w:after="0" w:line="347" w:lineRule="auto"/>
        <w:rPr>
          <w:sz w:val="20"/>
          <w:szCs w:val="20"/>
          <w:color w:val="auto"/>
        </w:rPr>
      </w:pPr>
      <w:r>
        <w:rPr>
          <w:rFonts w:ascii="Courier New" w:cs="Courier New" w:eastAsia="Courier New" w:hAnsi="Courier New"/>
          <w:sz w:val="18"/>
          <w:szCs w:val="18"/>
          <w:color w:val="auto"/>
        </w:rPr>
        <w:t>IN WITNESS WHEREOF, the undersigned has hereunto set his hand this 20th day of April, 1999.</w:t>
      </w:r>
    </w:p>
    <w:p>
      <w:pPr>
        <w:spacing w:after="0" w:line="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Jean H. Mordo</w:t>
      </w:r>
    </w:p>
    <w:p>
      <w:pPr>
        <w:spacing w:after="0" w:line="3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Jean H. Mordo</w:t>
      </w:r>
    </w:p>
    <w:p>
      <w:pPr>
        <w:sectPr>
          <w:pgSz w:w="11900" w:h="16838" w:orient="portrait"/>
          <w:cols w:equalWidth="0" w:num="1">
            <w:col w:w="10219"/>
          </w:cols>
          <w:pgMar w:left="240" w:top="285"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10</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475"/>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1996 STOCK OPTION PLAN, AS AMENDED,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8" w:lineRule="exact"/>
        <w:rPr>
          <w:sz w:val="20"/>
          <w:szCs w:val="20"/>
          <w:color w:val="auto"/>
        </w:rPr>
      </w:pPr>
    </w:p>
    <w:p>
      <w:pPr>
        <w:ind w:right="1779" w:firstLine="1475"/>
        <w:spacing w:after="0" w:line="347" w:lineRule="auto"/>
        <w:rPr>
          <w:sz w:val="20"/>
          <w:szCs w:val="20"/>
          <w:color w:val="auto"/>
        </w:rPr>
      </w:pPr>
      <w:r>
        <w:rPr>
          <w:rFonts w:ascii="Courier New" w:cs="Courier New" w:eastAsia="Courier New" w:hAnsi="Courier New"/>
          <w:sz w:val="18"/>
          <w:szCs w:val="18"/>
          <w:color w:val="auto"/>
        </w:rPr>
        <w:t>IN WITNESS WHEREOF, the undersigned has hereunto set his hand this 20th day of April, 1999.</w:t>
      </w:r>
    </w:p>
    <w:p>
      <w:pPr>
        <w:spacing w:after="0" w:line="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Patrick J. Norton</w:t>
      </w:r>
    </w:p>
    <w:p>
      <w:pPr>
        <w:spacing w:after="0" w:line="3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Patrick J. Norton</w:t>
      </w:r>
    </w:p>
    <w:p>
      <w:pPr>
        <w:sectPr>
          <w:pgSz w:w="11900" w:h="16838" w:orient="portrait"/>
          <w:cols w:equalWidth="0" w:num="1">
            <w:col w:w="10219"/>
          </w:cols>
          <w:pgMar w:left="240" w:top="285"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11</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475"/>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1996 STOCK OPTION PLAN, AS AMENDED,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8" w:lineRule="exact"/>
        <w:rPr>
          <w:sz w:val="20"/>
          <w:szCs w:val="20"/>
          <w:color w:val="auto"/>
        </w:rPr>
      </w:pPr>
    </w:p>
    <w:p>
      <w:pPr>
        <w:ind w:right="1779" w:firstLine="1475"/>
        <w:spacing w:after="0" w:line="347" w:lineRule="auto"/>
        <w:rPr>
          <w:sz w:val="20"/>
          <w:szCs w:val="20"/>
          <w:color w:val="auto"/>
        </w:rPr>
      </w:pPr>
      <w:r>
        <w:rPr>
          <w:rFonts w:ascii="Courier New" w:cs="Courier New" w:eastAsia="Courier New" w:hAnsi="Courier New"/>
          <w:sz w:val="18"/>
          <w:szCs w:val="18"/>
          <w:color w:val="auto"/>
        </w:rPr>
        <w:t>IN WITNESS WHEREOF, the undersigned has hereunto set his hand this 20th day of April, 1999.</w:t>
      </w:r>
    </w:p>
    <w:p>
      <w:pPr>
        <w:spacing w:after="0" w:line="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John M. Sullivan</w:t>
      </w:r>
    </w:p>
    <w:p>
      <w:pPr>
        <w:spacing w:after="0" w:line="3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John M. Sullivan</w:t>
      </w:r>
    </w:p>
    <w:p>
      <w:pPr>
        <w:sectPr>
          <w:pgSz w:w="11900" w:h="16838" w:orient="portrait"/>
          <w:cols w:equalWidth="0" w:num="1">
            <w:col w:w="10219"/>
          </w:cols>
          <w:pgMar w:left="240" w:top="285"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12</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475"/>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1996 STOCK OPTION PLAN, AS AMENDED,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8" w:lineRule="exact"/>
        <w:rPr>
          <w:sz w:val="20"/>
          <w:szCs w:val="20"/>
          <w:color w:val="auto"/>
        </w:rPr>
      </w:pPr>
    </w:p>
    <w:p>
      <w:pPr>
        <w:ind w:right="1779" w:firstLine="1475"/>
        <w:spacing w:after="0" w:line="347" w:lineRule="auto"/>
        <w:rPr>
          <w:sz w:val="20"/>
          <w:szCs w:val="20"/>
          <w:color w:val="auto"/>
        </w:rPr>
      </w:pPr>
      <w:r>
        <w:rPr>
          <w:rFonts w:ascii="Courier New" w:cs="Courier New" w:eastAsia="Courier New" w:hAnsi="Courier New"/>
          <w:sz w:val="18"/>
          <w:szCs w:val="18"/>
          <w:color w:val="auto"/>
        </w:rPr>
        <w:t>IN WITNESS WHEREOF, the undersigned has hereunto set his hand this 20th day of April, 1999.</w:t>
      </w:r>
    </w:p>
    <w:p>
      <w:pPr>
        <w:spacing w:after="0" w:line="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L. Jack Van Fossen</w:t>
      </w:r>
    </w:p>
    <w:p>
      <w:pPr>
        <w:spacing w:after="0" w:line="3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L. Jack Van Fossen</w:t>
      </w:r>
    </w:p>
    <w:p>
      <w:pPr>
        <w:sectPr>
          <w:pgSz w:w="11900" w:h="16838" w:orient="portrait"/>
          <w:cols w:equalWidth="0" w:num="1">
            <w:col w:w="10219"/>
          </w:cols>
          <w:pgMar w:left="240" w:top="285"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13</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475"/>
        <w:spacing w:after="0" w:line="244" w:lineRule="auto"/>
        <w:rPr>
          <w:sz w:val="20"/>
          <w:szCs w:val="20"/>
          <w:color w:val="auto"/>
        </w:rPr>
      </w:pPr>
      <w:r>
        <w:rPr>
          <w:rFonts w:ascii="Courier New" w:cs="Courier New" w:eastAsia="Courier New" w:hAnsi="Courier New"/>
          <w:sz w:val="18"/>
          <w:szCs w:val="18"/>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REGISTRATION STATEMENT ON FORM S-8 for the registration of certain of its securities, including Common Shares, for offering and sale pursuant to THE SCOTTS COMPANY 1996 STOCK OPTION PLAN, AS AMENDED, hereby constitutes and appoints CHARLES M. BERGER, JEAN H. MORDO and G. ROBERT LUCAS, and each of them, as his true and lawful attorneys-in-fact and agents with full power of substitution and resubstitution, for him and in his name, place and stead, in any and all capacities, to sign such Registration Statement and any and all amendments thereto, and to file the same, with all exhibits thereto, and other documents in connection therewith, with the Securities and Exchange Commission and the New York Stock Exchange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her or their substitute or substitutes, may lawfully do or cause to be done by virtue hereof.</w:t>
      </w:r>
    </w:p>
    <w:p>
      <w:pPr>
        <w:spacing w:after="0" w:line="108" w:lineRule="exact"/>
        <w:rPr>
          <w:sz w:val="20"/>
          <w:szCs w:val="20"/>
          <w:color w:val="auto"/>
        </w:rPr>
      </w:pPr>
    </w:p>
    <w:p>
      <w:pPr>
        <w:ind w:right="1779" w:firstLine="1475"/>
        <w:spacing w:after="0" w:line="347" w:lineRule="auto"/>
        <w:rPr>
          <w:sz w:val="20"/>
          <w:szCs w:val="20"/>
          <w:color w:val="auto"/>
        </w:rPr>
      </w:pPr>
      <w:r>
        <w:rPr>
          <w:rFonts w:ascii="Courier New" w:cs="Courier New" w:eastAsia="Courier New" w:hAnsi="Courier New"/>
          <w:sz w:val="18"/>
          <w:szCs w:val="18"/>
          <w:color w:val="auto"/>
        </w:rPr>
        <w:t>IN WITNESS WHEREOF, the undersigned has hereunto set his hand this 20th day of April, 1999.</w:t>
      </w:r>
    </w:p>
    <w:p>
      <w:pPr>
        <w:spacing w:after="0" w:line="18"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 John Walker</w:t>
      </w:r>
    </w:p>
    <w:p>
      <w:pPr>
        <w:spacing w:after="0" w:line="3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John Walker, Ph.D.</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937"/>
    </w:lvl>
  </w:abstractNum>
  <w:abstractNum w:abstractNumId="1">
    <w:nsid w:val="519B500D"/>
    <w:multiLevelType w:val="hybridMultilevel"/>
    <w:lvl w:ilvl="0">
      <w:lvlJc w:val="left"/>
      <w:lvlText w:val="(%1)"/>
      <w:numFmt w:val="lowerLetter"/>
      <w:start w:val="12"/>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upperLetter"/>
      <w:start w:val="1"/>
    </w:lvl>
  </w:abstractNum>
  <w:abstractNum w:abstractNumId="5">
    <w:nsid w:val="257130A3"/>
    <w:multiLevelType w:val="hybridMultilevel"/>
    <w:lvl w:ilvl="0">
      <w:lvlJc w:val="left"/>
      <w:lvlText w:val="(%1)"/>
      <w:numFmt w:val="upperLetter"/>
      <w:start w:val="1"/>
    </w:lvl>
  </w:abstractNum>
  <w:abstractNum w:abstractNumId="6">
    <w:nsid w:val="62BBD95A"/>
    <w:multiLevelType w:val="hybridMultilevel"/>
    <w:lvl w:ilvl="0">
      <w:lvlJc w:val="left"/>
      <w:lvlText w:val="(%1)"/>
      <w:numFmt w:val="upperLetter"/>
      <w:start w:val="1"/>
    </w:lvl>
  </w:abstractNum>
  <w:abstractNum w:abstractNumId="7">
    <w:nsid w:val="436C6125"/>
    <w:multiLevelType w:val="hybridMultilevel"/>
    <w:lvl w:ilvl="0">
      <w:lvlJc w:val="left"/>
      <w:lvlText w:val="(%1)"/>
      <w:numFmt w:val="decimal"/>
      <w:start w:val="2"/>
    </w:lvl>
  </w:abstractNum>
  <w:abstractNum w:abstractNumId="8">
    <w:nsid w:val="628C895D"/>
    <w:multiLevelType w:val="hybridMultilevel"/>
    <w:lvl w:ilvl="0">
      <w:lvlJc w:val="left"/>
      <w:lvlText w:val="(%1)"/>
      <w:numFmt w:val="lowerLetter"/>
      <w:start w:val="1"/>
    </w:lvl>
  </w:abstractNum>
  <w:abstractNum w:abstractNumId="9">
    <w:nsid w:val="333AB105"/>
    <w:multiLevelType w:val="hybridMultilevel"/>
    <w:lvl w:ilvl="0">
      <w:lvlJc w:val="left"/>
      <w:lvlText w:val="(%1)"/>
      <w:numFmt w:val="lowerLetter"/>
      <w:start w:val="2"/>
    </w:lvl>
  </w:abstractNum>
  <w:abstractNum w:abstractNumId="10">
    <w:nsid w:val="721DA317"/>
    <w:multiLevelType w:val="hybridMultilevel"/>
    <w:lvl w:ilvl="0">
      <w:lvlJc w:val="left"/>
      <w:lvlText w:val="(%1)"/>
      <w:numFmt w:val="decimal"/>
      <w:start w:val="3"/>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1)"/>
      <w:numFmt w:val="lowerRoman"/>
      <w:start w:val="1"/>
    </w:lvl>
  </w:abstractNum>
  <w:abstractNum w:abstractNumId="13">
    <w:nsid w:val="6763845E"/>
    <w:multiLevelType w:val="hybridMultilevel"/>
    <w:lvl w:ilvl="0">
      <w:lvlJc w:val="left"/>
      <w:lvlText w:val="(%1)"/>
      <w:numFmt w:val="lowerLetter"/>
      <w:start w:val="2"/>
    </w:lvl>
  </w:abstractNum>
  <w:abstractNum w:abstractNumId="14">
    <w:nsid w:val="75A2A8D4"/>
    <w:multiLevelType w:val="hybridMultilevel"/>
    <w:lvl w:ilvl="0">
      <w:lvlJc w:val="left"/>
      <w:lvlText w:val="(%1)"/>
      <w:numFmt w:val="decimal"/>
      <w:start w:val="6"/>
    </w:lvl>
  </w:abstractNum>
  <w:abstractNum w:abstractNumId="15">
    <w:nsid w:val="8EDBDAB"/>
    <w:multiLevelType w:val="hybridMultilevel"/>
    <w:lvl w:ilvl="0">
      <w:lvlJc w:val="left"/>
      <w:lvlText w:val="(%1)"/>
      <w:numFmt w:val="decimal"/>
      <w:start w:val="8"/>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upperLetter"/>
      <w:start w:val="1"/>
    </w:lvl>
    <w:lvl w:ilvl="1">
      <w:lvlJc w:val="left"/>
      <w:lvlText w:val="(%2)"/>
      <w:numFmt w:val="lowerLetter"/>
      <w:start w:val="12"/>
    </w:lvl>
    <w:lvl w:ilvl="2">
      <w:lvlJc w:val="left"/>
      <w:lvlText w:val="(%3)"/>
      <w:numFmt w:val="lowerRoman"/>
      <w:start w:val="1"/>
    </w:lvl>
  </w:abstractNum>
  <w:abstractNum w:abstractNumId="18">
    <w:nsid w:val="B03E0C6"/>
    <w:multiLevelType w:val="hybridMultilevel"/>
    <w:lvl w:ilvl="0">
      <w:lvlJc w:val="left"/>
      <w:lvlText w:val="(%1)"/>
      <w:numFmt w:val="lowerRoman"/>
      <w:start w:val="3"/>
    </w:lvl>
  </w:abstractNum>
  <w:abstractNum w:abstractNumId="19">
    <w:nsid w:val="189A769B"/>
    <w:multiLevelType w:val="hybridMultilevel"/>
    <w:lvl w:ilvl="0">
      <w:lvlJc w:val="left"/>
      <w:lvlText w:val="%1"/>
      <w:numFmt w:val="upperLetter"/>
      <w:start w:val="1"/>
    </w:lvl>
    <w:lvl w:ilvl="1">
      <w:lvlJc w:val="left"/>
      <w:lvlText w:val="(%2)"/>
      <w:numFmt w:val="decimal"/>
      <w:start w:val="2"/>
    </w:lvl>
  </w:abstractNum>
  <w:abstractNum w:abstractNumId="20">
    <w:nsid w:val="54E49EB4"/>
    <w:multiLevelType w:val="hybridMultilevel"/>
    <w:lvl w:ilvl="0">
      <w:lvlJc w:val="left"/>
      <w:lvlText w:val="%1."/>
      <w:numFmt w:val="upperLetter"/>
      <w:start w:val="2"/>
    </w:lvl>
    <w:lvl w:ilvl="1">
      <w:lvlJc w:val="left"/>
      <w:lvlText w:val="%2"/>
      <w:numFmt w:val="decimal"/>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lvl w:ilvl="1">
      <w:lvlJc w:val="left"/>
      <w:lvlText w:val="(%2)"/>
      <w:numFmt w:val="lowerRoman"/>
      <w:start w:val="1"/>
    </w:lvl>
  </w:abstractNum>
  <w:abstractNum w:abstractNumId="28">
    <w:nsid w:val="7C3DBD3D"/>
    <w:multiLevelType w:val="hybridMultilevel"/>
    <w:lvl w:ilvl="0">
      <w:lvlJc w:val="left"/>
      <w:lvlText w:val="%1"/>
      <w:numFmt w:val="lowerLetter"/>
      <w:start w:val="1"/>
    </w:lvl>
    <w:lvl w:ilvl="1">
      <w:lvlJc w:val="left"/>
      <w:lvlText w:val="(%2)"/>
      <w:numFmt w:val="lowerRoman"/>
      <w:start w:val="3"/>
    </w:lvl>
  </w:abstractNum>
  <w:abstractNum w:abstractNumId="29">
    <w:nsid w:val="737B8DDC"/>
    <w:multiLevelType w:val="hybridMultilevel"/>
    <w:lvl w:ilvl="0">
      <w:lvlJc w:val="left"/>
      <w:lvlText w:val="(%1)"/>
      <w:numFmt w:val="lowerLetter"/>
      <w:start w:val="6"/>
    </w:lvl>
    <w:lvl w:ilvl="1">
      <w:lvlJc w:val="left"/>
      <w:lvlText w:val="%2"/>
      <w:numFmt w:val="lowerRoman"/>
      <w:start w:val="1"/>
    </w:lvl>
  </w:abstractNum>
  <w:abstractNum w:abstractNumId="30">
    <w:nsid w:val="6CEAF087"/>
    <w:multiLevelType w:val="hybridMultilevel"/>
    <w:lvl w:ilvl="0">
      <w:lvlJc w:val="left"/>
      <w:lvlText w:val="(%1)"/>
      <w:numFmt w:val="lowerLetter"/>
      <w:start w:val="14"/>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2020-02-22T11:51:27Z</dcterms:created>
  <dcterms:modified xsi:type="dcterms:W3CDTF">2020-02-22T11:51:27Z</dcterms:modified>
</cp:coreProperties>
</file>