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4"/>
          <w:szCs w:val="24"/>
          <w:color w:val="auto"/>
        </w:rPr>
      </w:pPr>
    </w:p>
    <w:tbl>
      <w:tblPr>
        <w:tblLayout w:type="fixed"/>
        <w:tblInd w:w="2220" w:type="dxa"/>
        <w:tblCellMar>
          <w:top w:w="0" w:type="dxa"/>
          <w:left w:w="0" w:type="dxa"/>
          <w:bottom w:w="0" w:type="dxa"/>
          <w:right w:w="0" w:type="dxa"/>
        </w:tblCellMar>
      </w:tblPr>
      <w:tr>
        <w:trPr>
          <w:trHeight w:val="204"/>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WASHINGTON,</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D.C. 20549</w:t>
            </w:r>
          </w:p>
        </w:tc>
      </w:tr>
      <w:tr>
        <w:trPr>
          <w:trHeight w:val="810"/>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FORM</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8-K</w:t>
            </w:r>
          </w:p>
        </w:tc>
      </w:tr>
      <w:tr>
        <w:trPr>
          <w:trHeight w:val="405"/>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CURRENT</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REPORT</w:t>
            </w: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Pursuant to Section</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13 or 15(d) of the</w:t>
            </w:r>
          </w:p>
        </w:tc>
      </w:tr>
    </w:tbl>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Report (Date of earliest event reported):</w:t>
      </w:r>
    </w:p>
    <w:p>
      <w:pPr>
        <w:spacing w:after="0" w:line="4" w:lineRule="exact"/>
        <w:rPr>
          <w:sz w:val="24"/>
          <w:szCs w:val="24"/>
          <w:color w:val="auto"/>
        </w:rPr>
      </w:pPr>
    </w:p>
    <w:p>
      <w:pPr>
        <w:ind w:left="4640"/>
        <w:spacing w:after="0"/>
        <w:rPr>
          <w:sz w:val="20"/>
          <w:szCs w:val="20"/>
          <w:color w:val="auto"/>
        </w:rPr>
      </w:pPr>
      <w:r>
        <w:rPr>
          <w:rFonts w:ascii="Courier New" w:cs="Courier New" w:eastAsia="Courier New" w:hAnsi="Courier New"/>
          <w:sz w:val="16"/>
          <w:szCs w:val="16"/>
          <w:color w:val="auto"/>
        </w:rPr>
        <w:t>February 25, 1998 (January 30, 1998)</w:t>
      </w:r>
    </w:p>
    <w:p>
      <w:pPr>
        <w:spacing w:after="0" w:line="21" w:lineRule="exact"/>
        <w:rPr>
          <w:sz w:val="24"/>
          <w:szCs w:val="24"/>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3"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OHIO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640"/>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1-11593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w:t>
      </w:r>
    </w:p>
    <w:p>
      <w:pPr>
        <w:ind w:left="540"/>
        <w:spacing w:after="0" w:line="238" w:lineRule="auto"/>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31-1199481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3">
            <w:col w:w="3160" w:space="420"/>
            <w:col w:w="2120" w:space="420"/>
            <w:col w:w="4099"/>
          </w:cols>
          <w:pgMar w:left="240" w:top="244" w:right="1440" w:bottom="1440" w:gutter="0" w:footer="0" w:header="0"/>
          <w:type w:val="continuous"/>
        </w:sectPr>
      </w:pPr>
    </w:p>
    <w:p>
      <w:pPr>
        <w:spacing w:after="0" w:line="210" w:lineRule="exact"/>
        <w:rPr>
          <w:sz w:val="24"/>
          <w:szCs w:val="24"/>
          <w:color w:val="auto"/>
        </w:rPr>
      </w:pPr>
    </w:p>
    <w:p>
      <w:pPr>
        <w:jc w:val="center"/>
        <w:ind w:left="860" w:right="2539"/>
        <w:spacing w:after="0" w:line="279" w:lineRule="auto"/>
        <w:rPr>
          <w:sz w:val="20"/>
          <w:szCs w:val="20"/>
          <w:color w:val="auto"/>
        </w:rPr>
      </w:pPr>
      <w:r>
        <w:rPr>
          <w:rFonts w:ascii="Courier New" w:cs="Courier New" w:eastAsia="Courier New" w:hAnsi="Courier New"/>
          <w:sz w:val="16"/>
          <w:szCs w:val="16"/>
          <w:color w:val="auto"/>
        </w:rPr>
        <w:t>14111 SCOTTSLAWN ROAD, MARYSVILLE, OHIO 43041 --------------------------------------------------- (Address of principal executive offices) (Zip Code)</w:t>
      </w:r>
    </w:p>
    <w:p>
      <w:pPr>
        <w:spacing w:after="0" w:line="381" w:lineRule="exact"/>
        <w:rPr>
          <w:sz w:val="24"/>
          <w:szCs w:val="24"/>
          <w:color w:val="auto"/>
        </w:rPr>
      </w:pPr>
    </w:p>
    <w:p>
      <w:pPr>
        <w:jc w:val="right"/>
        <w:ind w:left="860" w:right="2519"/>
        <w:spacing w:after="0" w:line="235" w:lineRule="auto"/>
        <w:rPr>
          <w:sz w:val="20"/>
          <w:szCs w:val="20"/>
          <w:color w:val="auto"/>
        </w:rPr>
      </w:pPr>
      <w:r>
        <w:rPr>
          <w:rFonts w:ascii="Courier New" w:cs="Courier New" w:eastAsia="Courier New" w:hAnsi="Courier New"/>
          <w:sz w:val="18"/>
          <w:szCs w:val="18"/>
          <w:color w:val="auto"/>
        </w:rPr>
        <w:t>Registrant's telephone number, including area code (937) 644-0011 --------------</w:t>
      </w:r>
    </w:p>
    <w:p>
      <w:pPr>
        <w:sectPr>
          <w:pgSz w:w="11900" w:h="16838" w:orient="portrait"/>
          <w:cols w:equalWidth="0" w:num="1">
            <w:col w:w="10219"/>
          </w:cols>
          <w:pgMar w:left="240" w:top="244" w:right="1440" w:bottom="1440" w:gutter="0" w:footer="0" w:header="0"/>
          <w:type w:val="continuous"/>
        </w:sect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pacing w:after="0" w:line="218"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Index to Exhibits is on Page 5.</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tabs>
          <w:tab w:leader="none" w:pos="14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CHANGES IN CONTROL OF REGISTRANT.</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BANKRUPTCY OR RECEIVERSHIP.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CHANGES IN REGISTRANT'S CERTIFYING ACCOUNTANT.</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1879" w:firstLine="1475"/>
        <w:spacing w:after="0" w:line="271" w:lineRule="auto"/>
        <w:rPr>
          <w:sz w:val="20"/>
          <w:szCs w:val="20"/>
          <w:color w:val="auto"/>
        </w:rPr>
      </w:pPr>
      <w:r>
        <w:rPr>
          <w:rFonts w:ascii="Courier New" w:cs="Courier New" w:eastAsia="Courier New" w:hAnsi="Courier New"/>
          <w:sz w:val="16"/>
          <w:szCs w:val="16"/>
          <w:color w:val="auto"/>
        </w:rPr>
        <w:t>On January 30, 1998, The Scotts Company (the "Registrant") acquired an 80% interest in Sanford Scientific Inc. ("SSI"), a leading research company in the rapidly advancing field of genetic engineering of plants. The Registrant acquired its interest from SSI founder and president, Dr. John Sanford, who with his wife, is retaining a 20% interest and will remain with SSI. The consummation of this acquisition is described in the press release issued on February 2, 1998, which is included herewith as Exhibit 99(a).</w:t>
      </w:r>
    </w:p>
    <w:p>
      <w:pPr>
        <w:spacing w:after="0" w:line="188" w:lineRule="exact"/>
        <w:rPr>
          <w:sz w:val="20"/>
          <w:szCs w:val="20"/>
          <w:color w:val="auto"/>
        </w:rPr>
      </w:pPr>
    </w:p>
    <w:p>
      <w:pPr>
        <w:ind w:right="1779" w:firstLine="1475"/>
        <w:spacing w:after="0" w:line="237" w:lineRule="auto"/>
        <w:rPr>
          <w:sz w:val="20"/>
          <w:szCs w:val="20"/>
          <w:color w:val="auto"/>
        </w:rPr>
      </w:pPr>
      <w:r>
        <w:rPr>
          <w:rFonts w:ascii="Courier New" w:cs="Courier New" w:eastAsia="Courier New" w:hAnsi="Courier New"/>
          <w:sz w:val="18"/>
          <w:szCs w:val="18"/>
          <w:color w:val="auto"/>
        </w:rPr>
        <w:t>On February 13, 1998, the Registrant acquired all of the outstanding shares of Earthgro, Inc. ("Earthgro"), from an investor group led by E.M. Warburg, Pincus &amp; Co., LLC for approximately $47 million. Earthgro, the Northeast region's leading organics company, is headquartered in Glastonbury, Connecticut and has production facilities in Maine, Connecticut, New Jersey, Pennsylvania, Virginia and North Carolina. The consummation of this acquisition is described in the press release issued on February 13, 1998, which is included herewith as Exhibit 99(b).</w:t>
      </w:r>
    </w:p>
    <w:p>
      <w:pPr>
        <w:spacing w:after="0" w:line="207"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RESIGNATIONS OF REGISTRANT'S DIRECTORS.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480"/>
        <w:spacing w:after="0"/>
        <w:tabs>
          <w:tab w:leader="none" w:pos="210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None required.</w:t>
      </w:r>
    </w:p>
    <w:p>
      <w:pPr>
        <w:spacing w:after="0" w:line="201" w:lineRule="exact"/>
        <w:rPr>
          <w:sz w:val="20"/>
          <w:szCs w:val="20"/>
          <w:color w:val="auto"/>
        </w:rPr>
      </w:pPr>
    </w:p>
    <w:p>
      <w:pPr>
        <w:ind w:left="1480"/>
        <w:spacing w:after="0"/>
        <w:tabs>
          <w:tab w:leader="none" w:pos="21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None required.</w:t>
      </w:r>
    </w:p>
    <w:p>
      <w:pPr>
        <w:spacing w:after="0" w:line="201" w:lineRule="exact"/>
        <w:rPr>
          <w:sz w:val="20"/>
          <w:szCs w:val="20"/>
          <w:color w:val="auto"/>
        </w:rPr>
      </w:pPr>
    </w:p>
    <w:p>
      <w:pPr>
        <w:ind w:left="1480"/>
        <w:spacing w:after="0"/>
        <w:tabs>
          <w:tab w:leader="none" w:pos="210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8"/>
          <w:szCs w:val="18"/>
          <w:color w:val="auto"/>
        </w:rPr>
        <w:t>Exhibits.</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EXHIBIT NUMBER</w:t>
      </w:r>
    </w:p>
    <w:p>
      <w:pPr>
        <w:spacing w:after="0" w:line="21"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880" w:space="720"/>
            <w:col w:w="4619"/>
          </w:cols>
          <w:pgMar w:left="240" w:top="312" w:right="1440" w:bottom="1440" w:gutter="0" w:footer="0" w:header="0"/>
          <w:type w:val="continuous"/>
        </w:sectPr>
      </w:pPr>
    </w:p>
    <w:p>
      <w:pPr>
        <w:spacing w:after="0" w:line="2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99(a)</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issued February 2, 1998</w:t>
      </w:r>
    </w:p>
    <w:p>
      <w:pPr>
        <w:spacing w:after="0" w:line="200" w:lineRule="exact"/>
        <w:rPr>
          <w:sz w:val="20"/>
          <w:szCs w:val="20"/>
          <w:color w:val="auto"/>
        </w:rPr>
      </w:pPr>
    </w:p>
    <w:p>
      <w:pPr>
        <w:sectPr>
          <w:pgSz w:w="11900" w:h="16838" w:orient="portrait"/>
          <w:cols w:equalWidth="0" w:num="2">
            <w:col w:w="3600" w:space="720"/>
            <w:col w:w="5899"/>
          </w:cols>
          <w:pgMar w:left="240" w:top="312" w:right="1440" w:bottom="1440" w:gutter="0" w:footer="0" w:header="0"/>
          <w:type w:val="continuous"/>
        </w:sectPr>
      </w:pPr>
    </w:p>
    <w:p>
      <w:pPr>
        <w:spacing w:after="0" w:line="2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99(b)</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issued February 13, 1998</w:t>
      </w:r>
    </w:p>
    <w:p>
      <w:pPr>
        <w:spacing w:after="0" w:line="200" w:lineRule="exact"/>
        <w:rPr>
          <w:sz w:val="20"/>
          <w:szCs w:val="20"/>
          <w:color w:val="auto"/>
        </w:rPr>
      </w:pPr>
    </w:p>
    <w:p>
      <w:pPr>
        <w:sectPr>
          <w:pgSz w:w="11900" w:h="16838" w:orient="portrait"/>
          <w:cols w:equalWidth="0" w:num="2">
            <w:col w:w="3600" w:space="720"/>
            <w:col w:w="5899"/>
          </w:cols>
          <w:pgMar w:left="240" w:top="312" w:right="1440" w:bottom="1440" w:gutter="0" w:footer="0" w:header="0"/>
          <w:type w:val="continuous"/>
        </w:sectPr>
      </w:pPr>
    </w:p>
    <w:p>
      <w:pPr>
        <w:spacing w:after="0" w:line="2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2" w:right="1440" w:bottom="1440"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tabs>
          <w:tab w:leader="none" w:pos="14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CHANGE IN FISCAL YEAR.</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SALES OF EQUITY SECURITIES PURSUANT TO REGULATION 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ind w:left="3700"/>
        <w:spacing w:after="0" w:line="238" w:lineRule="auto"/>
        <w:rPr>
          <w:sz w:val="20"/>
          <w:szCs w:val="20"/>
          <w:color w:val="auto"/>
        </w:rPr>
      </w:pPr>
      <w:r>
        <w:rPr>
          <w:rFonts w:ascii="Courier New" w:cs="Courier New" w:eastAsia="Courier New" w:hAnsi="Courier New"/>
          <w:sz w:val="18"/>
          <w:szCs w:val="18"/>
          <w:color w:val="auto"/>
        </w:rPr>
        <w:t>SIGNATURES</w:t>
      </w:r>
    </w:p>
    <w:p>
      <w:pPr>
        <w:ind w:left="370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THE SCOTTS COMPANY</w:t>
      </w:r>
    </w:p>
    <w:p>
      <w:pPr>
        <w:sectPr>
          <w:pgSz w:w="11900" w:h="16838" w:orient="portrait"/>
          <w:cols w:equalWidth="0" w:num="1">
            <w:col w:w="10219"/>
          </w:cols>
          <w:pgMar w:left="240" w:top="312"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25, 1998</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Jean H. Mordo</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Jean H. Mordo, Executive Vice President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ectPr>
          <w:pgSz w:w="11900" w:h="16838" w:orient="portrait"/>
          <w:cols w:equalWidth="0" w:num="3">
            <w:col w:w="540" w:space="200"/>
            <w:col w:w="2340" w:space="720"/>
            <w:col w:w="6419"/>
          </w:cols>
          <w:pgMar w:left="240" w:top="312" w:right="1440" w:bottom="1440" w:gutter="0" w:footer="0" w:header="0"/>
          <w:type w:val="continuous"/>
        </w:sectPr>
      </w:pPr>
    </w:p>
    <w:p>
      <w:pPr>
        <w:spacing w:after="0" w:line="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12" w:right="1440"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INDEX TO EXHIBITS</w:t>
      </w:r>
    </w:p>
    <w:p>
      <w:pPr>
        <w:spacing w:after="0" w:line="2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99(a)</w:t>
      </w:r>
    </w:p>
    <w:p>
      <w:pPr>
        <w:ind w:left="420"/>
        <w:spacing w:after="0" w:line="238" w:lineRule="auto"/>
        <w:rPr>
          <w:sz w:val="20"/>
          <w:szCs w:val="20"/>
          <w:color w:val="auto"/>
        </w:rPr>
      </w:pPr>
      <w:r>
        <w:rPr>
          <w:rFonts w:ascii="Courier New" w:cs="Courier New" w:eastAsia="Courier New" w:hAnsi="Courier New"/>
          <w:sz w:val="18"/>
          <w:szCs w:val="18"/>
          <w:color w:val="auto"/>
        </w:rPr>
        <w:t>99(b)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1360"/>
        <w:spacing w:after="0"/>
        <w:rPr>
          <w:sz w:val="20"/>
          <w:szCs w:val="20"/>
          <w:color w:val="auto"/>
        </w:rPr>
      </w:pPr>
      <w:r>
        <w:rPr>
          <w:rFonts w:ascii="Courier New" w:cs="Courier New" w:eastAsia="Courier New" w:hAnsi="Courier New"/>
          <w:sz w:val="18"/>
          <w:szCs w:val="18"/>
          <w:color w:val="auto"/>
        </w:rPr>
        <w:t>DESCRIPTION</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Press Release Issued February 2, 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Issued February 13,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NO.</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3">
            <w:col w:w="1700" w:space="520"/>
            <w:col w:w="4120" w:space="720"/>
            <w:col w:w="3159"/>
          </w:cols>
          <w:pgMar w:left="240" w:top="312"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*Filed herewith</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12" w:right="1440"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1</w:t>
      </w:r>
    </w:p>
    <w:p>
      <w:pPr>
        <w:ind w:left="7060"/>
        <w:spacing w:after="0" w:line="238" w:lineRule="auto"/>
        <w:rPr>
          <w:sz w:val="20"/>
          <w:szCs w:val="20"/>
          <w:color w:val="auto"/>
        </w:rPr>
      </w:pPr>
      <w:r>
        <w:rPr>
          <w:rFonts w:ascii="Courier New" w:cs="Courier New" w:eastAsia="Courier New" w:hAnsi="Courier New"/>
          <w:sz w:val="18"/>
          <w:szCs w:val="18"/>
          <w:color w:val="auto"/>
        </w:rPr>
        <w:t>Exhibit 99(a)</w:t>
      </w:r>
    </w:p>
    <w:p>
      <w:pPr>
        <w:ind w:left="7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[Scotts Logo]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SCOTTS ACQUIRES 80% INTEREST IN SANFORD SCIENTIFIC</w:t>
      </w:r>
    </w:p>
    <w:p>
      <w:pPr>
        <w:spacing w:after="0" w:line="207"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COMBINES LEADING BRAND POWER WITH LEADING GENETIC ENGINEERING CAPABILITY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MARYSVILLE, OHIO, FEBRUARY 2, 1998 -- The Scotts Company (NYSE:SMG) today announced that it has acquired an 80% interest in Sanford Scientific Inc. (SSI), a leading research company in the rapidly advancing field of genetic engineering of plants.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SSI holds the exclusive license to use biolistic ("gene gun") technology in the commercial development of genetically transformed turf grasses, flowers and woody ornamental plants, which include rhododendrons, azaleas, roses, shrubs and decorative trees. In addition, SSI has developed and licensed a broad portfolio of genes and genetic process technology with significant commercial potential.</w:t>
      </w:r>
    </w:p>
    <w:p>
      <w:pPr>
        <w:spacing w:after="0" w:line="210" w:lineRule="exact"/>
        <w:rPr>
          <w:sz w:val="20"/>
          <w:szCs w:val="20"/>
          <w:color w:val="auto"/>
        </w:rPr>
      </w:pPr>
    </w:p>
    <w:p>
      <w:pPr>
        <w:ind w:right="2099" w:firstLine="948"/>
        <w:spacing w:after="0" w:line="272" w:lineRule="auto"/>
        <w:rPr>
          <w:sz w:val="20"/>
          <w:szCs w:val="20"/>
          <w:color w:val="auto"/>
        </w:rPr>
      </w:pPr>
      <w:r>
        <w:rPr>
          <w:rFonts w:ascii="Courier New" w:cs="Courier New" w:eastAsia="Courier New" w:hAnsi="Courier New"/>
          <w:sz w:val="16"/>
          <w:szCs w:val="16"/>
          <w:color w:val="auto"/>
        </w:rPr>
        <w:t>This technology augments Scotts' genetic improvement program by allowing researchers to create desirable varieties of plants with value-added traits far beyond the capabilities of conventional plant breeding techniques. Targets of Scotts' research effort include disease and insect resistance, herbicide tolerance and other consumer-relevant traits, such as turf grasses that require less mowing and flowers with novel colors and fragrances.</w:t>
      </w:r>
    </w:p>
    <w:p>
      <w:pPr>
        <w:spacing w:after="0" w:line="186" w:lineRule="exact"/>
        <w:rPr>
          <w:sz w:val="20"/>
          <w:szCs w:val="20"/>
          <w:color w:val="auto"/>
        </w:rPr>
      </w:pPr>
    </w:p>
    <w:p>
      <w:pPr>
        <w:ind w:right="2619" w:firstLine="948"/>
        <w:spacing w:after="0" w:line="235" w:lineRule="auto"/>
        <w:rPr>
          <w:sz w:val="20"/>
          <w:szCs w:val="20"/>
          <w:color w:val="auto"/>
        </w:rPr>
      </w:pPr>
      <w:r>
        <w:rPr>
          <w:rFonts w:ascii="Courier New" w:cs="Courier New" w:eastAsia="Courier New" w:hAnsi="Courier New"/>
          <w:sz w:val="18"/>
          <w:szCs w:val="18"/>
          <w:color w:val="auto"/>
        </w:rPr>
        <w:t>Scotts estimates that it will commercialize certain genetically transformed plants within a few years.</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Scotts acquired its interest from SSI founder and president Dr. John Sanford, who with his wife, is retaining a 20% interest and will remain with SSI. Dr. Sanford led the team of Cornell University scientists who invented the gene gun technology in the 1980s and he continues as a leading expert in the field.</w:t>
      </w:r>
    </w:p>
    <w:p>
      <w:pPr>
        <w:spacing w:after="0" w:line="209"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"I am confident that Scotts' powerful brands and leading market positions provide the best commercial platform from which to launch exciting new products using SSI technologies," said Dr. Sanford.</w:t>
      </w:r>
    </w:p>
    <w:p>
      <w:pPr>
        <w:spacing w:after="0" w:line="209"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SSI operates an advanced genetic research facility in Waterloo, New York, and actively collaborates with other leading genetic scientists.</w:t>
      </w:r>
    </w:p>
    <w:p>
      <w:pPr>
        <w:spacing w:after="0" w:line="200" w:lineRule="exact"/>
        <w:rPr>
          <w:sz w:val="20"/>
          <w:szCs w:val="20"/>
          <w:color w:val="auto"/>
        </w:rPr>
      </w:pPr>
    </w:p>
    <w:p>
      <w:pPr>
        <w:spacing w:after="0" w:line="20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Scotts Company o 14111 Scottslawn Road, Marysville, Oh 43041 o 937/644-001</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36"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"SSI's advanced technology puts Scotts in the leading position in our industry to offer a new generation of sophisticated products for growing healthy lawns and gardens," said Charles M. Berger, Scotts Chairman, President and Chief Executive Officer. "We view genetically transformed plants as playing a valuable role in our world-wide brand development strategy over the next few years."</w:t>
      </w:r>
    </w:p>
    <w:p>
      <w:pPr>
        <w:spacing w:after="0" w:line="185"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Biolistics technology involves the delivery of desirable genetic characteristics by high-velocity injection into cells. The technology is widely used in medical research and agricultural fields for applications ranging from immunization and cancer treatment to creation of new agricultural crop varieties, including corn and soybeans.</w:t>
      </w: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biolistic approach to genetic engineering of plants has important advantages over other transformation technologies. For certain plant species, transformation using the gene gun is largely considered the only commercially viable method of inserting new gene traits into plants.</w:t>
      </w:r>
    </w:p>
    <w:p>
      <w:pPr>
        <w:spacing w:after="0" w:line="207" w:lineRule="exact"/>
        <w:rPr>
          <w:sz w:val="20"/>
          <w:szCs w:val="20"/>
          <w:color w:val="auto"/>
        </w:rPr>
      </w:pPr>
    </w:p>
    <w:p>
      <w:pPr>
        <w:ind w:right="1879" w:firstLine="948"/>
        <w:spacing w:after="0" w:line="268" w:lineRule="auto"/>
        <w:rPr>
          <w:sz w:val="20"/>
          <w:szCs w:val="20"/>
          <w:color w:val="auto"/>
        </w:rPr>
      </w:pPr>
      <w:r>
        <w:rPr>
          <w:rFonts w:ascii="Courier New" w:cs="Courier New" w:eastAsia="Courier New" w:hAnsi="Courier New"/>
          <w:sz w:val="16"/>
          <w:szCs w:val="16"/>
          <w:color w:val="auto"/>
        </w:rPr>
        <w:t>The Scotts Company is the leading supplier of consumable products for the lawn and garden care, professional turf care, and horticulture markets in both the U.S. and U.K., and is expanding operations in other international markets. The company owns what are by far the industry's most powerful brands. In the U.S. lawn care market, consumer awareness of the company's Scotts(R) and Turf Builder(R) family of brands outscore the nearest competitor by about</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9-to-1, as does awareness of the company's Miracle-Gro(R) family of brands in the U.S. garden care market. In the U.K., the company's brands include Weedol(R) and Pathclear(R), the top-selling consumer herbicides, Evergreen(R), the leading lawn fertilizer line, the Levington(R) line of lawn and garden products, and Miracle-Gro(R), the leading plant fertilizer.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 UNDER THE PRIVATE SECURITIES LITIGATION ACT OF 1995:</w:t>
      </w:r>
    </w:p>
    <w:p>
      <w:pPr>
        <w:spacing w:after="0" w:line="207" w:lineRule="exact"/>
        <w:rPr>
          <w:sz w:val="20"/>
          <w:szCs w:val="20"/>
          <w:color w:val="auto"/>
        </w:rPr>
      </w:pPr>
    </w:p>
    <w:p>
      <w:pPr>
        <w:ind w:left="960" w:right="1999"/>
        <w:spacing w:after="0" w:line="237" w:lineRule="auto"/>
        <w:rPr>
          <w:sz w:val="20"/>
          <w:szCs w:val="20"/>
          <w:color w:val="auto"/>
        </w:rPr>
      </w:pPr>
      <w:r>
        <w:rPr>
          <w:rFonts w:ascii="Courier New" w:cs="Courier New" w:eastAsia="Courier New" w:hAnsi="Courier New"/>
          <w:sz w:val="18"/>
          <w:szCs w:val="18"/>
          <w:color w:val="auto"/>
        </w:rPr>
        <w:t>Certain of the statements contained in this press release, including, but not limited to, information regarding the future economic performance and financial condition of the company, the plans and objectives of the company's management, and the company's assumptions regarding such performance and plans are forward looking in nature. Actual results could differ from the forward looking information in this release, due to a variety of factors, including, but not limited to:</w:t>
      </w:r>
    </w:p>
    <w:p>
      <w:pPr>
        <w:spacing w:after="0" w:line="207" w:lineRule="exact"/>
        <w:rPr>
          <w:sz w:val="20"/>
          <w:szCs w:val="20"/>
          <w:color w:val="auto"/>
        </w:rPr>
      </w:pPr>
    </w:p>
    <w:p>
      <w:pPr>
        <w:ind w:left="1900" w:hanging="944"/>
        <w:spacing w:after="0"/>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success of research and development programs;</w:t>
      </w:r>
    </w:p>
    <w:p>
      <w:pPr>
        <w:ind w:left="1900" w:hanging="944"/>
        <w:spacing w:after="0" w:line="238" w:lineRule="auto"/>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success of the company's promotional programs;</w:t>
      </w:r>
    </w:p>
    <w:p>
      <w:pPr>
        <w:spacing w:after="0" w:line="4" w:lineRule="exact"/>
        <w:rPr>
          <w:rFonts w:ascii="Courier New" w:cs="Courier New" w:eastAsia="Courier New" w:hAnsi="Courier New"/>
          <w:sz w:val="18"/>
          <w:szCs w:val="18"/>
          <w:color w:val="auto"/>
        </w:rPr>
      </w:pPr>
    </w:p>
    <w:p>
      <w:pPr>
        <w:ind w:left="1900" w:right="1879" w:hanging="944"/>
        <w:spacing w:after="0" w:line="268" w:lineRule="auto"/>
        <w:tabs>
          <w:tab w:leader="none" w:pos="19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ability to maintain favorable profit margins on its products and to produce its products on a timely basis;</w:t>
      </w:r>
    </w:p>
    <w:p>
      <w:pPr>
        <w:ind w:left="1900" w:right="3039" w:hanging="944"/>
        <w:spacing w:after="0" w:line="235" w:lineRule="auto"/>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environmental and governmental issues and consumer perceptions.</w:t>
      </w:r>
    </w:p>
    <w:p>
      <w:pPr>
        <w:spacing w:after="0" w:line="208" w:lineRule="exact"/>
        <w:rPr>
          <w:sz w:val="20"/>
          <w:szCs w:val="20"/>
          <w:color w:val="auto"/>
        </w:rPr>
      </w:pPr>
    </w:p>
    <w:p>
      <w:pPr>
        <w:ind w:left="960" w:right="1999"/>
        <w:spacing w:after="0" w:line="237" w:lineRule="auto"/>
        <w:rPr>
          <w:sz w:val="20"/>
          <w:szCs w:val="20"/>
          <w:color w:val="auto"/>
        </w:rPr>
      </w:pPr>
      <w:r>
        <w:rPr>
          <w:rFonts w:ascii="Courier New" w:cs="Courier New" w:eastAsia="Courier New" w:hAnsi="Courier New"/>
          <w:sz w:val="18"/>
          <w:szCs w:val="18"/>
          <w:color w:val="auto"/>
        </w:rPr>
        <w:t>Additional detailed information concerning a number of the important factors that could cause actual results to differ materially from the forward looking information contained in this release is readily available in the company's publicly filed quarterly, annual and other reports.</w:t>
      </w:r>
    </w:p>
    <w:p>
      <w:pPr>
        <w:spacing w:after="0" w:line="20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Contacts:</w:t>
      </w:r>
      <w:r>
        <w:rPr>
          <w:sz w:val="20"/>
          <w:szCs w:val="20"/>
          <w:color w:val="auto"/>
        </w:rPr>
        <w:tab/>
      </w:r>
      <w:r>
        <w:rPr>
          <w:rFonts w:ascii="Courier New" w:cs="Courier New" w:eastAsia="Courier New" w:hAnsi="Courier New"/>
          <w:sz w:val="18"/>
          <w:szCs w:val="18"/>
          <w:color w:val="auto"/>
        </w:rPr>
        <w:t>Diane DeMartino</w:t>
      </w:r>
    </w:p>
    <w:p>
      <w:pPr>
        <w:ind w:left="1700"/>
        <w:spacing w:after="0" w:line="238" w:lineRule="auto"/>
        <w:rPr>
          <w:sz w:val="20"/>
          <w:szCs w:val="20"/>
          <w:color w:val="auto"/>
        </w:rPr>
      </w:pPr>
      <w:r>
        <w:rPr>
          <w:rFonts w:ascii="Courier New" w:cs="Courier New" w:eastAsia="Courier New" w:hAnsi="Courier New"/>
          <w:sz w:val="18"/>
          <w:szCs w:val="18"/>
          <w:color w:val="auto"/>
        </w:rPr>
        <w:t>Broadgate Consultants, Inc.</w:t>
      </w:r>
    </w:p>
    <w:p>
      <w:pPr>
        <w:ind w:left="1700"/>
        <w:spacing w:after="0"/>
        <w:rPr>
          <w:sz w:val="20"/>
          <w:szCs w:val="20"/>
          <w:color w:val="auto"/>
        </w:rPr>
      </w:pPr>
      <w:r>
        <w:rPr>
          <w:rFonts w:ascii="Courier New" w:cs="Courier New" w:eastAsia="Courier New" w:hAnsi="Courier New"/>
          <w:sz w:val="18"/>
          <w:szCs w:val="18"/>
          <w:color w:val="auto"/>
        </w:rPr>
        <w:t>212/232-2222</w:t>
      </w:r>
    </w:p>
    <w:p>
      <w:pPr>
        <w:spacing w:after="0" w:line="200"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Rebecca J. Bruening</w:t>
      </w:r>
    </w:p>
    <w:p>
      <w:pPr>
        <w:ind w:left="1700"/>
        <w:spacing w:after="0" w:line="238" w:lineRule="auto"/>
        <w:rPr>
          <w:sz w:val="20"/>
          <w:szCs w:val="20"/>
          <w:color w:val="auto"/>
        </w:rPr>
      </w:pPr>
      <w:r>
        <w:rPr>
          <w:rFonts w:ascii="Courier New" w:cs="Courier New" w:eastAsia="Courier New" w:hAnsi="Courier New"/>
          <w:sz w:val="18"/>
          <w:szCs w:val="18"/>
          <w:color w:val="auto"/>
        </w:rPr>
        <w:t>The Scotts Company</w:t>
      </w:r>
    </w:p>
    <w:p>
      <w:pPr>
        <w:ind w:left="1700"/>
        <w:spacing w:after="0"/>
        <w:rPr>
          <w:sz w:val="20"/>
          <w:szCs w:val="20"/>
          <w:color w:val="auto"/>
        </w:rPr>
      </w:pPr>
      <w:r>
        <w:rPr>
          <w:rFonts w:ascii="Courier New" w:cs="Courier New" w:eastAsia="Courier New" w:hAnsi="Courier New"/>
          <w:sz w:val="18"/>
          <w:szCs w:val="18"/>
          <w:color w:val="auto"/>
        </w:rPr>
        <w:t>937/644-7290</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99(b)</w:t>
      </w:r>
    </w:p>
    <w:p>
      <w:pPr>
        <w:spacing w:after="0" w:line="5" w:lineRule="exact"/>
        <w:rPr>
          <w:sz w:val="20"/>
          <w:szCs w:val="20"/>
          <w:color w:val="auto"/>
        </w:rPr>
      </w:pPr>
    </w:p>
    <w:p>
      <w:pPr>
        <w:ind w:left="70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[Scotts Logo]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THE SCOTTS COMPANY COMPLETES EARTHGRO ACQUISITION</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MARYSVILLE, OHIO -- FEBRUARY 13, 1998 -- The Scotts Company (NYSE:SMG) today reported that it has completed the acquisition of Earthgro, Inc., from an investor group led by E.M. Warburg, Pincus &amp; Co., LLC for approximately $47 million.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Scotts expects to achieve significant synergies by integrating Earthgro's and Scotts' administrative, sales and manufacturing organizations. The acquisition is expected to be slightly accretive to earnings in fiscal 1998, and modestly accretive in fiscal 1999 and beyond. All required regulatory approvals have been received.</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Earthgro, the Northeast region's leading organics company, is headquartered in Glastonbury, Connecticut and has production facilities in Maine, Connecticut, New Jersey, Pennsylvania, Virginia and North Carolina. The company produces a broad line of potting and planting soils, barks and other organics products, with a strong shelf presence at mass merchandisers -- such as Wal*Mart and The Home Depot -- and the independent lawn and garden trade. Earthgro's sales for the fiscal year ended September 30, 1997, were approximately $48 million, and its well-known regional brands including Earthgro(R), Eco(R) and 1881 Select(R).</w:t>
      </w:r>
    </w:p>
    <w:p>
      <w:pPr>
        <w:spacing w:after="0" w:line="21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Scotts operates the leading national organics business in the U.S., with sales of $183 million for the fiscal year ended September 30, 1997. The company's organics product line plays an important role in providing complete lawn and garden category support to national mass merchant retailers and home centers. The Earthgro acquisition will strengthen Scotts' service to mass merchange retailers and home centers in the important Northeast region, as well as enhance Scotts' ability to service independents. Scotts' leading national brands in the organics market include Hyponex(R) amd Peters(R). The company has also been introducing value-added organics products under the Scotts(R) and Miracle-Gro(R) brands.</w:t>
      </w:r>
    </w:p>
    <w:p>
      <w:pPr>
        <w:spacing w:after="0" w:line="215" w:lineRule="exact"/>
        <w:rPr>
          <w:sz w:val="20"/>
          <w:szCs w:val="20"/>
          <w:color w:val="auto"/>
        </w:rPr>
      </w:pPr>
    </w:p>
    <w:p>
      <w:pPr>
        <w:ind w:right="1879" w:firstLine="948"/>
        <w:spacing w:after="0" w:line="268" w:lineRule="auto"/>
        <w:rPr>
          <w:sz w:val="20"/>
          <w:szCs w:val="20"/>
          <w:color w:val="auto"/>
        </w:rPr>
      </w:pPr>
      <w:r>
        <w:rPr>
          <w:rFonts w:ascii="Courier New" w:cs="Courier New" w:eastAsia="Courier New" w:hAnsi="Courier New"/>
          <w:sz w:val="16"/>
          <w:szCs w:val="16"/>
          <w:color w:val="auto"/>
        </w:rPr>
        <w:t>The Scotts Company is the leading supplier of consumable products for the lawn and garden care, professional turf care and horticulture markets in both the U.S. and U.K., and is expanding operations in other international markets. The company owns what are by far the industry's most powerful brands. In the U.S. lawn care market, consumer awareness of the company's Scotts(R) and Turf Builder(R) family of brands outscore the nearest competitor by about</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9-to-1, as does awareness of the company's Miracle-Gro(R) family of brands in the U.S. garden care market. In the U.K., the company's brands include Weedol(R) and Pathclear(R), the top-selling consumer herbicides, Evergreen(R), the leading lawn fertilizer line, the Levington(R) line of lawn and garden products and Miracle-Gro(R), the leading plant fertilizer.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 UNDER THE PRIVATE SECURITIES LITIGATION ACT OF 1995:</w:t>
      </w:r>
    </w:p>
    <w:p>
      <w:pPr>
        <w:spacing w:after="0" w:line="207" w:lineRule="exact"/>
        <w:rPr>
          <w:sz w:val="20"/>
          <w:szCs w:val="20"/>
          <w:color w:val="auto"/>
        </w:rPr>
      </w:pPr>
    </w:p>
    <w:p>
      <w:pPr>
        <w:ind w:left="960" w:right="1999"/>
        <w:spacing w:after="0" w:line="237" w:lineRule="auto"/>
        <w:rPr>
          <w:sz w:val="20"/>
          <w:szCs w:val="20"/>
          <w:color w:val="auto"/>
        </w:rPr>
      </w:pPr>
      <w:r>
        <w:rPr>
          <w:rFonts w:ascii="Courier New" w:cs="Courier New" w:eastAsia="Courier New" w:hAnsi="Courier New"/>
          <w:sz w:val="18"/>
          <w:szCs w:val="18"/>
          <w:color w:val="auto"/>
        </w:rPr>
        <w:t>Certain of the statements contained in this press release, including, but not limited to, information regarding the future economic performance and financial condition of the company, the plans and objectives of the company's management, and the company's assumptions regarding such performance and plans are forward looking in nature. Actual results could differ from the forward looking information in this release, due to a variety of factors, including, but not limited to:</w:t>
      </w:r>
    </w:p>
    <w:p>
      <w:pPr>
        <w:sectPr>
          <w:pgSz w:w="11900" w:h="16838" w:orient="portrait"/>
          <w:cols w:equalWidth="0" w:num="1">
            <w:col w:w="10219"/>
          </w:cols>
          <w:pgMar w:left="240" w:top="136" w:right="1440" w:bottom="1440" w:gutter="0" w:footer="0" w:header="0"/>
        </w:sect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136" w:right="1440" w:bottom="1440"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2</w:t>
      </w:r>
    </w:p>
    <w:p>
      <w:pPr>
        <w:ind w:left="1900" w:hanging="944"/>
        <w:spacing w:after="0" w:line="238" w:lineRule="auto"/>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success of research and development programs;</w:t>
      </w:r>
    </w:p>
    <w:p>
      <w:pPr>
        <w:spacing w:after="0" w:line="4" w:lineRule="exact"/>
        <w:rPr>
          <w:rFonts w:ascii="Courier New" w:cs="Courier New" w:eastAsia="Courier New" w:hAnsi="Courier New"/>
          <w:sz w:val="18"/>
          <w:szCs w:val="18"/>
          <w:color w:val="auto"/>
        </w:rPr>
      </w:pPr>
    </w:p>
    <w:p>
      <w:pPr>
        <w:ind w:left="1900" w:right="2099" w:hanging="944"/>
        <w:spacing w:after="0" w:line="268" w:lineRule="auto"/>
        <w:tabs>
          <w:tab w:leader="none" w:pos="19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effects of weather conditions on sales of the company's products, especially during the spring selling season;</w:t>
      </w:r>
    </w:p>
    <w:p>
      <w:pPr>
        <w:ind w:left="1900" w:right="2419" w:hanging="944"/>
        <w:spacing w:after="0" w:line="235" w:lineRule="auto"/>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success of the company's advertising and promotional programs;</w:t>
      </w:r>
    </w:p>
    <w:p>
      <w:pPr>
        <w:spacing w:after="0" w:line="5" w:lineRule="exact"/>
        <w:rPr>
          <w:rFonts w:ascii="Courier New" w:cs="Courier New" w:eastAsia="Courier New" w:hAnsi="Courier New"/>
          <w:sz w:val="18"/>
          <w:szCs w:val="18"/>
          <w:color w:val="auto"/>
        </w:rPr>
      </w:pPr>
    </w:p>
    <w:p>
      <w:pPr>
        <w:ind w:left="1900" w:right="1879" w:hanging="944"/>
        <w:spacing w:after="0" w:line="268" w:lineRule="auto"/>
        <w:tabs>
          <w:tab w:leader="none" w:pos="19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ability to maintain favorable profit margins on its products and to produce its products on a timely basis;</w:t>
      </w:r>
    </w:p>
    <w:p>
      <w:pPr>
        <w:ind w:left="1900" w:hanging="944"/>
        <w:spacing w:after="0" w:line="238" w:lineRule="auto"/>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effects of foreign currency fluctuations;</w:t>
      </w:r>
    </w:p>
    <w:p>
      <w:pPr>
        <w:spacing w:after="0" w:line="4" w:lineRule="exact"/>
        <w:rPr>
          <w:rFonts w:ascii="Courier New" w:cs="Courier New" w:eastAsia="Courier New" w:hAnsi="Courier New"/>
          <w:sz w:val="18"/>
          <w:szCs w:val="18"/>
          <w:color w:val="auto"/>
        </w:rPr>
      </w:pPr>
    </w:p>
    <w:p>
      <w:pPr>
        <w:ind w:left="1900" w:right="3039" w:hanging="944"/>
        <w:spacing w:after="0" w:line="235" w:lineRule="auto"/>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environmental and governmental issues and consumer perceptions.</w:t>
      </w:r>
    </w:p>
    <w:p>
      <w:pPr>
        <w:spacing w:after="0" w:line="208" w:lineRule="exact"/>
        <w:rPr>
          <w:sz w:val="20"/>
          <w:szCs w:val="20"/>
          <w:color w:val="auto"/>
        </w:rPr>
      </w:pPr>
    </w:p>
    <w:p>
      <w:pPr>
        <w:ind w:left="960" w:right="1999"/>
        <w:spacing w:after="0" w:line="237" w:lineRule="auto"/>
        <w:rPr>
          <w:sz w:val="20"/>
          <w:szCs w:val="20"/>
          <w:color w:val="auto"/>
        </w:rPr>
      </w:pPr>
      <w:r>
        <w:rPr>
          <w:rFonts w:ascii="Courier New" w:cs="Courier New" w:eastAsia="Courier New" w:hAnsi="Courier New"/>
          <w:sz w:val="18"/>
          <w:szCs w:val="18"/>
          <w:color w:val="auto"/>
        </w:rPr>
        <w:t>Additional detailed information concerning a number of the important factors that could cause actual results to differ materially from the forward looking information contained in this release is readily available in the company's publicly filed quarterly, annual and other reports.</w:t>
      </w:r>
    </w:p>
    <w:p>
      <w:pPr>
        <w:sectPr>
          <w:pgSz w:w="11900" w:h="16838" w:orient="portrait"/>
          <w:cols w:equalWidth="0" w:num="1">
            <w:col w:w="10219"/>
          </w:cols>
          <w:pgMar w:left="240" w:top="312"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Contacts: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Diane DeMartino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Broadgate Consultants,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212/232-2222</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Rebecca Bruening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937/644-7290</w:t>
      </w:r>
    </w:p>
    <w:p>
      <w:pPr>
        <w:spacing w:after="0" w:line="200" w:lineRule="exact"/>
        <w:rPr>
          <w:sz w:val="20"/>
          <w:szCs w:val="20"/>
          <w:color w:val="auto"/>
        </w:rPr>
      </w:pPr>
    </w:p>
    <w:p>
      <w:pPr>
        <w:sectPr>
          <w:pgSz w:w="11900" w:h="16838" w:orient="portrait"/>
          <w:cols w:equalWidth="0" w:num="3">
            <w:col w:w="980" w:space="720"/>
            <w:col w:w="3180" w:space="720"/>
            <w:col w:w="4619"/>
          </w:cols>
          <w:pgMar w:left="240" w:top="312" w:right="1440" w:bottom="1440" w:gutter="0" w:footer="0" w:header="0"/>
          <w:type w:val="continuous"/>
        </w:sectPr>
      </w:pPr>
    </w:p>
    <w:p>
      <w:pPr>
        <w:spacing w:after="0" w:line="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9</w:t>
      </w:r>
    </w:p>
    <w:sectPr>
      <w:pgSz w:w="11900" w:h="16838" w:orient="portrait"/>
      <w:cols w:equalWidth="0" w:num="1">
        <w:col w:w="1021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o"/>
      <w:numFmt w:val="bullet"/>
      <w:start w:val="1"/>
    </w:lvl>
  </w:abstractNum>
  <w:abstractNum w:abstractNumId="2">
    <w:nsid w:val="19495CFF"/>
    <w:multiLevelType w:val="hybridMultilevel"/>
    <w:lvl w:ilvl="0">
      <w:lvlJc w:val="left"/>
      <w:lvlText w:val="o"/>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2019-12-20T06:25:31Z</dcterms:created>
  <dcterms:modified xsi:type="dcterms:W3CDTF">2019-12-20T06:25:31Z</dcterms:modified>
</cp:coreProperties>
</file>