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 filed with the Securities and Exchange Commission on February 1, 2006</w:t>
      </w:r>
    </w:p>
    <w:p>
      <w:pPr>
        <w:spacing w:after="0" w:line="27"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Registration No. 333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6680200</wp:posOffset>
            </wp:positionH>
            <wp:positionV relativeFrom="paragraph">
              <wp:posOffset>-19050</wp:posOffset>
            </wp:positionV>
            <wp:extent cx="57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200025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gridSpan w:val="2"/>
          </w:tcPr>
          <w:p>
            <w:pPr>
              <w:jc w:val="center"/>
              <w:ind w:left="1010"/>
              <w:spacing w:after="0"/>
              <w:rPr>
                <w:sz w:val="20"/>
                <w:szCs w:val="20"/>
                <w:color w:val="auto"/>
              </w:rPr>
            </w:pPr>
            <w:r>
              <w:rPr>
                <w:rFonts w:ascii="Arial" w:cs="Arial" w:eastAsia="Arial" w:hAnsi="Arial"/>
                <w:sz w:val="18"/>
                <w:szCs w:val="18"/>
                <w:color w:val="auto"/>
                <w:w w:val="94"/>
              </w:rPr>
              <w:t>Ohio</w:t>
            </w:r>
          </w:p>
        </w:tc>
        <w:tc>
          <w:tcPr>
            <w:tcW w:w="7080" w:type="dxa"/>
            <w:vAlign w:val="bottom"/>
            <w:gridSpan w:val="4"/>
          </w:tcPr>
          <w:p>
            <w:pPr>
              <w:jc w:val="right"/>
              <w:ind w:right="2190"/>
              <w:spacing w:after="0"/>
              <w:rPr>
                <w:sz w:val="20"/>
                <w:szCs w:val="20"/>
                <w:color w:val="auto"/>
              </w:rPr>
            </w:pPr>
            <w:r>
              <w:rPr>
                <w:rFonts w:ascii="Arial" w:cs="Arial" w:eastAsia="Arial" w:hAnsi="Arial"/>
                <w:sz w:val="18"/>
                <w:szCs w:val="18"/>
                <w:color w:val="auto"/>
              </w:rPr>
              <w:t>31-1414921</w:t>
            </w:r>
          </w:p>
        </w:tc>
      </w:tr>
      <w:tr>
        <w:trPr>
          <w:trHeight w:val="209"/>
        </w:trPr>
        <w:tc>
          <w:tcPr>
            <w:tcW w:w="4340" w:type="dxa"/>
            <w:vAlign w:val="bottom"/>
            <w:tcBorders>
              <w:top w:val="single" w:sz="8" w:color="auto"/>
            </w:tcBorders>
            <w:gridSpan w:val="2"/>
          </w:tcPr>
          <w:p>
            <w:pPr>
              <w:jc w:val="center"/>
              <w:ind w:left="1010"/>
              <w:spacing w:after="0"/>
              <w:rPr>
                <w:sz w:val="20"/>
                <w:szCs w:val="20"/>
                <w:color w:val="auto"/>
              </w:rPr>
            </w:pPr>
            <w:r>
              <w:rPr>
                <w:rFonts w:ascii="Arial" w:cs="Arial" w:eastAsia="Arial" w:hAnsi="Arial"/>
                <w:sz w:val="18"/>
                <w:szCs w:val="18"/>
                <w:color w:val="auto"/>
                <w:w w:val="92"/>
              </w:rPr>
              <w:t>(State or other jurisdiction of</w:t>
            </w:r>
          </w:p>
        </w:tc>
        <w:tc>
          <w:tcPr>
            <w:tcW w:w="10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340" w:type="dxa"/>
            <w:vAlign w:val="bottom"/>
            <w:tcBorders>
              <w:top w:val="single" w:sz="8" w:color="auto"/>
            </w:tcBorders>
          </w:tcPr>
          <w:p>
            <w:pPr>
              <w:jc w:val="center"/>
              <w:ind w:right="990"/>
              <w:spacing w:after="0"/>
              <w:rPr>
                <w:sz w:val="20"/>
                <w:szCs w:val="20"/>
                <w:color w:val="auto"/>
              </w:rPr>
            </w:pPr>
            <w:r>
              <w:rPr>
                <w:rFonts w:ascii="Arial" w:cs="Arial" w:eastAsia="Arial" w:hAnsi="Arial"/>
                <w:sz w:val="18"/>
                <w:szCs w:val="18"/>
                <w:color w:val="auto"/>
                <w:w w:val="92"/>
              </w:rPr>
              <w:t>(I.R.S. Employer</w:t>
            </w:r>
          </w:p>
        </w:tc>
      </w:tr>
      <w:tr>
        <w:trPr>
          <w:trHeight w:val="230"/>
        </w:trPr>
        <w:tc>
          <w:tcPr>
            <w:tcW w:w="4340" w:type="dxa"/>
            <w:vAlign w:val="bottom"/>
            <w:gridSpan w:val="2"/>
          </w:tcPr>
          <w:p>
            <w:pPr>
              <w:jc w:val="center"/>
              <w:ind w:left="1010"/>
              <w:spacing w:after="0"/>
              <w:rPr>
                <w:sz w:val="20"/>
                <w:szCs w:val="20"/>
                <w:color w:val="auto"/>
              </w:rPr>
            </w:pPr>
            <w:r>
              <w:rPr>
                <w:rFonts w:ascii="Arial" w:cs="Arial" w:eastAsia="Arial" w:hAnsi="Arial"/>
                <w:sz w:val="18"/>
                <w:szCs w:val="18"/>
                <w:color w:val="auto"/>
                <w:w w:val="92"/>
              </w:rPr>
              <w:t>incorporation or organization)</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340" w:type="dxa"/>
            <w:vAlign w:val="bottom"/>
          </w:tcPr>
          <w:p>
            <w:pPr>
              <w:jc w:val="center"/>
              <w:ind w:right="99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4340" w:type="dxa"/>
            <w:vAlign w:val="bottom"/>
            <w:tcBorders>
              <w:bottom w:val="single" w:sz="8" w:color="auto"/>
            </w:tcBorders>
            <w:gridSpan w:val="2"/>
          </w:tcPr>
          <w:p>
            <w:pPr>
              <w:jc w:val="center"/>
              <w:ind w:left="990"/>
              <w:spacing w:after="0"/>
              <w:rPr>
                <w:sz w:val="20"/>
                <w:szCs w:val="20"/>
                <w:color w:val="auto"/>
              </w:rPr>
            </w:pPr>
            <w:r>
              <w:rPr>
                <w:rFonts w:ascii="Arial" w:cs="Arial" w:eastAsia="Arial" w:hAnsi="Arial"/>
                <w:sz w:val="18"/>
                <w:szCs w:val="18"/>
                <w:color w:val="auto"/>
                <w:w w:val="92"/>
              </w:rPr>
              <w:t>14111 Scottslawn Road, Marysville, Ohio</w:t>
            </w:r>
          </w:p>
        </w:tc>
        <w:tc>
          <w:tcPr>
            <w:tcW w:w="7080" w:type="dxa"/>
            <w:vAlign w:val="bottom"/>
            <w:tcBorders>
              <w:bottom w:val="single" w:sz="8" w:color="auto"/>
            </w:tcBorders>
            <w:gridSpan w:val="4"/>
          </w:tcPr>
          <w:p>
            <w:pPr>
              <w:jc w:val="right"/>
              <w:ind w:right="2390"/>
              <w:spacing w:after="0"/>
              <w:rPr>
                <w:sz w:val="20"/>
                <w:szCs w:val="20"/>
                <w:color w:val="auto"/>
              </w:rPr>
            </w:pPr>
            <w:r>
              <w:rPr>
                <w:rFonts w:ascii="Arial" w:cs="Arial" w:eastAsia="Arial" w:hAnsi="Arial"/>
                <w:sz w:val="18"/>
                <w:szCs w:val="18"/>
                <w:color w:val="auto"/>
              </w:rPr>
              <w:t>43041</w:t>
            </w:r>
          </w:p>
        </w:tc>
      </w:tr>
      <w:tr>
        <w:trPr>
          <w:trHeight w:val="224"/>
        </w:trPr>
        <w:tc>
          <w:tcPr>
            <w:tcW w:w="4340" w:type="dxa"/>
            <w:vAlign w:val="bottom"/>
            <w:gridSpan w:val="2"/>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340" w:type="dxa"/>
            <w:vAlign w:val="bottom"/>
          </w:tcPr>
          <w:p>
            <w:pPr>
              <w:jc w:val="center"/>
              <w:ind w:right="1010"/>
              <w:spacing w:after="0"/>
              <w:rPr>
                <w:sz w:val="20"/>
                <w:szCs w:val="20"/>
                <w:color w:val="auto"/>
              </w:rPr>
            </w:pPr>
            <w:r>
              <w:rPr>
                <w:rFonts w:ascii="Arial" w:cs="Arial" w:eastAsia="Arial" w:hAnsi="Arial"/>
                <w:sz w:val="18"/>
                <w:szCs w:val="18"/>
                <w:color w:val="auto"/>
                <w:w w:val="94"/>
              </w:rPr>
              <w:t>(Zip Code)</w:t>
            </w:r>
          </w:p>
        </w:tc>
      </w:tr>
      <w:tr>
        <w:trPr>
          <w:trHeight w:val="417"/>
        </w:trPr>
        <w:tc>
          <w:tcPr>
            <w:tcW w:w="3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80" w:type="dxa"/>
            <w:vAlign w:val="bottom"/>
            <w:gridSpan w:val="4"/>
          </w:tcPr>
          <w:p>
            <w:pPr>
              <w:jc w:val="center"/>
              <w:ind w:right="4250"/>
              <w:spacing w:after="0"/>
              <w:rPr>
                <w:sz w:val="20"/>
                <w:szCs w:val="20"/>
                <w:color w:val="auto"/>
              </w:rPr>
            </w:pPr>
            <w:r>
              <w:rPr>
                <w:rFonts w:ascii="Arial" w:cs="Arial" w:eastAsia="Arial" w:hAnsi="Arial"/>
                <w:sz w:val="18"/>
                <w:szCs w:val="18"/>
                <w:color w:val="auto"/>
                <w:w w:val="92"/>
              </w:rPr>
              <w:t>The Scotts Miracle-Gro Company</w:t>
            </w:r>
          </w:p>
        </w:tc>
      </w:tr>
      <w:tr>
        <w:trPr>
          <w:trHeight w:val="237"/>
        </w:trPr>
        <w:tc>
          <w:tcPr>
            <w:tcW w:w="30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2006 Long-Term Incentive Plan</w:t>
            </w:r>
          </w:p>
        </w:tc>
        <w:tc>
          <w:tcPr>
            <w:tcW w:w="4340" w:type="dxa"/>
            <w:vAlign w:val="bottom"/>
          </w:tcPr>
          <w:p>
            <w:pPr>
              <w:spacing w:after="0"/>
              <w:rPr>
                <w:sz w:val="20"/>
                <w:szCs w:val="20"/>
                <w:color w:val="auto"/>
              </w:rPr>
            </w:pPr>
          </w:p>
        </w:tc>
      </w:tr>
      <w:tr>
        <w:trPr>
          <w:trHeight w:val="284"/>
        </w:trPr>
        <w:tc>
          <w:tcPr>
            <w:tcW w:w="3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80" w:type="dxa"/>
            <w:vAlign w:val="bottom"/>
            <w:gridSpan w:val="4"/>
          </w:tcPr>
          <w:p>
            <w:pPr>
              <w:jc w:val="center"/>
              <w:ind w:right="4250"/>
              <w:spacing w:after="0"/>
              <w:rPr>
                <w:sz w:val="20"/>
                <w:szCs w:val="20"/>
                <w:color w:val="auto"/>
              </w:rPr>
            </w:pPr>
            <w:r>
              <w:rPr>
                <w:rFonts w:ascii="Arial" w:cs="Arial" w:eastAsia="Arial" w:hAnsi="Arial"/>
                <w:sz w:val="18"/>
                <w:szCs w:val="18"/>
                <w:color w:val="auto"/>
                <w:w w:val="94"/>
              </w:rPr>
              <w:t>(Full title of the plan)</w:t>
            </w:r>
          </w:p>
        </w:tc>
      </w:tr>
      <w:tr>
        <w:trPr>
          <w:trHeight w:val="418"/>
        </w:trPr>
        <w:tc>
          <w:tcPr>
            <w:tcW w:w="3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gridSpan w:val="2"/>
          </w:tcPr>
          <w:p>
            <w:pPr>
              <w:ind w:left="1020"/>
              <w:spacing w:after="0"/>
              <w:rPr>
                <w:sz w:val="20"/>
                <w:szCs w:val="20"/>
                <w:color w:val="auto"/>
              </w:rPr>
            </w:pPr>
            <w:r>
              <w:rPr>
                <w:rFonts w:ascii="Arial" w:cs="Arial" w:eastAsia="Arial" w:hAnsi="Arial"/>
                <w:sz w:val="18"/>
                <w:szCs w:val="18"/>
                <w:color w:val="auto"/>
              </w:rPr>
              <w:t>Copy to:</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David M. Aronowitz, Esq.</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20" w:type="dxa"/>
            <w:vAlign w:val="bottom"/>
            <w:gridSpan w:val="2"/>
          </w:tcPr>
          <w:p>
            <w:pPr>
              <w:ind w:left="420"/>
              <w:spacing w:after="0"/>
              <w:rPr>
                <w:sz w:val="20"/>
                <w:szCs w:val="20"/>
                <w:color w:val="auto"/>
              </w:rPr>
            </w:pPr>
            <w:r>
              <w:rPr>
                <w:rFonts w:ascii="Arial" w:cs="Arial" w:eastAsia="Arial" w:hAnsi="Arial"/>
                <w:sz w:val="18"/>
                <w:szCs w:val="18"/>
                <w:color w:val="auto"/>
              </w:rPr>
              <w:t>Elizabeth Turrell Farrar, Esq.</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The Scotts Miracle-Gro Company</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20" w:type="dxa"/>
            <w:vAlign w:val="bottom"/>
            <w:gridSpan w:val="2"/>
          </w:tcPr>
          <w:p>
            <w:pPr>
              <w:ind w:left="420"/>
              <w:spacing w:after="0"/>
              <w:rPr>
                <w:sz w:val="20"/>
                <w:szCs w:val="20"/>
                <w:color w:val="auto"/>
              </w:rPr>
            </w:pPr>
            <w:r>
              <w:rPr>
                <w:rFonts w:ascii="Arial" w:cs="Arial" w:eastAsia="Arial" w:hAnsi="Arial"/>
                <w:sz w:val="18"/>
                <w:szCs w:val="18"/>
                <w:color w:val="auto"/>
              </w:rPr>
              <w:t>Vorys, Sater, Seymour and Pease LLP</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14111 Scottslawn Road</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20" w:type="dxa"/>
            <w:vAlign w:val="bottom"/>
            <w:gridSpan w:val="2"/>
          </w:tcPr>
          <w:p>
            <w:pPr>
              <w:ind w:left="420"/>
              <w:spacing w:after="0"/>
              <w:rPr>
                <w:sz w:val="20"/>
                <w:szCs w:val="20"/>
                <w:color w:val="auto"/>
              </w:rPr>
            </w:pPr>
            <w:r>
              <w:rPr>
                <w:rFonts w:ascii="Arial" w:cs="Arial" w:eastAsia="Arial" w:hAnsi="Arial"/>
                <w:sz w:val="18"/>
                <w:szCs w:val="18"/>
                <w:color w:val="auto"/>
              </w:rPr>
              <w:t>52 East Gay Street</w:t>
            </w: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Marysville, Ohio 43041</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20" w:type="dxa"/>
            <w:vAlign w:val="bottom"/>
            <w:gridSpan w:val="2"/>
          </w:tcPr>
          <w:p>
            <w:pPr>
              <w:ind w:left="420"/>
              <w:spacing w:after="0"/>
              <w:rPr>
                <w:sz w:val="20"/>
                <w:szCs w:val="20"/>
                <w:color w:val="auto"/>
              </w:rPr>
            </w:pPr>
            <w:r>
              <w:rPr>
                <w:rFonts w:ascii="Arial" w:cs="Arial" w:eastAsia="Arial" w:hAnsi="Arial"/>
                <w:sz w:val="18"/>
                <w:szCs w:val="18"/>
                <w:color w:val="auto"/>
              </w:rPr>
              <w:t>P.O. Box 1008</w:t>
            </w:r>
          </w:p>
        </w:tc>
      </w:tr>
      <w:tr>
        <w:trPr>
          <w:trHeight w:val="224"/>
        </w:trPr>
        <w:tc>
          <w:tcPr>
            <w:tcW w:w="30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(Name and address of agent for service)</w:t>
            </w:r>
          </w:p>
        </w:tc>
        <w:tc>
          <w:tcPr>
            <w:tcW w:w="1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20" w:type="dxa"/>
            <w:vAlign w:val="bottom"/>
            <w:gridSpan w:val="2"/>
          </w:tcPr>
          <w:p>
            <w:pPr>
              <w:ind w:left="420"/>
              <w:spacing w:after="0"/>
              <w:rPr>
                <w:sz w:val="20"/>
                <w:szCs w:val="20"/>
                <w:color w:val="auto"/>
              </w:rPr>
            </w:pPr>
            <w:r>
              <w:rPr>
                <w:rFonts w:ascii="Arial" w:cs="Arial" w:eastAsia="Arial" w:hAnsi="Arial"/>
                <w:sz w:val="18"/>
                <w:szCs w:val="18"/>
                <w:color w:val="auto"/>
              </w:rPr>
              <w:t>Columbus, Ohio 43216-1008</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(937) 644-0011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31750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83185</wp:posOffset>
            </wp:positionV>
            <wp:extent cx="1878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400" w:type="dxa"/>
            <w:vAlign w:val="bottom"/>
            <w:tcBorders>
              <w:top w:val="single" w:sz="8" w:color="auto"/>
              <w:bottom w:val="single" w:sz="8" w:color="auto"/>
            </w:tcBorders>
          </w:tcPr>
          <w:p>
            <w:pPr>
              <w:spacing w:after="0"/>
              <w:rPr>
                <w:sz w:val="3"/>
                <w:szCs w:val="3"/>
                <w:color w:val="auto"/>
              </w:rPr>
            </w:pPr>
          </w:p>
        </w:tc>
        <w:tc>
          <w:tcPr>
            <w:tcW w:w="2300" w:type="dxa"/>
            <w:vAlign w:val="bottom"/>
            <w:tcBorders>
              <w:top w:val="single" w:sz="8" w:color="auto"/>
              <w:bottom w:val="single" w:sz="8" w:color="auto"/>
            </w:tcBorders>
          </w:tcPr>
          <w:p>
            <w:pPr>
              <w:spacing w:after="0"/>
              <w:rPr>
                <w:sz w:val="3"/>
                <w:szCs w:val="3"/>
                <w:color w:val="auto"/>
              </w:rPr>
            </w:pPr>
          </w:p>
        </w:tc>
        <w:tc>
          <w:tcPr>
            <w:tcW w:w="40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r>
      <w:tr>
        <w:trPr>
          <w:trHeight w:val="110"/>
        </w:trPr>
        <w:tc>
          <w:tcPr>
            <w:tcW w:w="24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4040" w:type="dxa"/>
            <w:vAlign w:val="bottom"/>
          </w:tcPr>
          <w:p>
            <w:pPr>
              <w:jc w:val="center"/>
              <w:ind w:left="624"/>
              <w:spacing w:after="0" w:line="110" w:lineRule="exact"/>
              <w:rPr>
                <w:sz w:val="20"/>
                <w:szCs w:val="20"/>
                <w:color w:val="auto"/>
              </w:rPr>
            </w:pPr>
            <w:r>
              <w:rPr>
                <w:rFonts w:ascii="Arial" w:cs="Arial" w:eastAsia="Arial" w:hAnsi="Arial"/>
                <w:sz w:val="12"/>
                <w:szCs w:val="12"/>
                <w:color w:val="auto"/>
              </w:rPr>
              <w:t>Proposed</w:t>
            </w:r>
          </w:p>
        </w:tc>
        <w:tc>
          <w:tcPr>
            <w:tcW w:w="1800" w:type="dxa"/>
            <w:vAlign w:val="bottom"/>
          </w:tcPr>
          <w:p>
            <w:pPr>
              <w:jc w:val="center"/>
              <w:ind w:left="507"/>
              <w:spacing w:after="0" w:line="110" w:lineRule="exact"/>
              <w:rPr>
                <w:sz w:val="20"/>
                <w:szCs w:val="20"/>
                <w:color w:val="auto"/>
              </w:rPr>
            </w:pPr>
            <w:r>
              <w:rPr>
                <w:rFonts w:ascii="Arial" w:cs="Arial" w:eastAsia="Arial" w:hAnsi="Arial"/>
                <w:sz w:val="12"/>
                <w:szCs w:val="12"/>
                <w:color w:val="auto"/>
              </w:rPr>
              <w:t>Proposed</w:t>
            </w:r>
          </w:p>
        </w:tc>
        <w:tc>
          <w:tcPr>
            <w:tcW w:w="880" w:type="dxa"/>
            <w:vAlign w:val="bottom"/>
          </w:tcPr>
          <w:p>
            <w:pPr>
              <w:spacing w:after="0"/>
              <w:rPr>
                <w:sz w:val="9"/>
                <w:szCs w:val="9"/>
                <w:color w:val="auto"/>
              </w:rPr>
            </w:pPr>
          </w:p>
        </w:tc>
      </w:tr>
      <w:tr>
        <w:trPr>
          <w:trHeight w:val="149"/>
        </w:trPr>
        <w:tc>
          <w:tcPr>
            <w:tcW w:w="2400" w:type="dxa"/>
            <w:vAlign w:val="bottom"/>
          </w:tcPr>
          <w:p>
            <w:pPr>
              <w:ind w:left="100"/>
              <w:spacing w:after="0" w:line="149" w:lineRule="exact"/>
              <w:rPr>
                <w:sz w:val="20"/>
                <w:szCs w:val="20"/>
                <w:color w:val="auto"/>
              </w:rPr>
            </w:pPr>
            <w:r>
              <w:rPr>
                <w:rFonts w:ascii="Arial" w:cs="Arial" w:eastAsia="Arial" w:hAnsi="Arial"/>
                <w:sz w:val="14"/>
                <w:szCs w:val="14"/>
                <w:color w:val="auto"/>
              </w:rPr>
              <w:t>Title of</w:t>
            </w:r>
          </w:p>
        </w:tc>
        <w:tc>
          <w:tcPr>
            <w:tcW w:w="2300" w:type="dxa"/>
            <w:vAlign w:val="bottom"/>
          </w:tcPr>
          <w:p>
            <w:pPr>
              <w:spacing w:after="0"/>
              <w:rPr>
                <w:sz w:val="12"/>
                <w:szCs w:val="12"/>
                <w:color w:val="auto"/>
              </w:rPr>
            </w:pPr>
          </w:p>
        </w:tc>
        <w:tc>
          <w:tcPr>
            <w:tcW w:w="4040" w:type="dxa"/>
            <w:vAlign w:val="bottom"/>
          </w:tcPr>
          <w:p>
            <w:pPr>
              <w:jc w:val="center"/>
              <w:ind w:left="624"/>
              <w:spacing w:after="0" w:line="149" w:lineRule="exact"/>
              <w:rPr>
                <w:sz w:val="20"/>
                <w:szCs w:val="20"/>
                <w:color w:val="auto"/>
              </w:rPr>
            </w:pPr>
            <w:r>
              <w:rPr>
                <w:rFonts w:ascii="Arial" w:cs="Arial" w:eastAsia="Arial" w:hAnsi="Arial"/>
                <w:sz w:val="14"/>
                <w:szCs w:val="14"/>
                <w:color w:val="auto"/>
                <w:w w:val="95"/>
              </w:rPr>
              <w:t>maximum</w:t>
            </w:r>
          </w:p>
        </w:tc>
        <w:tc>
          <w:tcPr>
            <w:tcW w:w="1800" w:type="dxa"/>
            <w:vAlign w:val="bottom"/>
          </w:tcPr>
          <w:p>
            <w:pPr>
              <w:jc w:val="center"/>
              <w:ind w:left="507"/>
              <w:spacing w:after="0" w:line="149" w:lineRule="exact"/>
              <w:rPr>
                <w:sz w:val="20"/>
                <w:szCs w:val="20"/>
                <w:color w:val="auto"/>
              </w:rPr>
            </w:pPr>
            <w:r>
              <w:rPr>
                <w:rFonts w:ascii="Arial" w:cs="Arial" w:eastAsia="Arial" w:hAnsi="Arial"/>
                <w:sz w:val="14"/>
                <w:szCs w:val="14"/>
                <w:color w:val="auto"/>
                <w:w w:val="95"/>
              </w:rPr>
              <w:t>maximum</w:t>
            </w:r>
          </w:p>
        </w:tc>
        <w:tc>
          <w:tcPr>
            <w:tcW w:w="880" w:type="dxa"/>
            <w:vAlign w:val="bottom"/>
          </w:tcPr>
          <w:p>
            <w:pPr>
              <w:spacing w:after="0"/>
              <w:rPr>
                <w:sz w:val="12"/>
                <w:szCs w:val="12"/>
                <w:color w:val="auto"/>
              </w:rPr>
            </w:pPr>
          </w:p>
        </w:tc>
      </w:tr>
      <w:tr>
        <w:trPr>
          <w:trHeight w:val="149"/>
        </w:trPr>
        <w:tc>
          <w:tcPr>
            <w:tcW w:w="2400" w:type="dxa"/>
            <w:vAlign w:val="bottom"/>
          </w:tcPr>
          <w:p>
            <w:pPr>
              <w:ind w:left="100"/>
              <w:spacing w:after="0" w:line="149" w:lineRule="exact"/>
              <w:rPr>
                <w:sz w:val="20"/>
                <w:szCs w:val="20"/>
                <w:color w:val="auto"/>
              </w:rPr>
            </w:pPr>
            <w:r>
              <w:rPr>
                <w:rFonts w:ascii="Arial" w:cs="Arial" w:eastAsia="Arial" w:hAnsi="Arial"/>
                <w:sz w:val="14"/>
                <w:szCs w:val="14"/>
                <w:color w:val="auto"/>
              </w:rPr>
              <w:t>securities</w:t>
            </w:r>
          </w:p>
        </w:tc>
        <w:tc>
          <w:tcPr>
            <w:tcW w:w="2300" w:type="dxa"/>
            <w:vAlign w:val="bottom"/>
          </w:tcPr>
          <w:p>
            <w:pPr>
              <w:jc w:val="center"/>
              <w:ind w:left="504"/>
              <w:spacing w:after="0" w:line="149" w:lineRule="exact"/>
              <w:rPr>
                <w:sz w:val="20"/>
                <w:szCs w:val="20"/>
                <w:color w:val="auto"/>
              </w:rPr>
            </w:pPr>
            <w:r>
              <w:rPr>
                <w:rFonts w:ascii="Arial" w:cs="Arial" w:eastAsia="Arial" w:hAnsi="Arial"/>
                <w:sz w:val="14"/>
                <w:szCs w:val="14"/>
                <w:color w:val="auto"/>
                <w:w w:val="99"/>
              </w:rPr>
              <w:t>Amount</w:t>
            </w:r>
          </w:p>
        </w:tc>
        <w:tc>
          <w:tcPr>
            <w:tcW w:w="4040" w:type="dxa"/>
            <w:vAlign w:val="bottom"/>
          </w:tcPr>
          <w:p>
            <w:pPr>
              <w:jc w:val="center"/>
              <w:ind w:left="624"/>
              <w:spacing w:after="0" w:line="149" w:lineRule="exact"/>
              <w:rPr>
                <w:sz w:val="20"/>
                <w:szCs w:val="20"/>
                <w:color w:val="auto"/>
              </w:rPr>
            </w:pPr>
            <w:r>
              <w:rPr>
                <w:rFonts w:ascii="Arial" w:cs="Arial" w:eastAsia="Arial" w:hAnsi="Arial"/>
                <w:sz w:val="14"/>
                <w:szCs w:val="14"/>
                <w:color w:val="auto"/>
                <w:w w:val="98"/>
              </w:rPr>
              <w:t>offering</w:t>
            </w:r>
          </w:p>
        </w:tc>
        <w:tc>
          <w:tcPr>
            <w:tcW w:w="1800" w:type="dxa"/>
            <w:vAlign w:val="bottom"/>
          </w:tcPr>
          <w:p>
            <w:pPr>
              <w:jc w:val="center"/>
              <w:ind w:left="527"/>
              <w:spacing w:after="0" w:line="149" w:lineRule="exact"/>
              <w:rPr>
                <w:sz w:val="20"/>
                <w:szCs w:val="20"/>
                <w:color w:val="auto"/>
              </w:rPr>
            </w:pPr>
            <w:r>
              <w:rPr>
                <w:rFonts w:ascii="Arial" w:cs="Arial" w:eastAsia="Arial" w:hAnsi="Arial"/>
                <w:sz w:val="14"/>
                <w:szCs w:val="14"/>
                <w:color w:val="auto"/>
                <w:w w:val="88"/>
              </w:rPr>
              <w:t>aggregate</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Amount of</w:t>
            </w:r>
          </w:p>
        </w:tc>
      </w:tr>
      <w:tr>
        <w:trPr>
          <w:trHeight w:val="149"/>
        </w:trPr>
        <w:tc>
          <w:tcPr>
            <w:tcW w:w="2400" w:type="dxa"/>
            <w:vAlign w:val="bottom"/>
          </w:tcPr>
          <w:p>
            <w:pPr>
              <w:ind w:left="100"/>
              <w:spacing w:after="0" w:line="149" w:lineRule="exact"/>
              <w:rPr>
                <w:sz w:val="20"/>
                <w:szCs w:val="20"/>
                <w:color w:val="auto"/>
              </w:rPr>
            </w:pPr>
            <w:r>
              <w:rPr>
                <w:rFonts w:ascii="Arial" w:cs="Arial" w:eastAsia="Arial" w:hAnsi="Arial"/>
                <w:sz w:val="14"/>
                <w:szCs w:val="14"/>
                <w:color w:val="auto"/>
              </w:rPr>
              <w:t>to be</w:t>
            </w:r>
          </w:p>
        </w:tc>
        <w:tc>
          <w:tcPr>
            <w:tcW w:w="2300" w:type="dxa"/>
            <w:vAlign w:val="bottom"/>
          </w:tcPr>
          <w:p>
            <w:pPr>
              <w:jc w:val="center"/>
              <w:ind w:left="504"/>
              <w:spacing w:after="0" w:line="149" w:lineRule="exact"/>
              <w:rPr>
                <w:sz w:val="20"/>
                <w:szCs w:val="20"/>
                <w:color w:val="auto"/>
              </w:rPr>
            </w:pPr>
            <w:r>
              <w:rPr>
                <w:rFonts w:ascii="Arial" w:cs="Arial" w:eastAsia="Arial" w:hAnsi="Arial"/>
                <w:sz w:val="14"/>
                <w:szCs w:val="14"/>
                <w:color w:val="auto"/>
                <w:w w:val="89"/>
              </w:rPr>
              <w:t>to be</w:t>
            </w:r>
          </w:p>
        </w:tc>
        <w:tc>
          <w:tcPr>
            <w:tcW w:w="4040" w:type="dxa"/>
            <w:vAlign w:val="bottom"/>
          </w:tcPr>
          <w:p>
            <w:pPr>
              <w:jc w:val="center"/>
              <w:ind w:left="604"/>
              <w:spacing w:after="0" w:line="149" w:lineRule="exact"/>
              <w:rPr>
                <w:sz w:val="20"/>
                <w:szCs w:val="20"/>
                <w:color w:val="auto"/>
              </w:rPr>
            </w:pPr>
            <w:r>
              <w:rPr>
                <w:rFonts w:ascii="Arial" w:cs="Arial" w:eastAsia="Arial" w:hAnsi="Arial"/>
                <w:sz w:val="14"/>
                <w:szCs w:val="14"/>
                <w:color w:val="auto"/>
                <w:w w:val="92"/>
              </w:rPr>
              <w:t>price</w:t>
            </w:r>
          </w:p>
        </w:tc>
        <w:tc>
          <w:tcPr>
            <w:tcW w:w="1800" w:type="dxa"/>
            <w:vAlign w:val="bottom"/>
          </w:tcPr>
          <w:p>
            <w:pPr>
              <w:jc w:val="center"/>
              <w:ind w:left="507"/>
              <w:spacing w:after="0" w:line="149" w:lineRule="exact"/>
              <w:rPr>
                <w:sz w:val="20"/>
                <w:szCs w:val="20"/>
                <w:color w:val="auto"/>
              </w:rPr>
            </w:pPr>
            <w:r>
              <w:rPr>
                <w:rFonts w:ascii="Arial" w:cs="Arial" w:eastAsia="Arial" w:hAnsi="Arial"/>
                <w:sz w:val="14"/>
                <w:szCs w:val="14"/>
                <w:color w:val="auto"/>
                <w:w w:val="98"/>
              </w:rPr>
              <w:t>offering</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2"/>
              </w:rPr>
              <w:t>registration</w:t>
            </w:r>
          </w:p>
        </w:tc>
      </w:tr>
      <w:tr>
        <w:trPr>
          <w:trHeight w:val="174"/>
        </w:trPr>
        <w:tc>
          <w:tcPr>
            <w:tcW w:w="24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registered</w:t>
            </w:r>
          </w:p>
        </w:tc>
        <w:tc>
          <w:tcPr>
            <w:tcW w:w="2300" w:type="dxa"/>
            <w:vAlign w:val="bottom"/>
            <w:tcBorders>
              <w:bottom w:val="single" w:sz="8" w:color="auto"/>
            </w:tcBorders>
          </w:tcPr>
          <w:p>
            <w:pPr>
              <w:jc w:val="center"/>
              <w:ind w:left="504"/>
              <w:spacing w:after="0"/>
              <w:rPr>
                <w:sz w:val="20"/>
                <w:szCs w:val="20"/>
                <w:color w:val="auto"/>
              </w:rPr>
            </w:pPr>
            <w:r>
              <w:rPr>
                <w:rFonts w:ascii="Arial" w:cs="Arial" w:eastAsia="Arial" w:hAnsi="Arial"/>
                <w:sz w:val="14"/>
                <w:szCs w:val="14"/>
                <w:color w:val="auto"/>
                <w:w w:val="91"/>
              </w:rPr>
              <w:t>registered (1)</w:t>
            </w:r>
          </w:p>
        </w:tc>
        <w:tc>
          <w:tcPr>
            <w:tcW w:w="4040" w:type="dxa"/>
            <w:vAlign w:val="bottom"/>
            <w:tcBorders>
              <w:bottom w:val="single" w:sz="8" w:color="auto"/>
            </w:tcBorders>
          </w:tcPr>
          <w:p>
            <w:pPr>
              <w:jc w:val="center"/>
              <w:ind w:left="604"/>
              <w:spacing w:after="0"/>
              <w:rPr>
                <w:sz w:val="20"/>
                <w:szCs w:val="20"/>
                <w:color w:val="auto"/>
              </w:rPr>
            </w:pPr>
            <w:r>
              <w:rPr>
                <w:rFonts w:ascii="Arial" w:cs="Arial" w:eastAsia="Arial" w:hAnsi="Arial"/>
                <w:sz w:val="14"/>
                <w:szCs w:val="14"/>
                <w:color w:val="auto"/>
                <w:w w:val="89"/>
              </w:rPr>
              <w:t>per share (2)</w:t>
            </w:r>
          </w:p>
        </w:tc>
        <w:tc>
          <w:tcPr>
            <w:tcW w:w="1800" w:type="dxa"/>
            <w:vAlign w:val="bottom"/>
            <w:tcBorders>
              <w:bottom w:val="single" w:sz="8" w:color="auto"/>
            </w:tcBorders>
          </w:tcPr>
          <w:p>
            <w:pPr>
              <w:jc w:val="center"/>
              <w:ind w:left="507"/>
              <w:spacing w:after="0"/>
              <w:rPr>
                <w:sz w:val="20"/>
                <w:szCs w:val="20"/>
                <w:color w:val="auto"/>
              </w:rPr>
            </w:pPr>
            <w:r>
              <w:rPr>
                <w:rFonts w:ascii="Arial" w:cs="Arial" w:eastAsia="Arial" w:hAnsi="Arial"/>
                <w:sz w:val="14"/>
                <w:szCs w:val="14"/>
                <w:color w:val="auto"/>
                <w:w w:val="97"/>
              </w:rPr>
              <w:t>price (2)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1"/>
              </w:rPr>
              <w:t>fee</w:t>
            </w:r>
          </w:p>
        </w:tc>
      </w:tr>
      <w:tr>
        <w:trPr>
          <w:trHeight w:val="202"/>
        </w:trPr>
        <w:tc>
          <w:tcPr>
            <w:tcW w:w="2400" w:type="dxa"/>
            <w:vAlign w:val="bottom"/>
          </w:tcPr>
          <w:p>
            <w:pPr>
              <w:ind w:left="100"/>
              <w:spacing w:after="0" w:line="201" w:lineRule="exact"/>
              <w:rPr>
                <w:sz w:val="20"/>
                <w:szCs w:val="20"/>
                <w:color w:val="auto"/>
              </w:rPr>
            </w:pPr>
            <w:r>
              <w:rPr>
                <w:rFonts w:ascii="Arial" w:cs="Arial" w:eastAsia="Arial" w:hAnsi="Arial"/>
                <w:sz w:val="18"/>
                <w:szCs w:val="18"/>
                <w:color w:val="auto"/>
              </w:rPr>
              <w:t>Common Shares,</w:t>
            </w:r>
          </w:p>
        </w:tc>
        <w:tc>
          <w:tcPr>
            <w:tcW w:w="2300" w:type="dxa"/>
            <w:vAlign w:val="bottom"/>
          </w:tcPr>
          <w:p>
            <w:pPr>
              <w:jc w:val="center"/>
              <w:ind w:left="504"/>
              <w:spacing w:after="0" w:line="201" w:lineRule="exact"/>
              <w:rPr>
                <w:sz w:val="20"/>
                <w:szCs w:val="20"/>
                <w:color w:val="auto"/>
              </w:rPr>
            </w:pPr>
            <w:r>
              <w:rPr>
                <w:rFonts w:ascii="Arial" w:cs="Arial" w:eastAsia="Arial" w:hAnsi="Arial"/>
                <w:sz w:val="18"/>
                <w:szCs w:val="18"/>
                <w:color w:val="auto"/>
                <w:w w:val="88"/>
              </w:rPr>
              <w:t>11,969,546</w:t>
            </w:r>
          </w:p>
        </w:tc>
        <w:tc>
          <w:tcPr>
            <w:tcW w:w="4040" w:type="dxa"/>
            <w:vAlign w:val="bottom"/>
          </w:tcPr>
          <w:p>
            <w:pPr>
              <w:ind w:left="440"/>
              <w:spacing w:after="0" w:line="201" w:lineRule="exact"/>
              <w:rPr>
                <w:sz w:val="20"/>
                <w:szCs w:val="20"/>
                <w:color w:val="auto"/>
              </w:rPr>
            </w:pPr>
            <w:r>
              <w:rPr>
                <w:rFonts w:ascii="Arial" w:cs="Arial" w:eastAsia="Arial" w:hAnsi="Arial"/>
                <w:sz w:val="18"/>
                <w:szCs w:val="18"/>
                <w:color w:val="auto"/>
              </w:rPr>
              <w:t>$49.55 as to 126,000 common shares;</w:t>
            </w:r>
          </w:p>
        </w:tc>
        <w:tc>
          <w:tcPr>
            <w:tcW w:w="1800" w:type="dxa"/>
            <w:vAlign w:val="bottom"/>
          </w:tcPr>
          <w:p>
            <w:pPr>
              <w:jc w:val="center"/>
              <w:ind w:left="507"/>
              <w:spacing w:after="0" w:line="201" w:lineRule="exact"/>
              <w:rPr>
                <w:sz w:val="20"/>
                <w:szCs w:val="20"/>
                <w:color w:val="auto"/>
              </w:rPr>
            </w:pPr>
            <w:r>
              <w:rPr>
                <w:rFonts w:ascii="Arial" w:cs="Arial" w:eastAsia="Arial" w:hAnsi="Arial"/>
                <w:sz w:val="18"/>
                <w:szCs w:val="18"/>
                <w:color w:val="auto"/>
                <w:w w:val="88"/>
              </w:rPr>
              <w:t>$588,708,892</w:t>
            </w: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92"/>
              </w:rPr>
              <w:t>$62,992</w:t>
            </w:r>
          </w:p>
        </w:tc>
      </w:tr>
      <w:tr>
        <w:trPr>
          <w:trHeight w:val="230"/>
        </w:trPr>
        <w:tc>
          <w:tcPr>
            <w:tcW w:w="2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without par value</w:t>
            </w:r>
          </w:p>
        </w:tc>
        <w:tc>
          <w:tcPr>
            <w:tcW w:w="230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$49.18 as to 11,843,546 common shares</w:t>
            </w:r>
          </w:p>
        </w:tc>
        <w:tc>
          <w:tcPr>
            <w:tcW w:w="1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0"/>
        </w:trPr>
        <w:tc>
          <w:tcPr>
            <w:tcW w:w="24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460" w:right="14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pursuant to Rule 416(a) under the Securities Act of 1933, as amended, this Registration Statement also covers an indeterminate number of additional common shares that may become issuable pursuant to the anti-dilution provisions of The Scotts Miracle-Gro Company 2006 Long-Term Incentive Plan (the “Plan”).</w:t>
      </w:r>
    </w:p>
    <w:p>
      <w:pPr>
        <w:spacing w:after="0" w:line="32" w:lineRule="exact"/>
        <w:rPr>
          <w:rFonts w:ascii="Arial" w:cs="Arial" w:eastAsia="Arial" w:hAnsi="Arial"/>
          <w:sz w:val="18"/>
          <w:szCs w:val="18"/>
          <w:color w:val="auto"/>
        </w:rPr>
      </w:pPr>
    </w:p>
    <w:p>
      <w:pPr>
        <w:ind w:left="460" w:right="40" w:hanging="452"/>
        <w:spacing w:after="0" w:line="25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aggregate offering price and the registration fee pursuant to Rules 457(c) and 457(h) promulgated under the Securities Act of 1933, as amended, and computed on the basis of: (a) $49.55 for 126,000 of the common shares to be registered, which is the price at which outstanding options to purchase such common shares granted under the Plan may be exercised; and (b) $49.18 for 11,843,546 of the common shares to be registered, which is the average of the high and low sales prices of the common shares as reported on the New York Stock Exchange on January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546735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3. Incorporation of Documents by Reference</w:t>
        </w:r>
      </w:hyperlink>
    </w:p>
    <w:p>
      <w:pPr>
        <w:ind w:left="32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Interests of Named Experts and Counsel</w:t>
        </w:r>
      </w:hyperlink>
    </w:p>
    <w:p>
      <w:pPr>
        <w:ind w:left="320"/>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6. Indemnification of Directors and Officers</w:t>
        </w:r>
      </w:hyperlink>
    </w:p>
    <w:p>
      <w:pPr>
        <w:ind w:left="32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8. Exhibits</w:t>
        </w:r>
      </w:hyperlink>
    </w:p>
    <w:p>
      <w:pPr>
        <w:ind w:left="320"/>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Item 9. Undertakings</w:t>
        </w:r>
      </w:hyperlink>
    </w:p>
    <w:p>
      <w:pPr>
        <w:spacing w:after="0" w:line="230"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INDEX TO EXHIBITS</w:t>
        </w:r>
      </w:hyperlink>
    </w:p>
    <w:p>
      <w:pPr>
        <w:spacing w:after="0" w:line="231" w:lineRule="auto"/>
        <w:rPr>
          <w:sz w:val="20"/>
          <w:szCs w:val="20"/>
          <w:color w:val="auto"/>
        </w:rPr>
      </w:pPr>
      <w:r>
        <w:rPr>
          <w:rFonts w:ascii="Arial" w:cs="Arial" w:eastAsia="Arial" w:hAnsi="Arial"/>
          <w:sz w:val="22"/>
          <w:szCs w:val="22"/>
          <w:u w:val="single" w:color="auto"/>
          <w:color w:val="0000EE"/>
        </w:rPr>
        <w:t>Exhibit 5.1</w:t>
      </w:r>
    </w:p>
    <w:p>
      <w:pPr>
        <w:spacing w:after="0" w:line="230" w:lineRule="auto"/>
        <w:rPr>
          <w:sz w:val="20"/>
          <w:szCs w:val="20"/>
          <w:color w:val="auto"/>
        </w:rPr>
      </w:pPr>
      <w:r>
        <w:rPr>
          <w:rFonts w:ascii="Arial" w:cs="Arial" w:eastAsia="Arial" w:hAnsi="Arial"/>
          <w:sz w:val="22"/>
          <w:szCs w:val="22"/>
          <w:u w:val="single" w:color="auto"/>
          <w:color w:val="0000EE"/>
        </w:rPr>
        <w:t>Exhibit 10.1</w:t>
      </w:r>
    </w:p>
    <w:p>
      <w:pPr>
        <w:spacing w:after="0" w:line="231" w:lineRule="auto"/>
        <w:rPr>
          <w:sz w:val="20"/>
          <w:szCs w:val="20"/>
          <w:color w:val="auto"/>
        </w:rPr>
      </w:pPr>
      <w:r>
        <w:rPr>
          <w:rFonts w:ascii="Arial" w:cs="Arial" w:eastAsia="Arial" w:hAnsi="Arial"/>
          <w:sz w:val="22"/>
          <w:szCs w:val="22"/>
          <w:u w:val="single" w:color="auto"/>
          <w:color w:val="0000EE"/>
        </w:rPr>
        <w:t>Exhibit 23.1</w:t>
      </w:r>
    </w:p>
    <w:p>
      <w:pPr>
        <w:spacing w:after="0" w:line="230" w:lineRule="auto"/>
        <w:rPr>
          <w:sz w:val="20"/>
          <w:szCs w:val="20"/>
          <w:color w:val="auto"/>
        </w:rPr>
      </w:pPr>
      <w:r>
        <w:rPr>
          <w:rFonts w:ascii="Arial" w:cs="Arial" w:eastAsia="Arial" w:hAnsi="Arial"/>
          <w:sz w:val="22"/>
          <w:szCs w:val="22"/>
          <w:u w:val="single" w:color="auto"/>
          <w:color w:val="0000EE"/>
        </w:rPr>
        <w:t>Exhibit 23.2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Incorporation of Documents by Reference</w:t>
      </w:r>
      <w:r>
        <w:rPr>
          <w:rFonts w:ascii="Arial" w:cs="Arial" w:eastAsia="Arial" w:hAnsi="Arial"/>
          <w:sz w:val="18"/>
          <w:szCs w:val="18"/>
          <w:color w:val="auto"/>
        </w:rPr>
        <w:t>.</w:t>
      </w:r>
    </w:p>
    <w:p>
      <w:pPr>
        <w:spacing w:after="0" w:line="117"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Scotts Miracle-Gro Company (the “Registrant”) hereby incorporates into this Registration Statement on Form S-8 (the “Registration Statement”) the following documents filed by the Registrant with the Securities and Exchange Commission (the “Commission”):</w:t>
      </w:r>
    </w:p>
    <w:p>
      <w:pPr>
        <w:spacing w:after="0" w:line="62"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Annual Report on Form 10-K of the Registrant for the fiscal year ended September 30, 2005.</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Current Report on Form 8-K filed by the Registrant with the Commission on December 14, 2005.</w:t>
      </w:r>
    </w:p>
    <w:p>
      <w:pPr>
        <w:spacing w:after="0" w:line="130" w:lineRule="exact"/>
        <w:rPr>
          <w:rFonts w:ascii="Arial" w:cs="Arial" w:eastAsia="Arial" w:hAnsi="Arial"/>
          <w:sz w:val="18"/>
          <w:szCs w:val="18"/>
          <w:b w:val="1"/>
          <w:bCs w:val="1"/>
          <w:color w:val="auto"/>
        </w:rPr>
      </w:pPr>
    </w:p>
    <w:p>
      <w:pPr>
        <w:ind w:left="660" w:right="48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description of the Registrant’s common shares, without par value, contained in the Registrant’s Current Report on Form 8-K filed with the Commission on March 24, 2005.</w:t>
      </w:r>
    </w:p>
    <w:p>
      <w:pPr>
        <w:spacing w:after="0" w:line="62" w:lineRule="exact"/>
        <w:rPr>
          <w:sz w:val="20"/>
          <w:szCs w:val="20"/>
          <w:color w:val="auto"/>
        </w:rPr>
      </w:pPr>
    </w:p>
    <w:p>
      <w:pPr>
        <w:ind w:firstLine="215"/>
        <w:spacing w:after="0" w:line="297" w:lineRule="auto"/>
        <w:rPr>
          <w:sz w:val="20"/>
          <w:szCs w:val="20"/>
          <w:color w:val="auto"/>
        </w:rPr>
      </w:pPr>
      <w:r>
        <w:rPr>
          <w:rFonts w:ascii="Arial" w:cs="Arial" w:eastAsia="Arial" w:hAnsi="Arial"/>
          <w:sz w:val="16"/>
          <w:szCs w:val="16"/>
          <w:color w:val="auto"/>
        </w:rPr>
        <w:t>Any definitive proxy statement or information statement filed by the Registrant pursuant to Section 14 of the Securities Exchange Act of 1934, as amended (the “Exchange Act”), and all documents which may be filed by the Registrant with the Commission pursuant to Section 13, 14 or 15(d) of the Exchange Act subsequent to the date hereof and prior to the completion of the offering contemplated by The Scotts Miracle-Gro Company 2006 Long-Term Incentive Plan, shall also be deemed to be incorporated herein by reference and to be made a part hereof from the date of filing of such documents. Information furnished by the Registrant under any Current Report on Form 8-K is not incorporated by reference in this Registration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Description of Securities</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Interests of Named Experts and Counsel</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Indemnification of Directors and Officers</w:t>
      </w:r>
      <w:r>
        <w:rPr>
          <w:rFonts w:ascii="Arial" w:cs="Arial" w:eastAsia="Arial" w:hAnsi="Arial"/>
          <w:sz w:val="18"/>
          <w:szCs w:val="18"/>
          <w:color w:val="auto"/>
        </w:rPr>
        <w:t>.</w:t>
      </w:r>
    </w:p>
    <w:p>
      <w:pPr>
        <w:spacing w:after="0" w:line="117"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Section 21.18 of The Scotts Miracle-Gro Company 2006 Long-Term Incentive Plan (the “Plan”), provides for indemnification of individuals who are or who have been members of the Registrant’s Board of Directors (the “Board”), or a committee appointed or designated by the Board to administer the Plan (the “Committee”), or an officer of the Registrant to whom administrative duties or powers have been delegated in accordance with Article 3 of the Plan. Section 21.18 provides as follows: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80" w:firstLine="225"/>
        <w:spacing w:after="0" w:line="290" w:lineRule="auto"/>
        <w:rPr>
          <w:sz w:val="20"/>
          <w:szCs w:val="20"/>
          <w:color w:val="auto"/>
        </w:rPr>
      </w:pPr>
      <w:r>
        <w:rPr>
          <w:rFonts w:ascii="Arial" w:cs="Arial" w:eastAsia="Arial" w:hAnsi="Arial"/>
          <w:sz w:val="16"/>
          <w:szCs w:val="16"/>
          <w:color w:val="auto"/>
        </w:rPr>
        <w:t xml:space="preserve">21.18 </w:t>
      </w:r>
      <w:r>
        <w:rPr>
          <w:rFonts w:ascii="Arial" w:cs="Arial" w:eastAsia="Arial" w:hAnsi="Arial"/>
          <w:sz w:val="16"/>
          <w:szCs w:val="16"/>
          <w:i w:val="1"/>
          <w:iCs w:val="1"/>
          <w:color w:val="auto"/>
        </w:rPr>
        <w:t>Indemnification</w:t>
      </w:r>
      <w:r>
        <w:rPr>
          <w:rFonts w:ascii="Arial" w:cs="Arial" w:eastAsia="Arial" w:hAnsi="Arial"/>
          <w:sz w:val="16"/>
          <w:szCs w:val="16"/>
          <w:color w:val="auto"/>
        </w:rPr>
        <w:t>. Subject to requirements of Ohio law, each individual who is or shall have been a member of the Board, or a Committee appointed by the Board, or an officer of the Company to whom authority was delegated in accordance with Article 3,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this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his/her own behalf, unless such loss, cost, liability, or expense is a result of his/her own willful misconduct or except as expressly provided by statute.</w:t>
      </w:r>
    </w:p>
    <w:p>
      <w:pPr>
        <w:spacing w:after="0" w:line="58" w:lineRule="exact"/>
        <w:rPr>
          <w:sz w:val="20"/>
          <w:szCs w:val="20"/>
          <w:color w:val="auto"/>
        </w:rPr>
      </w:pPr>
    </w:p>
    <w:p>
      <w:pPr>
        <w:ind w:left="360" w:firstLine="222"/>
        <w:spacing w:after="0" w:line="264" w:lineRule="auto"/>
        <w:rPr>
          <w:sz w:val="20"/>
          <w:szCs w:val="20"/>
          <w:color w:val="auto"/>
        </w:rPr>
      </w:pPr>
      <w:r>
        <w:rPr>
          <w:rFonts w:ascii="Arial" w:cs="Arial" w:eastAsia="Arial" w:hAnsi="Arial"/>
          <w:sz w:val="18"/>
          <w:szCs w:val="18"/>
          <w:color w:val="auto"/>
        </w:rPr>
        <w:t>The foregoing right of indemnification shall not be exclusive of any other rights of indemnification to which such individuals may be entitled under the Company’s Articles of Incorporation or Code of Regulations, as a matter of law, or otherwise, or any power that the Company may have to indemnify them or hold them harmless.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Article Five of the Code of Regulations of the Registrant governs the indemnification of officers and directors of the Registrant. Article Five provides:</w:t>
      </w:r>
    </w:p>
    <w:p>
      <w:pPr>
        <w:spacing w:after="0" w:line="129" w:lineRule="exact"/>
        <w:rPr>
          <w:sz w:val="20"/>
          <w:szCs w:val="20"/>
          <w:color w:val="auto"/>
        </w:rPr>
      </w:pPr>
    </w:p>
    <w:p>
      <w:pPr>
        <w:ind w:left="360" w:right="60" w:firstLine="225"/>
        <w:spacing w:after="0" w:line="269" w:lineRule="auto"/>
        <w:rPr>
          <w:sz w:val="20"/>
          <w:szCs w:val="20"/>
          <w:color w:val="auto"/>
        </w:rPr>
      </w:pPr>
      <w:r>
        <w:rPr>
          <w:rFonts w:ascii="Arial" w:cs="Arial" w:eastAsia="Arial" w:hAnsi="Arial"/>
          <w:sz w:val="17"/>
          <w:szCs w:val="17"/>
          <w:u w:val="single" w:color="auto"/>
          <w:color w:val="auto"/>
        </w:rPr>
        <w:t>Section 5.01. Mandatory Indemnification</w:t>
      </w:r>
      <w:r>
        <w:rPr>
          <w:rFonts w:ascii="Arial" w:cs="Arial" w:eastAsia="Arial" w:hAnsi="Arial"/>
          <w:sz w:val="17"/>
          <w:szCs w:val="17"/>
          <w:color w:val="auto"/>
        </w:rPr>
        <w:t>.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40"/>
        <w:spacing w:after="0" w:line="342" w:lineRule="auto"/>
        <w:rPr>
          <w:sz w:val="20"/>
          <w:szCs w:val="20"/>
          <w:color w:val="auto"/>
        </w:rPr>
      </w:pPr>
      <w:r>
        <w:rPr>
          <w:rFonts w:ascii="Arial" w:cs="Arial" w:eastAsia="Arial" w:hAnsi="Arial"/>
          <w:sz w:val="16"/>
          <w:szCs w:val="16"/>
          <w:color w:val="auto"/>
        </w:rPr>
        <w:t>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Section 5.02. Court-Approved Indemnification</w:t>
      </w:r>
      <w:r>
        <w:rPr>
          <w:rFonts w:ascii="Arial" w:cs="Arial" w:eastAsia="Arial" w:hAnsi="Arial"/>
          <w:sz w:val="18"/>
          <w:szCs w:val="18"/>
          <w:color w:val="auto"/>
        </w:rPr>
        <w:t>. Anything contained in the Regulations or elsewhere to the contrary notwithstanding:</w:t>
      </w:r>
    </w:p>
    <w:p>
      <w:pPr>
        <w:spacing w:after="0" w:line="117" w:lineRule="exact"/>
        <w:rPr>
          <w:sz w:val="20"/>
          <w:szCs w:val="20"/>
          <w:color w:val="auto"/>
        </w:rPr>
      </w:pPr>
    </w:p>
    <w:p>
      <w:pPr>
        <w:ind w:left="360" w:right="60" w:firstLine="215"/>
        <w:spacing w:after="0" w:line="270"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73" w:lineRule="exact"/>
        <w:rPr>
          <w:rFonts w:ascii="Arial" w:cs="Arial" w:eastAsia="Arial" w:hAnsi="Arial"/>
          <w:sz w:val="17"/>
          <w:szCs w:val="17"/>
          <w:color w:val="auto"/>
        </w:rPr>
      </w:pPr>
    </w:p>
    <w:p>
      <w:pPr>
        <w:ind w:left="860" w:hanging="285"/>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corporation shall promptly make any such unpaid indemnification as is determined by a court to be proper as contemplated by this</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5.02.</w:t>
      </w:r>
    </w:p>
    <w:p>
      <w:pPr>
        <w:spacing w:after="0" w:line="103" w:lineRule="exact"/>
        <w:rPr>
          <w:sz w:val="20"/>
          <w:szCs w:val="20"/>
          <w:color w:val="auto"/>
        </w:rPr>
      </w:pPr>
    </w:p>
    <w:p>
      <w:pPr>
        <w:ind w:left="360" w:right="80" w:firstLine="225"/>
        <w:spacing w:after="0" w:line="291" w:lineRule="auto"/>
        <w:rPr>
          <w:sz w:val="20"/>
          <w:szCs w:val="20"/>
          <w:color w:val="auto"/>
        </w:rPr>
      </w:pPr>
      <w:r>
        <w:rPr>
          <w:rFonts w:ascii="Arial" w:cs="Arial" w:eastAsia="Arial" w:hAnsi="Arial"/>
          <w:sz w:val="16"/>
          <w:szCs w:val="16"/>
          <w:u w:val="single" w:color="auto"/>
          <w:color w:val="auto"/>
        </w:rPr>
        <w:t>Section 5.03. Indemnification for Expenses</w:t>
      </w:r>
      <w:r>
        <w:rPr>
          <w:rFonts w:ascii="Arial" w:cs="Arial" w:eastAsia="Arial" w:hAnsi="Arial"/>
          <w:sz w:val="16"/>
          <w:szCs w:val="16"/>
          <w:color w:val="auto"/>
        </w:rPr>
        <w:t>. Anything contained in the Regulations or elsewhere to the contrary notwithstanding, to the extent that an officer or director of the corporation has been successful on the merits or otherwise in defense of any action, suit or proceeding referred to in</w:t>
      </w:r>
    </w:p>
    <w:p>
      <w:pPr>
        <w:ind w:left="360" w:right="60"/>
        <w:spacing w:after="0" w:line="323" w:lineRule="auto"/>
        <w:rPr>
          <w:sz w:val="20"/>
          <w:szCs w:val="20"/>
          <w:color w:val="auto"/>
        </w:rPr>
      </w:pPr>
      <w:r>
        <w:rPr>
          <w:rFonts w:ascii="Arial" w:cs="Arial" w:eastAsia="Arial" w:hAnsi="Arial"/>
          <w:sz w:val="16"/>
          <w:szCs w:val="16"/>
          <w:color w:val="auto"/>
        </w:rPr>
        <w:t>Section 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31" w:lineRule="exact"/>
        <w:rPr>
          <w:sz w:val="20"/>
          <w:szCs w:val="20"/>
          <w:color w:val="auto"/>
        </w:rPr>
      </w:pPr>
    </w:p>
    <w:p>
      <w:pPr>
        <w:ind w:left="360" w:firstLine="225"/>
        <w:spacing w:after="0" w:line="257" w:lineRule="auto"/>
        <w:rPr>
          <w:sz w:val="20"/>
          <w:szCs w:val="20"/>
          <w:color w:val="auto"/>
        </w:rPr>
      </w:pPr>
      <w:r>
        <w:rPr>
          <w:rFonts w:ascii="Arial" w:cs="Arial" w:eastAsia="Arial" w:hAnsi="Arial"/>
          <w:sz w:val="18"/>
          <w:szCs w:val="18"/>
          <w:u w:val="single" w:color="auto"/>
          <w:color w:val="auto"/>
        </w:rPr>
        <w:t>Section 5.04. Determination Required</w:t>
      </w:r>
      <w:r>
        <w:rPr>
          <w:rFonts w:ascii="Arial" w:cs="Arial" w:eastAsia="Arial" w:hAnsi="Arial"/>
          <w:sz w:val="18"/>
          <w:szCs w:val="18"/>
          <w:color w:val="auto"/>
        </w:rPr>
        <w:t>.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400"/>
        <w:spacing w:after="0" w:line="291" w:lineRule="auto"/>
        <w:rPr>
          <w:sz w:val="20"/>
          <w:szCs w:val="20"/>
          <w:color w:val="auto"/>
        </w:rPr>
      </w:pPr>
      <w:r>
        <w:rPr>
          <w:rFonts w:ascii="Arial" w:cs="Arial" w:eastAsia="Arial" w:hAnsi="Arial"/>
          <w:sz w:val="16"/>
          <w:szCs w:val="16"/>
          <w:color w:val="auto"/>
        </w:rPr>
        <w:t>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w:t>
      </w:r>
    </w:p>
    <w:p>
      <w:pPr>
        <w:ind w:left="360" w:right="60" w:hanging="10"/>
        <w:spacing w:after="0" w:line="267" w:lineRule="auto"/>
        <w:tabs>
          <w:tab w:leader="none" w:pos="645" w:val="left"/>
        </w:tabs>
        <w:numPr>
          <w:ilvl w:val="0"/>
          <w:numId w:val="4"/>
        </w:numPr>
        <w:rPr>
          <w:rFonts w:ascii="Arial" w:cs="Arial" w:eastAsia="Arial" w:hAnsi="Arial"/>
          <w:sz w:val="17"/>
          <w:szCs w:val="17"/>
          <w:color w:val="auto"/>
        </w:rPr>
      </w:pPr>
      <w:r>
        <w:rPr>
          <w:rFonts w:ascii="Arial" w:cs="Arial" w:eastAsia="Arial" w:hAnsi="Arial"/>
          <w:sz w:val="17"/>
          <w:szCs w:val="17"/>
          <w:color w:val="auto"/>
        </w:rPr>
        <w:t>by the shareholders, or (D) 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77" w:lineRule="exact"/>
        <w:rPr>
          <w:sz w:val="20"/>
          <w:szCs w:val="20"/>
          <w:color w:val="auto"/>
        </w:rPr>
      </w:pPr>
    </w:p>
    <w:p>
      <w:pPr>
        <w:ind w:left="360" w:firstLine="225"/>
        <w:spacing w:after="0" w:line="257" w:lineRule="auto"/>
        <w:rPr>
          <w:sz w:val="20"/>
          <w:szCs w:val="20"/>
          <w:color w:val="auto"/>
        </w:rPr>
      </w:pPr>
      <w:r>
        <w:rPr>
          <w:rFonts w:ascii="Arial" w:cs="Arial" w:eastAsia="Arial" w:hAnsi="Arial"/>
          <w:sz w:val="18"/>
          <w:szCs w:val="18"/>
          <w:u w:val="single" w:color="auto"/>
          <w:color w:val="auto"/>
        </w:rPr>
        <w:t>Section 5.05. Advances for Expenses</w:t>
      </w:r>
      <w:r>
        <w:rPr>
          <w:rFonts w:ascii="Arial" w:cs="Arial" w:eastAsia="Arial" w:hAnsi="Arial"/>
          <w:sz w:val="18"/>
          <w:szCs w:val="18"/>
          <w:color w:val="auto"/>
        </w:rPr>
        <w:t>.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80" w:lineRule="exact"/>
        <w:rPr>
          <w:sz w:val="20"/>
          <w:szCs w:val="20"/>
          <w:color w:val="auto"/>
        </w:rPr>
      </w:pPr>
    </w:p>
    <w:p>
      <w:pPr>
        <w:ind w:left="360" w:right="480" w:firstLine="215"/>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it shall ultimately be determined as provided in Section 5.04 that he is not entitled to be indemnified by the corporation as provided under Section 5.01; or</w:t>
      </w:r>
    </w:p>
    <w:p>
      <w:pPr>
        <w:spacing w:after="0" w:line="62" w:lineRule="exact"/>
        <w:rPr>
          <w:rFonts w:ascii="Arial" w:cs="Arial" w:eastAsia="Arial" w:hAnsi="Arial"/>
          <w:sz w:val="18"/>
          <w:szCs w:val="18"/>
          <w:color w:val="auto"/>
        </w:rPr>
      </w:pPr>
    </w:p>
    <w:p>
      <w:pPr>
        <w:ind w:left="360" w:right="100" w:firstLine="215"/>
        <w:spacing w:after="0" w:line="259" w:lineRule="auto"/>
        <w:tabs>
          <w:tab w:leader="none" w:pos="87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200"/>
        <w:spacing w:after="0" w:line="277" w:lineRule="auto"/>
        <w:rPr>
          <w:sz w:val="20"/>
          <w:szCs w:val="20"/>
          <w:color w:val="auto"/>
        </w:rPr>
      </w:pPr>
      <w:r>
        <w:rPr>
          <w:rFonts w:ascii="Arial" w:cs="Arial" w:eastAsia="Arial" w:hAnsi="Arial"/>
          <w:sz w:val="18"/>
          <w:szCs w:val="18"/>
          <w:color w:val="auto"/>
        </w:rPr>
        <w:t>determine upon application that, despite such adjudication of liability, and in view of all the circumstances, he is fairly and reasonably entitled to all or part of such indemnification.</w:t>
      </w:r>
    </w:p>
    <w:p>
      <w:pPr>
        <w:spacing w:after="0" w:line="62" w:lineRule="exact"/>
        <w:rPr>
          <w:sz w:val="20"/>
          <w:szCs w:val="20"/>
          <w:color w:val="auto"/>
        </w:rPr>
      </w:pPr>
    </w:p>
    <w:p>
      <w:pPr>
        <w:ind w:left="360" w:firstLine="225"/>
        <w:spacing w:after="0" w:line="257" w:lineRule="auto"/>
        <w:rPr>
          <w:sz w:val="20"/>
          <w:szCs w:val="20"/>
          <w:color w:val="auto"/>
        </w:rPr>
      </w:pPr>
      <w:r>
        <w:rPr>
          <w:rFonts w:ascii="Arial" w:cs="Arial" w:eastAsia="Arial" w:hAnsi="Arial"/>
          <w:sz w:val="18"/>
          <w:szCs w:val="18"/>
          <w:u w:val="single" w:color="auto"/>
          <w:color w:val="auto"/>
        </w:rPr>
        <w:t>Section 5.06. Article FIVE Not Exclusive</w:t>
      </w:r>
      <w:r>
        <w:rPr>
          <w:rFonts w:ascii="Arial" w:cs="Arial" w:eastAsia="Arial" w:hAnsi="Arial"/>
          <w:sz w:val="18"/>
          <w:szCs w:val="18"/>
          <w:color w:val="auto"/>
        </w:rPr>
        <w:t>.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80" w:lineRule="exact"/>
        <w:rPr>
          <w:sz w:val="20"/>
          <w:szCs w:val="20"/>
          <w:color w:val="auto"/>
        </w:rPr>
      </w:pPr>
    </w:p>
    <w:p>
      <w:pPr>
        <w:ind w:left="360" w:right="40" w:firstLine="225"/>
        <w:spacing w:after="0" w:line="255" w:lineRule="auto"/>
        <w:rPr>
          <w:sz w:val="20"/>
          <w:szCs w:val="20"/>
          <w:color w:val="auto"/>
        </w:rPr>
      </w:pPr>
      <w:r>
        <w:rPr>
          <w:rFonts w:ascii="Arial" w:cs="Arial" w:eastAsia="Arial" w:hAnsi="Arial"/>
          <w:sz w:val="18"/>
          <w:szCs w:val="18"/>
          <w:u w:val="single" w:color="auto"/>
          <w:color w:val="auto"/>
        </w:rPr>
        <w:t>Section 5.07. Insurance</w:t>
      </w:r>
      <w:r>
        <w:rPr>
          <w:rFonts w:ascii="Arial" w:cs="Arial" w:eastAsia="Arial" w:hAnsi="Arial"/>
          <w:sz w:val="18"/>
          <w:szCs w:val="18"/>
          <w:color w:val="auto"/>
        </w:rPr>
        <w:t>.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81"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Section 5.08. Certain Definitions</w:t>
      </w:r>
      <w:r>
        <w:rPr>
          <w:rFonts w:ascii="Arial" w:cs="Arial" w:eastAsia="Arial" w:hAnsi="Arial"/>
          <w:sz w:val="18"/>
          <w:szCs w:val="18"/>
          <w:color w:val="auto"/>
        </w:rPr>
        <w:t>. For purposes of this Article FIVE, and as examples and not by way of limitation:</w:t>
      </w:r>
    </w:p>
    <w:p>
      <w:pPr>
        <w:spacing w:after="0" w:line="117" w:lineRule="exact"/>
        <w:rPr>
          <w:sz w:val="20"/>
          <w:szCs w:val="20"/>
          <w:color w:val="auto"/>
        </w:rPr>
      </w:pPr>
    </w:p>
    <w:p>
      <w:pPr>
        <w:ind w:left="360" w:right="120" w:firstLine="215"/>
        <w:spacing w:after="0" w:line="297"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50" w:lineRule="exact"/>
        <w:rPr>
          <w:rFonts w:ascii="Arial" w:cs="Arial" w:eastAsia="Arial" w:hAnsi="Arial"/>
          <w:sz w:val="16"/>
          <w:szCs w:val="16"/>
          <w:color w:val="auto"/>
        </w:rPr>
      </w:pPr>
    </w:p>
    <w:p>
      <w:pPr>
        <w:ind w:left="360" w:firstLine="215"/>
        <w:spacing w:after="0" w:line="259" w:lineRule="auto"/>
        <w:tabs>
          <w:tab w:leader="none" w:pos="87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80"/>
        <w:spacing w:after="0" w:line="264" w:lineRule="auto"/>
        <w:rPr>
          <w:sz w:val="20"/>
          <w:szCs w:val="20"/>
          <w:color w:val="auto"/>
        </w:rPr>
      </w:pPr>
      <w:r>
        <w:rPr>
          <w:rFonts w:ascii="Arial" w:cs="Arial" w:eastAsia="Arial" w:hAnsi="Arial"/>
          <w:sz w:val="18"/>
          <w:szCs w:val="18"/>
          <w:color w:val="auto"/>
        </w:rPr>
        <w:t>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73" w:lineRule="exact"/>
        <w:rPr>
          <w:sz w:val="20"/>
          <w:szCs w:val="20"/>
          <w:color w:val="auto"/>
        </w:rPr>
      </w:pPr>
    </w:p>
    <w:p>
      <w:pPr>
        <w:ind w:left="360" w:right="260" w:firstLine="225"/>
        <w:spacing w:after="0" w:line="259" w:lineRule="auto"/>
        <w:rPr>
          <w:sz w:val="20"/>
          <w:szCs w:val="20"/>
          <w:color w:val="auto"/>
        </w:rPr>
      </w:pPr>
      <w:r>
        <w:rPr>
          <w:rFonts w:ascii="Arial" w:cs="Arial" w:eastAsia="Arial" w:hAnsi="Arial"/>
          <w:sz w:val="18"/>
          <w:szCs w:val="18"/>
          <w:u w:val="single" w:color="auto"/>
          <w:color w:val="auto"/>
        </w:rPr>
        <w:t>Section 5.09. Venue</w:t>
      </w:r>
      <w:r>
        <w:rPr>
          <w:rFonts w:ascii="Arial" w:cs="Arial" w:eastAsia="Arial" w:hAnsi="Arial"/>
          <w:sz w:val="18"/>
          <w:szCs w:val="18"/>
          <w:color w:val="auto"/>
        </w:rPr>
        <w:t>.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Division (E) of Section 1701.13 of the Ohio Revised Code addresses indemnification by an Ohio corporation and provides as follows:</w:t>
      </w:r>
    </w:p>
    <w:p>
      <w:pPr>
        <w:spacing w:after="0" w:line="117" w:lineRule="exact"/>
        <w:rPr>
          <w:sz w:val="20"/>
          <w:szCs w:val="20"/>
          <w:color w:val="auto"/>
        </w:rPr>
      </w:pPr>
    </w:p>
    <w:p>
      <w:pPr>
        <w:ind w:left="360" w:right="100" w:firstLine="225"/>
        <w:spacing w:after="0" w:line="269" w:lineRule="auto"/>
        <w:rPr>
          <w:sz w:val="20"/>
          <w:szCs w:val="20"/>
          <w:color w:val="auto"/>
        </w:rPr>
      </w:pPr>
      <w:r>
        <w:rPr>
          <w:rFonts w:ascii="Arial" w:cs="Arial" w:eastAsia="Arial" w:hAnsi="Arial"/>
          <w:sz w:val="17"/>
          <w:szCs w:val="17"/>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75" w:lineRule="exact"/>
        <w:rPr>
          <w:sz w:val="20"/>
          <w:szCs w:val="20"/>
          <w:color w:val="auto"/>
        </w:rPr>
      </w:pPr>
    </w:p>
    <w:p>
      <w:pPr>
        <w:ind w:left="360" w:firstLine="215"/>
        <w:spacing w:after="0" w:line="257"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20"/>
        <w:spacing w:after="0" w:line="264" w:lineRule="auto"/>
        <w:rPr>
          <w:sz w:val="20"/>
          <w:szCs w:val="20"/>
          <w:color w:val="auto"/>
        </w:rPr>
      </w:pPr>
      <w:r>
        <w:rPr>
          <w:rFonts w:ascii="Arial" w:cs="Arial" w:eastAsia="Arial" w:hAnsi="Arial"/>
          <w:sz w:val="18"/>
          <w:szCs w:val="18"/>
          <w:color w:val="auto"/>
        </w:rPr>
        <w:t>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73" w:lineRule="exact"/>
        <w:rPr>
          <w:sz w:val="20"/>
          <w:szCs w:val="20"/>
          <w:color w:val="auto"/>
        </w:rPr>
      </w:pPr>
    </w:p>
    <w:p>
      <w:pPr>
        <w:ind w:left="360" w:right="300" w:firstLine="215"/>
        <w:spacing w:after="0" w:line="279" w:lineRule="auto"/>
        <w:tabs>
          <w:tab w:leader="none" w:pos="83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63" w:lineRule="exact"/>
        <w:rPr>
          <w:rFonts w:ascii="Arial" w:cs="Arial" w:eastAsia="Arial" w:hAnsi="Arial"/>
          <w:sz w:val="17"/>
          <w:szCs w:val="17"/>
          <w:color w:val="auto"/>
        </w:rPr>
      </w:pPr>
    </w:p>
    <w:p>
      <w:pPr>
        <w:ind w:left="840" w:hanging="265"/>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action or suit in which the only liability asserted against a director is pursuant to section 1701.95 of the Revised Code.</w:t>
      </w:r>
    </w:p>
    <w:p>
      <w:pPr>
        <w:spacing w:after="0" w:line="117" w:lineRule="exact"/>
        <w:rPr>
          <w:sz w:val="20"/>
          <w:szCs w:val="20"/>
          <w:color w:val="auto"/>
        </w:rPr>
      </w:pPr>
    </w:p>
    <w:p>
      <w:pPr>
        <w:ind w:left="360" w:right="240" w:firstLine="215"/>
        <w:spacing w:after="0" w:line="312" w:lineRule="auto"/>
        <w:tabs>
          <w:tab w:leader="none" w:pos="8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38" w:lineRule="exact"/>
        <w:rPr>
          <w:rFonts w:ascii="Arial" w:cs="Arial" w:eastAsia="Arial" w:hAnsi="Arial"/>
          <w:sz w:val="16"/>
          <w:szCs w:val="16"/>
          <w:color w:val="auto"/>
        </w:rPr>
      </w:pPr>
    </w:p>
    <w:p>
      <w:pPr>
        <w:ind w:left="360" w:right="80" w:firstLine="215"/>
        <w:spacing w:after="0" w:line="259"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(E)(l) or (2) of this section. Such determination shall be made as follows:</w:t>
      </w:r>
    </w:p>
    <w:p>
      <w:pPr>
        <w:spacing w:after="0" w:line="79" w:lineRule="exact"/>
        <w:rPr>
          <w:sz w:val="20"/>
          <w:szCs w:val="20"/>
          <w:color w:val="auto"/>
        </w:rPr>
      </w:pPr>
    </w:p>
    <w:p>
      <w:pPr>
        <w:ind w:left="360" w:right="80" w:firstLine="215"/>
        <w:spacing w:after="0" w:line="277" w:lineRule="auto"/>
        <w:tabs>
          <w:tab w:leader="none" w:pos="8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a majority vote of a quorum consisting of directors of the indemnifying corporation who were not and are not parties to or threatened with the action, suit, or proceeding referred to in division (E)(1) or (2) of this section;</w:t>
      </w:r>
    </w:p>
    <w:p>
      <w:pPr>
        <w:spacing w:after="0" w:line="62" w:lineRule="exact"/>
        <w:rPr>
          <w:rFonts w:ascii="Arial" w:cs="Arial" w:eastAsia="Arial" w:hAnsi="Arial"/>
          <w:sz w:val="18"/>
          <w:szCs w:val="18"/>
          <w:color w:val="auto"/>
        </w:rPr>
      </w:pPr>
    </w:p>
    <w:p>
      <w:pPr>
        <w:jc w:val="both"/>
        <w:ind w:left="360" w:firstLine="215"/>
        <w:spacing w:after="0" w:line="286" w:lineRule="auto"/>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57" w:lineRule="exact"/>
        <w:rPr>
          <w:rFonts w:ascii="Arial" w:cs="Arial" w:eastAsia="Arial" w:hAnsi="Arial"/>
          <w:sz w:val="17"/>
          <w:szCs w:val="17"/>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117" w:lineRule="exact"/>
        <w:rPr>
          <w:rFonts w:ascii="Arial" w:cs="Arial" w:eastAsia="Arial" w:hAnsi="Arial"/>
          <w:sz w:val="18"/>
          <w:szCs w:val="18"/>
          <w:color w:val="auto"/>
        </w:rPr>
      </w:pPr>
    </w:p>
    <w:p>
      <w:pPr>
        <w:ind w:left="840" w:hanging="265"/>
        <w:spacing w:after="0"/>
        <w:tabs>
          <w:tab w:leader="none" w:pos="8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By the court of common pleas or the court in which the action, suit, or proceeding referred to in division (E)(1) or (2) of this section was brought.</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60" w:right="160"/>
        <w:spacing w:after="0" w:line="279" w:lineRule="auto"/>
        <w:rPr>
          <w:sz w:val="20"/>
          <w:szCs w:val="20"/>
          <w:color w:val="auto"/>
        </w:rPr>
      </w:pPr>
      <w:r>
        <w:rPr>
          <w:rFonts w:ascii="Arial" w:cs="Arial" w:eastAsia="Arial" w:hAnsi="Arial"/>
          <w:sz w:val="17"/>
          <w:szCs w:val="17"/>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63" w:lineRule="exact"/>
        <w:rPr>
          <w:sz w:val="20"/>
          <w:szCs w:val="20"/>
          <w:color w:val="auto"/>
        </w:rPr>
      </w:pPr>
    </w:p>
    <w:p>
      <w:pPr>
        <w:jc w:val="both"/>
        <w:ind w:left="360" w:right="100" w:firstLine="225"/>
        <w:spacing w:after="0" w:line="273" w:lineRule="auto"/>
        <w:rPr>
          <w:sz w:val="20"/>
          <w:szCs w:val="20"/>
          <w:color w:val="auto"/>
        </w:rPr>
      </w:pPr>
      <w:r>
        <w:rPr>
          <w:rFonts w:ascii="Arial" w:cs="Arial" w:eastAsia="Arial" w:hAnsi="Arial"/>
          <w:sz w:val="17"/>
          <w:szCs w:val="17"/>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do both of the following:</w:t>
      </w:r>
    </w:p>
    <w:p>
      <w:pPr>
        <w:spacing w:after="0" w:line="70" w:lineRule="exact"/>
        <w:rPr>
          <w:sz w:val="20"/>
          <w:szCs w:val="20"/>
          <w:color w:val="auto"/>
        </w:rPr>
      </w:pPr>
    </w:p>
    <w:p>
      <w:pPr>
        <w:ind w:left="360" w:right="60" w:firstLine="215"/>
        <w:spacing w:after="0" w:line="264"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pacing w:after="0" w:line="73" w:lineRule="exact"/>
        <w:rPr>
          <w:rFonts w:ascii="Arial" w:cs="Arial" w:eastAsia="Arial" w:hAnsi="Arial"/>
          <w:sz w:val="18"/>
          <w:szCs w:val="18"/>
          <w:color w:val="auto"/>
        </w:rPr>
      </w:pPr>
    </w:p>
    <w:p>
      <w:pPr>
        <w:ind w:left="840" w:hanging="265"/>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Reasonably cooperate with the corporation concerning the action, suit, or proceeding.</w:t>
      </w:r>
    </w:p>
    <w:p>
      <w:pPr>
        <w:spacing w:after="0" w:line="117" w:lineRule="exact"/>
        <w:rPr>
          <w:sz w:val="20"/>
          <w:szCs w:val="20"/>
          <w:color w:val="auto"/>
        </w:rPr>
      </w:pPr>
    </w:p>
    <w:p>
      <w:pPr>
        <w:ind w:left="360" w:right="100" w:firstLine="215"/>
        <w:spacing w:after="0" w:line="25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80" w:lineRule="exact"/>
        <w:rPr>
          <w:sz w:val="20"/>
          <w:szCs w:val="20"/>
          <w:color w:val="auto"/>
        </w:rPr>
      </w:pPr>
    </w:p>
    <w:p>
      <w:pPr>
        <w:ind w:left="360" w:firstLine="215"/>
        <w:spacing w:after="0" w:line="302" w:lineRule="auto"/>
        <w:tabs>
          <w:tab w:leader="none" w:pos="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firstLine="215"/>
        <w:spacing w:after="0" w:line="293" w:lineRule="auto"/>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56" w:lineRule="exact"/>
        <w:rPr>
          <w:rFonts w:ascii="Arial" w:cs="Arial" w:eastAsia="Arial" w:hAnsi="Arial"/>
          <w:sz w:val="16"/>
          <w:szCs w:val="16"/>
          <w:color w:val="auto"/>
        </w:rPr>
      </w:pPr>
    </w:p>
    <w:p>
      <w:pPr>
        <w:ind w:left="360" w:right="60" w:firstLine="215"/>
        <w:spacing w:after="0" w:line="312" w:lineRule="auto"/>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authority of a corporation to indemnify persons pursuant to division (E)(1) or (2) of this section does not limit the payment of expenses as they are incurred, indemnification, insurance, or other protection that may be provided pursuant to divisions (E)(5), (6), and (7) of this section. Divisions (E)(1) and (2) of this section do not create any obligation to repay or return payments made by the corporation pursuant to division (E)(5), (6), or (7).</w:t>
      </w:r>
    </w:p>
    <w:p>
      <w:pPr>
        <w:spacing w:after="0" w:line="38" w:lineRule="exact"/>
        <w:rPr>
          <w:rFonts w:ascii="Arial" w:cs="Arial" w:eastAsia="Arial" w:hAnsi="Arial"/>
          <w:sz w:val="16"/>
          <w:szCs w:val="16"/>
          <w:color w:val="auto"/>
        </w:rPr>
      </w:pPr>
    </w:p>
    <w:p>
      <w:pPr>
        <w:ind w:left="360" w:firstLine="215"/>
        <w:spacing w:after="0" w:line="255"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used in division (E) of this section, references to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85"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Registrant has purchased insurance coverage under a policy which insures directors and officers against certain liabilities which might be incurred by them in such capacity.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Exemption from Registration Claimed</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Exhibits</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the Index to Exhibits attached hereto and beginning at page 16.</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Undertakings</w:t>
      </w:r>
      <w:r>
        <w:rPr>
          <w:rFonts w:ascii="Arial" w:cs="Arial" w:eastAsia="Arial" w:hAnsi="Arial"/>
          <w:sz w:val="18"/>
          <w:szCs w:val="18"/>
          <w:color w:val="auto"/>
        </w:rPr>
        <w:t>.</w:t>
      </w:r>
    </w:p>
    <w:p>
      <w:pPr>
        <w:spacing w:after="0" w:line="117"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620" w:hanging="274"/>
        <w:spacing w:after="0"/>
        <w:tabs>
          <w:tab w:leader="none" w:pos="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060" w:hanging="377"/>
        <w:spacing w:after="0"/>
        <w:tabs>
          <w:tab w:leader="none" w:pos="10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060" w:right="40" w:hanging="377"/>
        <w:spacing w:after="0" w:line="255" w:lineRule="auto"/>
        <w:tabs>
          <w:tab w:leader="none" w:pos="10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4" w:lineRule="exact"/>
        <w:rPr>
          <w:rFonts w:ascii="Arial" w:cs="Arial" w:eastAsia="Arial" w:hAnsi="Arial"/>
          <w:sz w:val="18"/>
          <w:szCs w:val="18"/>
          <w:color w:val="auto"/>
        </w:rPr>
      </w:pPr>
    </w:p>
    <w:p>
      <w:pPr>
        <w:ind w:left="1060" w:right="620" w:hanging="377"/>
        <w:spacing w:after="0" w:line="277" w:lineRule="auto"/>
        <w:tabs>
          <w:tab w:leader="none" w:pos="10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jc w:val="both"/>
        <w:ind w:left="560"/>
        <w:spacing w:after="0" w:line="264"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73" w:lineRule="exact"/>
        <w:rPr>
          <w:sz w:val="20"/>
          <w:szCs w:val="20"/>
          <w:color w:val="auto"/>
        </w:rPr>
      </w:pPr>
    </w:p>
    <w:p>
      <w:pPr>
        <w:ind w:left="660" w:right="60" w:hanging="314"/>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660" w:hanging="314"/>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 If the Registrant is relying on Rule 430B:</w:t>
      </w:r>
    </w:p>
    <w:p>
      <w:pPr>
        <w:spacing w:after="0" w:line="117" w:lineRule="exact"/>
        <w:rPr>
          <w:sz w:val="20"/>
          <w:szCs w:val="20"/>
          <w:color w:val="auto"/>
        </w:rPr>
      </w:pPr>
    </w:p>
    <w:p>
      <w:pPr>
        <w:ind w:left="360" w:right="80" w:firstLine="215"/>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360" w:firstLine="215"/>
        <w:spacing w:after="0" w:line="269" w:lineRule="auto"/>
        <w:tabs>
          <w:tab w:leader="none" w:pos="87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75" w:lineRule="exact"/>
        <w:rPr>
          <w:sz w:val="20"/>
          <w:szCs w:val="20"/>
          <w:color w:val="auto"/>
        </w:rPr>
      </w:pPr>
    </w:p>
    <w:p>
      <w:pPr>
        <w:ind w:left="360" w:right="160" w:firstLine="215"/>
        <w:spacing w:after="0" w:line="272" w:lineRule="auto"/>
        <w:tabs>
          <w:tab w:leader="none" w:pos="850" w:val="left"/>
        </w:tabs>
        <w:numPr>
          <w:ilvl w:val="1"/>
          <w:numId w:val="18"/>
        </w:numPr>
        <w:rPr>
          <w:rFonts w:ascii="Arial" w:cs="Arial" w:eastAsia="Arial" w:hAnsi="Arial"/>
          <w:sz w:val="17"/>
          <w:szCs w:val="17"/>
          <w:color w:val="auto"/>
        </w:rPr>
      </w:pPr>
      <w:r>
        <w:rPr>
          <w:rFonts w:ascii="Arial" w:cs="Arial" w:eastAsia="Arial" w:hAnsi="Arial"/>
          <w:sz w:val="17"/>
          <w:szCs w:val="17"/>
          <w:color w:val="auto"/>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69" w:lineRule="exact"/>
        <w:rPr>
          <w:rFonts w:ascii="Arial" w:cs="Arial" w:eastAsia="Arial" w:hAnsi="Arial"/>
          <w:sz w:val="17"/>
          <w:szCs w:val="17"/>
          <w:color w:val="auto"/>
        </w:rPr>
      </w:pPr>
    </w:p>
    <w:p>
      <w:pPr>
        <w:ind w:right="560" w:firstLine="233"/>
        <w:spacing w:after="0" w:line="277" w:lineRule="auto"/>
        <w:tabs>
          <w:tab w:leader="none" w:pos="4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62"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hanging="225"/>
        <w:spacing w:after="0"/>
        <w:tabs>
          <w:tab w:leader="none" w:pos="8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360" w:right="860" w:firstLine="215"/>
        <w:spacing w:after="0" w:line="277" w:lineRule="auto"/>
        <w:tabs>
          <w:tab w:leader="none" w:pos="8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360" w:right="240" w:firstLine="215"/>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880" w:hanging="305"/>
        <w:spacing w:after="0"/>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300" w:hanging="292"/>
        <w:spacing w:after="0" w:line="257" w:lineRule="auto"/>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Arial" w:cs="Arial" w:eastAsia="Arial" w:hAnsi="Arial"/>
          <w:sz w:val="18"/>
          <w:szCs w:val="18"/>
          <w:color w:val="auto"/>
        </w:rPr>
      </w:pPr>
    </w:p>
    <w:p>
      <w:pPr>
        <w:ind w:left="300" w:right="20" w:hanging="292"/>
        <w:spacing w:after="0" w:line="271" w:lineRule="auto"/>
        <w:tabs>
          <w:tab w:leader="none" w:pos="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described in Item 6 of this Part II,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Marysville, State of Ohio, on the 1st day of February, 2006.</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James Hagedorn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James Hagedorn, 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Chairman of the Board</w:t>
      </w:r>
    </w:p>
    <w:p>
      <w:pPr>
        <w:spacing w:after="0" w:line="319"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February 1, 2006.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Signature</w:t>
            </w:r>
          </w:p>
        </w:tc>
        <w:tc>
          <w:tcPr>
            <w:tcW w:w="2560" w:type="dxa"/>
            <w:vAlign w:val="bottom"/>
          </w:tcPr>
          <w:p>
            <w:pPr>
              <w:spacing w:after="0"/>
              <w:rPr>
                <w:sz w:val="14"/>
                <w:szCs w:val="14"/>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Title</w:t>
            </w:r>
          </w:p>
        </w:tc>
        <w:tc>
          <w:tcPr>
            <w:tcW w:w="1860" w:type="dxa"/>
            <w:vAlign w:val="bottom"/>
          </w:tcPr>
          <w:p>
            <w:pPr>
              <w:spacing w:after="0"/>
              <w:rPr>
                <w:sz w:val="14"/>
                <w:szCs w:val="14"/>
                <w:color w:val="auto"/>
              </w:rPr>
            </w:pPr>
          </w:p>
        </w:tc>
      </w:tr>
      <w:tr>
        <w:trPr>
          <w:trHeight w:val="426"/>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R. Baker*</w:t>
            </w:r>
          </w:p>
        </w:tc>
        <w:tc>
          <w:tcPr>
            <w:tcW w:w="256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spacing w:after="0"/>
              <w:rPr>
                <w:sz w:val="24"/>
                <w:szCs w:val="24"/>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Mark R. Baker</w:t>
            </w:r>
          </w:p>
        </w:tc>
        <w:tc>
          <w:tcPr>
            <w:tcW w:w="25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1"/>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Gordon F. Brunner*</w:t>
            </w:r>
          </w:p>
        </w:tc>
        <w:tc>
          <w:tcPr>
            <w:tcW w:w="256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spacing w:after="0"/>
              <w:rPr>
                <w:sz w:val="24"/>
                <w:szCs w:val="24"/>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Gordon F. Brunner</w:t>
            </w:r>
          </w:p>
        </w:tc>
        <w:tc>
          <w:tcPr>
            <w:tcW w:w="25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1"/>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Arnold W. Donald*</w:t>
            </w:r>
          </w:p>
        </w:tc>
        <w:tc>
          <w:tcPr>
            <w:tcW w:w="256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spacing w:after="0"/>
              <w:rPr>
                <w:sz w:val="24"/>
                <w:szCs w:val="24"/>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Arnold W. Donald</w:t>
            </w:r>
          </w:p>
        </w:tc>
        <w:tc>
          <w:tcPr>
            <w:tcW w:w="25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1"/>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P. Flannery*</w:t>
            </w:r>
          </w:p>
        </w:tc>
        <w:tc>
          <w:tcPr>
            <w:tcW w:w="256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spacing w:after="0"/>
              <w:rPr>
                <w:sz w:val="24"/>
                <w:szCs w:val="24"/>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Joseph P. Flannery</w:t>
            </w:r>
          </w:p>
        </w:tc>
        <w:tc>
          <w:tcPr>
            <w:tcW w:w="25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1"/>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Mindy F. Grossman*</w:t>
            </w:r>
          </w:p>
        </w:tc>
        <w:tc>
          <w:tcPr>
            <w:tcW w:w="256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spacing w:after="0"/>
              <w:rPr>
                <w:sz w:val="24"/>
                <w:szCs w:val="24"/>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Mindy F. Grossman</w:t>
            </w:r>
          </w:p>
        </w:tc>
        <w:tc>
          <w:tcPr>
            <w:tcW w:w="25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1"/>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Hagedorn</w:t>
            </w:r>
          </w:p>
        </w:tc>
        <w:tc>
          <w:tcPr>
            <w:tcW w:w="256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9"/>
              </w:rPr>
              <w:t>Chief Executive Officer and Chairman of the</w:t>
            </w:r>
          </w:p>
        </w:tc>
        <w:tc>
          <w:tcPr>
            <w:tcW w:w="1860" w:type="dxa"/>
            <w:vAlign w:val="bottom"/>
          </w:tcPr>
          <w:p>
            <w:pPr>
              <w:spacing w:after="0"/>
              <w:rPr>
                <w:sz w:val="24"/>
                <w:szCs w:val="24"/>
                <w:color w:val="auto"/>
              </w:rPr>
            </w:pPr>
          </w:p>
        </w:tc>
      </w:tr>
      <w:tr>
        <w:trPr>
          <w:trHeight w:val="182"/>
        </w:trPr>
        <w:tc>
          <w:tcPr>
            <w:tcW w:w="3500" w:type="dxa"/>
            <w:vAlign w:val="bottom"/>
          </w:tcPr>
          <w:p>
            <w:pPr>
              <w:spacing w:after="0" w:line="182" w:lineRule="exact"/>
              <w:rPr>
                <w:sz w:val="20"/>
                <w:szCs w:val="20"/>
                <w:color w:val="auto"/>
              </w:rPr>
            </w:pPr>
            <w:r>
              <w:rPr>
                <w:rFonts w:ascii="Arial" w:cs="Arial" w:eastAsia="Arial" w:hAnsi="Arial"/>
                <w:sz w:val="18"/>
                <w:szCs w:val="18"/>
                <w:color w:val="auto"/>
              </w:rPr>
              <w:t>James Hagedorn</w:t>
            </w:r>
          </w:p>
        </w:tc>
        <w:tc>
          <w:tcPr>
            <w:tcW w:w="2560" w:type="dxa"/>
            <w:vAlign w:val="bottom"/>
          </w:tcPr>
          <w:p>
            <w:pPr>
              <w:spacing w:after="0"/>
              <w:rPr>
                <w:sz w:val="15"/>
                <w:szCs w:val="15"/>
                <w:color w:val="auto"/>
              </w:rPr>
            </w:pPr>
          </w:p>
        </w:tc>
        <w:tc>
          <w:tcPr>
            <w:tcW w:w="3500" w:type="dxa"/>
            <w:vAlign w:val="bottom"/>
          </w:tcPr>
          <w:p>
            <w:pPr>
              <w:spacing w:after="0" w:line="182" w:lineRule="exact"/>
              <w:rPr>
                <w:sz w:val="20"/>
                <w:szCs w:val="20"/>
                <w:color w:val="auto"/>
              </w:rPr>
            </w:pPr>
            <w:r>
              <w:rPr>
                <w:rFonts w:ascii="Arial" w:cs="Arial" w:eastAsia="Arial" w:hAnsi="Arial"/>
                <w:sz w:val="18"/>
                <w:szCs w:val="18"/>
                <w:color w:val="auto"/>
              </w:rPr>
              <w:t>Board (Principal Executive Officer) and</w:t>
            </w:r>
          </w:p>
        </w:tc>
        <w:tc>
          <w:tcPr>
            <w:tcW w:w="1860" w:type="dxa"/>
            <w:vAlign w:val="bottom"/>
          </w:tcPr>
          <w:p>
            <w:pPr>
              <w:spacing w:after="0"/>
              <w:rPr>
                <w:sz w:val="15"/>
                <w:szCs w:val="15"/>
                <w:color w:val="auto"/>
              </w:rPr>
            </w:pPr>
          </w:p>
        </w:tc>
      </w:tr>
      <w:tr>
        <w:trPr>
          <w:trHeight w:val="230"/>
        </w:trPr>
        <w:tc>
          <w:tcPr>
            <w:tcW w:w="35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spacing w:after="0"/>
              <w:rPr>
                <w:sz w:val="20"/>
                <w:szCs w:val="20"/>
                <w:color w:val="auto"/>
              </w:rPr>
            </w:pPr>
          </w:p>
        </w:tc>
      </w:tr>
      <w:tr>
        <w:trPr>
          <w:trHeight w:val="432"/>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Katherine Hagedorn Littlefield*</w:t>
            </w:r>
          </w:p>
        </w:tc>
        <w:tc>
          <w:tcPr>
            <w:tcW w:w="256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spacing w:after="0"/>
              <w:rPr>
                <w:sz w:val="24"/>
                <w:szCs w:val="24"/>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Katherine Hagedorn Littlefield</w:t>
            </w:r>
          </w:p>
        </w:tc>
        <w:tc>
          <w:tcPr>
            <w:tcW w:w="25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1"/>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Karen G. Mills*</w:t>
            </w:r>
          </w:p>
        </w:tc>
        <w:tc>
          <w:tcPr>
            <w:tcW w:w="256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spacing w:after="0"/>
              <w:rPr>
                <w:sz w:val="24"/>
                <w:szCs w:val="24"/>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Karen G. Mills</w:t>
            </w:r>
          </w:p>
        </w:tc>
        <w:tc>
          <w:tcPr>
            <w:tcW w:w="25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04"/>
        </w:trPr>
        <w:tc>
          <w:tcPr>
            <w:tcW w:w="3500" w:type="dxa"/>
            <w:vAlign w:val="bottom"/>
          </w:tcPr>
          <w:p>
            <w:pPr>
              <w:spacing w:after="0"/>
              <w:rPr>
                <w:sz w:val="24"/>
                <w:szCs w:val="24"/>
                <w:color w:val="auto"/>
              </w:rPr>
            </w:pPr>
          </w:p>
        </w:tc>
        <w:tc>
          <w:tcPr>
            <w:tcW w:w="256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35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26"/>
        </w:trPr>
        <w:tc>
          <w:tcPr>
            <w:tcW w:w="350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Signature</w:t>
            </w:r>
          </w:p>
        </w:tc>
        <w:tc>
          <w:tcPr>
            <w:tcW w:w="2560" w:type="dxa"/>
            <w:vAlign w:val="bottom"/>
          </w:tcPr>
          <w:p>
            <w:pPr>
              <w:spacing w:after="0"/>
              <w:rPr>
                <w:sz w:val="14"/>
                <w:szCs w:val="14"/>
                <w:color w:val="auto"/>
              </w:rPr>
            </w:pPr>
          </w:p>
        </w:tc>
        <w:tc>
          <w:tcPr>
            <w:tcW w:w="3500" w:type="dxa"/>
            <w:vAlign w:val="bottom"/>
            <w:tcBorders>
              <w:bottom w:val="single" w:sz="8" w:color="auto"/>
            </w:tcBorders>
          </w:tcPr>
          <w:p>
            <w:pPr>
              <w:ind w:left="1620"/>
              <w:spacing w:after="0"/>
              <w:rPr>
                <w:sz w:val="20"/>
                <w:szCs w:val="20"/>
                <w:color w:val="auto"/>
              </w:rPr>
            </w:pPr>
            <w:r>
              <w:rPr>
                <w:rFonts w:ascii="Arial" w:cs="Arial" w:eastAsia="Arial" w:hAnsi="Arial"/>
                <w:sz w:val="14"/>
                <w:szCs w:val="14"/>
                <w:color w:val="auto"/>
              </w:rPr>
              <w:t>Title</w:t>
            </w:r>
          </w:p>
        </w:tc>
      </w:tr>
      <w:tr>
        <w:trPr>
          <w:trHeight w:val="426"/>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L. Nagel</w:t>
            </w:r>
          </w:p>
        </w:tc>
        <w:tc>
          <w:tcPr>
            <w:tcW w:w="256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7"/>
              </w:rPr>
              <w:t>Executive Vice President and Chief Financial</w:t>
            </w:r>
          </w:p>
        </w:tc>
      </w:tr>
      <w:tr>
        <w:trPr>
          <w:trHeight w:val="182"/>
        </w:trPr>
        <w:tc>
          <w:tcPr>
            <w:tcW w:w="3500" w:type="dxa"/>
            <w:vAlign w:val="bottom"/>
          </w:tcPr>
          <w:p>
            <w:pPr>
              <w:spacing w:after="0" w:line="182" w:lineRule="exact"/>
              <w:rPr>
                <w:sz w:val="20"/>
                <w:szCs w:val="20"/>
                <w:color w:val="auto"/>
              </w:rPr>
            </w:pPr>
            <w:r>
              <w:rPr>
                <w:rFonts w:ascii="Arial" w:cs="Arial" w:eastAsia="Arial" w:hAnsi="Arial"/>
                <w:sz w:val="18"/>
                <w:szCs w:val="18"/>
                <w:color w:val="auto"/>
              </w:rPr>
              <w:t>Christopher L. Nagel</w:t>
            </w:r>
          </w:p>
        </w:tc>
        <w:tc>
          <w:tcPr>
            <w:tcW w:w="2560" w:type="dxa"/>
            <w:vAlign w:val="bottom"/>
          </w:tcPr>
          <w:p>
            <w:pPr>
              <w:spacing w:after="0"/>
              <w:rPr>
                <w:sz w:val="15"/>
                <w:szCs w:val="15"/>
                <w:color w:val="auto"/>
              </w:rPr>
            </w:pPr>
          </w:p>
        </w:tc>
        <w:tc>
          <w:tcPr>
            <w:tcW w:w="3500" w:type="dxa"/>
            <w:vAlign w:val="bottom"/>
          </w:tcPr>
          <w:p>
            <w:pPr>
              <w:spacing w:after="0" w:line="182" w:lineRule="exact"/>
              <w:rPr>
                <w:sz w:val="20"/>
                <w:szCs w:val="20"/>
                <w:color w:val="auto"/>
              </w:rPr>
            </w:pPr>
            <w:r>
              <w:rPr>
                <w:rFonts w:ascii="Arial" w:cs="Arial" w:eastAsia="Arial" w:hAnsi="Arial"/>
                <w:sz w:val="18"/>
                <w:szCs w:val="18"/>
                <w:color w:val="auto"/>
              </w:rPr>
              <w:t>Officer (Principal Financial and Principal</w:t>
            </w:r>
          </w:p>
        </w:tc>
      </w:tr>
      <w:tr>
        <w:trPr>
          <w:trHeight w:val="230"/>
        </w:trPr>
        <w:tc>
          <w:tcPr>
            <w:tcW w:w="35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432"/>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J. Norton*</w:t>
            </w:r>
          </w:p>
        </w:tc>
        <w:tc>
          <w:tcPr>
            <w:tcW w:w="256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Patrick J. Norton</w:t>
            </w:r>
          </w:p>
        </w:tc>
        <w:tc>
          <w:tcPr>
            <w:tcW w:w="2560" w:type="dxa"/>
            <w:vAlign w:val="bottom"/>
          </w:tcPr>
          <w:p>
            <w:pPr>
              <w:spacing w:after="0"/>
              <w:rPr>
                <w:sz w:val="19"/>
                <w:szCs w:val="19"/>
                <w:color w:val="auto"/>
              </w:rPr>
            </w:pPr>
          </w:p>
        </w:tc>
        <w:tc>
          <w:tcPr>
            <w:tcW w:w="35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0" w:hanging="67"/>
        <w:spacing w:after="0" w:line="277" w:lineRule="auto"/>
        <w:rPr>
          <w:sz w:val="20"/>
          <w:szCs w:val="20"/>
          <w:color w:val="auto"/>
        </w:rPr>
      </w:pPr>
      <w:r>
        <w:rPr>
          <w:rFonts w:ascii="Arial" w:cs="Arial" w:eastAsia="Arial" w:hAnsi="Arial"/>
          <w:sz w:val="18"/>
          <w:szCs w:val="18"/>
          <w:color w:val="auto"/>
        </w:rPr>
        <w:t>*By James Hagedorn pursuant to Powers of Attorney executed by the directors identified above, which Powers of Attorney have been filed with the Securities and Exchange Commission as exhibits to this Registration Statement on Form S-8.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583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Hagedorn, Attorney-in-Fact</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240" w:top="419" w:right="9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INDEX TO EXHIBITS</w:t>
      </w:r>
    </w:p>
    <w:p>
      <w:pPr>
        <w:sectPr>
          <w:pgSz w:w="11900" w:h="16838" w:orient="portrait"/>
          <w:cols w:equalWidth="0" w:num="1">
            <w:col w:w="11380"/>
          </w:cols>
          <w:pgMar w:left="240" w:top="419" w:right="279" w:bottom="1440" w:gutter="0" w:footer="0" w:header="0"/>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40" w:type="dxa"/>
            <w:vAlign w:val="bottom"/>
            <w:gridSpan w:val="2"/>
          </w:tcPr>
          <w:p>
            <w:pPr>
              <w:jc w:val="right"/>
              <w:ind w:right="470"/>
              <w:spacing w:after="0"/>
              <w:rPr>
                <w:sz w:val="20"/>
                <w:szCs w:val="20"/>
                <w:color w:val="auto"/>
              </w:rPr>
            </w:pPr>
            <w:r>
              <w:rPr>
                <w:rFonts w:ascii="Arial" w:cs="Arial" w:eastAsia="Arial" w:hAnsi="Arial"/>
                <w:sz w:val="14"/>
                <w:szCs w:val="14"/>
                <w:color w:val="auto"/>
                <w:w w:val="97"/>
              </w:rPr>
              <w:t>Exhibit No.</w:t>
            </w:r>
          </w:p>
        </w:tc>
        <w:tc>
          <w:tcPr>
            <w:tcW w:w="100" w:type="dxa"/>
            <w:vAlign w:val="bottom"/>
          </w:tcPr>
          <w:p>
            <w:pPr>
              <w:spacing w:after="0"/>
              <w:rPr>
                <w:sz w:val="14"/>
                <w:szCs w:val="14"/>
                <w:color w:val="auto"/>
              </w:rPr>
            </w:pPr>
          </w:p>
        </w:tc>
        <w:tc>
          <w:tcPr>
            <w:tcW w:w="4980" w:type="dxa"/>
            <w:vAlign w:val="bottom"/>
          </w:tcPr>
          <w:p>
            <w:pPr>
              <w:ind w:left="2160"/>
              <w:spacing w:after="0"/>
              <w:rPr>
                <w:sz w:val="20"/>
                <w:szCs w:val="20"/>
                <w:color w:val="auto"/>
              </w:rPr>
            </w:pPr>
            <w:r>
              <w:rPr>
                <w:rFonts w:ascii="Arial" w:cs="Arial" w:eastAsia="Arial" w:hAnsi="Arial"/>
                <w:sz w:val="14"/>
                <w:szCs w:val="14"/>
                <w:color w:val="auto"/>
              </w:rPr>
              <w:t>Description</w:t>
            </w:r>
          </w:p>
        </w:tc>
      </w:tr>
      <w:tr>
        <w:trPr>
          <w:trHeight w:val="195"/>
        </w:trPr>
        <w:tc>
          <w:tcPr>
            <w:tcW w:w="20" w:type="dxa"/>
            <w:vAlign w:val="bottom"/>
          </w:tcPr>
          <w:p>
            <w:pPr>
              <w:spacing w:after="0"/>
              <w:rPr>
                <w:sz w:val="16"/>
                <w:szCs w:val="16"/>
                <w:color w:val="auto"/>
              </w:rPr>
            </w:pPr>
          </w:p>
        </w:tc>
        <w:tc>
          <w:tcPr>
            <w:tcW w:w="1220" w:type="dxa"/>
            <w:vAlign w:val="bottom"/>
            <w:tcBorders>
              <w:top w:val="single" w:sz="8" w:color="auto"/>
            </w:tcBorders>
          </w:tcPr>
          <w:p>
            <w:pPr>
              <w:jc w:val="right"/>
              <w:ind w:right="410"/>
              <w:spacing w:after="0" w:line="195"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6"/>
                <w:szCs w:val="16"/>
                <w:color w:val="auto"/>
              </w:rPr>
            </w:pPr>
          </w:p>
        </w:tc>
        <w:tc>
          <w:tcPr>
            <w:tcW w:w="4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Initial Articles of Incorporation of The Scotts Miracle-Gro Company</w:t>
            </w: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as filed with the Ohio Secretary of State on November 22, 2004</w:t>
            </w:r>
          </w:p>
        </w:tc>
      </w:tr>
      <w:tr>
        <w:trPr>
          <w:trHeight w:val="634"/>
        </w:trPr>
        <w:tc>
          <w:tcPr>
            <w:tcW w:w="1240" w:type="dxa"/>
            <w:vAlign w:val="bottom"/>
            <w:gridSpan w:val="2"/>
          </w:tcPr>
          <w:p>
            <w:pPr>
              <w:jc w:val="right"/>
              <w:ind w:right="410"/>
              <w:spacing w:after="0"/>
              <w:rPr>
                <w:sz w:val="20"/>
                <w:szCs w:val="20"/>
                <w:color w:val="auto"/>
              </w:rPr>
            </w:pPr>
            <w:r>
              <w:rPr>
                <w:rFonts w:ascii="Arial" w:cs="Arial" w:eastAsia="Arial" w:hAnsi="Arial"/>
                <w:sz w:val="18"/>
                <w:szCs w:val="18"/>
                <w:color w:val="auto"/>
              </w:rPr>
              <w:t>4.2</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Certificate of Amendment by Shareholders to Articles of</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Incorporation of The Scotts Miracle-Gro Company as filed with the</w:t>
            </w: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Ohio Secretary of State on March 18, 2005</w:t>
            </w:r>
          </w:p>
        </w:tc>
      </w:tr>
      <w:tr>
        <w:trPr>
          <w:trHeight w:val="432"/>
        </w:trPr>
        <w:tc>
          <w:tcPr>
            <w:tcW w:w="1240" w:type="dxa"/>
            <w:vAlign w:val="bottom"/>
            <w:gridSpan w:val="2"/>
          </w:tcPr>
          <w:p>
            <w:pPr>
              <w:jc w:val="right"/>
              <w:ind w:right="410"/>
              <w:spacing w:after="0"/>
              <w:rPr>
                <w:sz w:val="20"/>
                <w:szCs w:val="20"/>
                <w:color w:val="auto"/>
              </w:rPr>
            </w:pPr>
            <w:r>
              <w:rPr>
                <w:rFonts w:ascii="Arial" w:cs="Arial" w:eastAsia="Arial" w:hAnsi="Arial"/>
                <w:sz w:val="18"/>
                <w:szCs w:val="18"/>
                <w:color w:val="auto"/>
              </w:rPr>
              <w:t>4.3</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Code of Regulations of The Scotts Miracle-Gro Company</w:t>
            </w:r>
          </w:p>
        </w:tc>
      </w:tr>
    </w:tbl>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31730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Incorporated herein by reference to the Current Report on Form 8-K of The Scotts Miracle-Gro Company dated and filed March 24, 2005 (File No. 1-13292) [Exhibit 3.1]</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Miracle-Gro Company dated and filed March 24, 2005 (File No. 1-13292) [Exhibit 3.2]</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Miracle-Gro Company dated and filed March 24, 2005 (File No. 1-13292) [Exhibit 3.3]</w:t>
      </w:r>
    </w:p>
    <w:p>
      <w:pPr>
        <w:spacing w:after="0" w:line="181" w:lineRule="exact"/>
        <w:rPr>
          <w:sz w:val="20"/>
          <w:szCs w:val="20"/>
          <w:color w:val="auto"/>
        </w:rPr>
      </w:pPr>
    </w:p>
    <w:p>
      <w:pPr>
        <w:sectPr>
          <w:pgSz w:w="11900" w:h="16838" w:orient="portrait"/>
          <w:cols w:equalWidth="0" w:num="2">
            <w:col w:w="6320" w:space="100"/>
            <w:col w:w="4960"/>
          </w:cols>
          <w:pgMar w:left="240" w:top="419" w:right="279"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600" w:type="dxa"/>
            <w:vAlign w:val="bottom"/>
          </w:tcPr>
          <w:p>
            <w:pPr>
              <w:jc w:val="center"/>
              <w:ind w:right="170"/>
              <w:spacing w:after="0"/>
              <w:rPr>
                <w:sz w:val="20"/>
                <w:szCs w:val="20"/>
                <w:color w:val="auto"/>
              </w:rPr>
            </w:pPr>
            <w:r>
              <w:rPr>
                <w:rFonts w:ascii="Arial" w:cs="Arial" w:eastAsia="Arial" w:hAnsi="Arial"/>
                <w:sz w:val="18"/>
                <w:szCs w:val="18"/>
                <w:color w:val="auto"/>
                <w:w w:val="87"/>
              </w:rPr>
              <w:t>5.1</w:t>
            </w:r>
          </w:p>
        </w:tc>
        <w:tc>
          <w:tcPr>
            <w:tcW w:w="5260" w:type="dxa"/>
            <w:vAlign w:val="bottom"/>
          </w:tcPr>
          <w:p>
            <w:pPr>
              <w:ind w:left="280"/>
              <w:spacing w:after="0"/>
              <w:rPr>
                <w:sz w:val="20"/>
                <w:szCs w:val="20"/>
                <w:color w:val="auto"/>
              </w:rPr>
            </w:pPr>
            <w:r>
              <w:rPr>
                <w:rFonts w:ascii="Arial" w:cs="Arial" w:eastAsia="Arial" w:hAnsi="Arial"/>
                <w:sz w:val="18"/>
                <w:szCs w:val="18"/>
                <w:color w:val="auto"/>
                <w:w w:val="92"/>
              </w:rPr>
              <w:t>Opinion of Vorys, Sater, Seymour and Pease LLP regarding legality</w:t>
            </w:r>
          </w:p>
        </w:tc>
        <w:tc>
          <w:tcPr>
            <w:tcW w:w="204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30"/>
        </w:trPr>
        <w:tc>
          <w:tcPr>
            <w:tcW w:w="600" w:type="dxa"/>
            <w:vAlign w:val="bottom"/>
          </w:tcPr>
          <w:p>
            <w:pPr>
              <w:spacing w:after="0"/>
              <w:rPr>
                <w:sz w:val="20"/>
                <w:szCs w:val="20"/>
                <w:color w:val="auto"/>
              </w:rPr>
            </w:pPr>
          </w:p>
        </w:tc>
        <w:tc>
          <w:tcPr>
            <w:tcW w:w="5260" w:type="dxa"/>
            <w:vAlign w:val="bottom"/>
          </w:tcPr>
          <w:p>
            <w:pPr>
              <w:ind w:left="280"/>
              <w:spacing w:after="0"/>
              <w:rPr>
                <w:sz w:val="20"/>
                <w:szCs w:val="20"/>
                <w:color w:val="auto"/>
              </w:rPr>
            </w:pPr>
            <w:r>
              <w:rPr>
                <w:rFonts w:ascii="Arial" w:cs="Arial" w:eastAsia="Arial" w:hAnsi="Arial"/>
                <w:sz w:val="18"/>
                <w:szCs w:val="18"/>
                <w:color w:val="auto"/>
              </w:rPr>
              <w:t>of securities being registered</w:t>
            </w:r>
          </w:p>
        </w:tc>
        <w:tc>
          <w:tcPr>
            <w:tcW w:w="2040" w:type="dxa"/>
            <w:vAlign w:val="bottom"/>
          </w:tcPr>
          <w:p>
            <w:pPr>
              <w:spacing w:after="0"/>
              <w:rPr>
                <w:sz w:val="20"/>
                <w:szCs w:val="20"/>
                <w:color w:val="auto"/>
              </w:rPr>
            </w:pPr>
          </w:p>
        </w:tc>
      </w:tr>
      <w:tr>
        <w:trPr>
          <w:trHeight w:val="418"/>
        </w:trPr>
        <w:tc>
          <w:tcPr>
            <w:tcW w:w="600" w:type="dxa"/>
            <w:vAlign w:val="bottom"/>
          </w:tcPr>
          <w:p>
            <w:pPr>
              <w:jc w:val="center"/>
              <w:ind w:right="190"/>
              <w:spacing w:after="0"/>
              <w:rPr>
                <w:sz w:val="20"/>
                <w:szCs w:val="20"/>
                <w:color w:val="auto"/>
              </w:rPr>
            </w:pPr>
            <w:r>
              <w:rPr>
                <w:rFonts w:ascii="Arial" w:cs="Arial" w:eastAsia="Arial" w:hAnsi="Arial"/>
                <w:sz w:val="18"/>
                <w:szCs w:val="18"/>
                <w:color w:val="auto"/>
                <w:w w:val="91"/>
              </w:rPr>
              <w:t>10.1</w:t>
            </w:r>
          </w:p>
        </w:tc>
        <w:tc>
          <w:tcPr>
            <w:tcW w:w="5260" w:type="dxa"/>
            <w:vAlign w:val="bottom"/>
          </w:tcPr>
          <w:p>
            <w:pPr>
              <w:ind w:left="280"/>
              <w:spacing w:after="0"/>
              <w:rPr>
                <w:sz w:val="20"/>
                <w:szCs w:val="20"/>
                <w:color w:val="auto"/>
              </w:rPr>
            </w:pPr>
            <w:r>
              <w:rPr>
                <w:rFonts w:ascii="Arial" w:cs="Arial" w:eastAsia="Arial" w:hAnsi="Arial"/>
                <w:sz w:val="18"/>
                <w:szCs w:val="18"/>
                <w:color w:val="auto"/>
              </w:rPr>
              <w:t>The Scotts Miracle-Gro Company 2006 Long-Term</w:t>
            </w:r>
          </w:p>
        </w:tc>
        <w:tc>
          <w:tcPr>
            <w:tcW w:w="204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30"/>
        </w:trPr>
        <w:tc>
          <w:tcPr>
            <w:tcW w:w="600" w:type="dxa"/>
            <w:vAlign w:val="bottom"/>
          </w:tcPr>
          <w:p>
            <w:pPr>
              <w:spacing w:after="0"/>
              <w:rPr>
                <w:sz w:val="20"/>
                <w:szCs w:val="20"/>
                <w:color w:val="auto"/>
              </w:rPr>
            </w:pPr>
          </w:p>
        </w:tc>
        <w:tc>
          <w:tcPr>
            <w:tcW w:w="5260" w:type="dxa"/>
            <w:vAlign w:val="bottom"/>
          </w:tcPr>
          <w:p>
            <w:pPr>
              <w:ind w:left="280"/>
              <w:spacing w:after="0"/>
              <w:rPr>
                <w:sz w:val="20"/>
                <w:szCs w:val="20"/>
                <w:color w:val="auto"/>
              </w:rPr>
            </w:pPr>
            <w:r>
              <w:rPr>
                <w:rFonts w:ascii="Arial" w:cs="Arial" w:eastAsia="Arial" w:hAnsi="Arial"/>
                <w:sz w:val="18"/>
                <w:szCs w:val="18"/>
                <w:color w:val="auto"/>
              </w:rPr>
              <w:t>Incentive Plan</w:t>
            </w:r>
          </w:p>
        </w:tc>
        <w:tc>
          <w:tcPr>
            <w:tcW w:w="2040" w:type="dxa"/>
            <w:vAlign w:val="bottom"/>
          </w:tcPr>
          <w:p>
            <w:pPr>
              <w:spacing w:after="0"/>
              <w:rPr>
                <w:sz w:val="20"/>
                <w:szCs w:val="20"/>
                <w:color w:val="auto"/>
              </w:rPr>
            </w:pPr>
          </w:p>
        </w:tc>
      </w:tr>
      <w:tr>
        <w:trPr>
          <w:trHeight w:val="418"/>
        </w:trPr>
        <w:tc>
          <w:tcPr>
            <w:tcW w:w="600" w:type="dxa"/>
            <w:vAlign w:val="bottom"/>
          </w:tcPr>
          <w:p>
            <w:pPr>
              <w:jc w:val="center"/>
              <w:ind w:right="190"/>
              <w:spacing w:after="0"/>
              <w:rPr>
                <w:sz w:val="20"/>
                <w:szCs w:val="20"/>
                <w:color w:val="auto"/>
              </w:rPr>
            </w:pPr>
            <w:r>
              <w:rPr>
                <w:rFonts w:ascii="Arial" w:cs="Arial" w:eastAsia="Arial" w:hAnsi="Arial"/>
                <w:sz w:val="18"/>
                <w:szCs w:val="18"/>
                <w:color w:val="auto"/>
                <w:w w:val="91"/>
              </w:rPr>
              <w:t>23.1</w:t>
            </w:r>
          </w:p>
        </w:tc>
        <w:tc>
          <w:tcPr>
            <w:tcW w:w="5260" w:type="dxa"/>
            <w:vAlign w:val="bottom"/>
          </w:tcPr>
          <w:p>
            <w:pPr>
              <w:ind w:left="280"/>
              <w:spacing w:after="0"/>
              <w:rPr>
                <w:sz w:val="20"/>
                <w:szCs w:val="20"/>
                <w:color w:val="auto"/>
              </w:rPr>
            </w:pPr>
            <w:r>
              <w:rPr>
                <w:rFonts w:ascii="Arial" w:cs="Arial" w:eastAsia="Arial" w:hAnsi="Arial"/>
                <w:sz w:val="18"/>
                <w:szCs w:val="18"/>
                <w:color w:val="auto"/>
                <w:w w:val="95"/>
              </w:rPr>
              <w:t>Consent of Deloitte &amp; Touche LLP, independent registered public</w:t>
            </w:r>
          </w:p>
        </w:tc>
        <w:tc>
          <w:tcPr>
            <w:tcW w:w="204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30"/>
        </w:trPr>
        <w:tc>
          <w:tcPr>
            <w:tcW w:w="600" w:type="dxa"/>
            <w:vAlign w:val="bottom"/>
          </w:tcPr>
          <w:p>
            <w:pPr>
              <w:spacing w:after="0"/>
              <w:rPr>
                <w:sz w:val="20"/>
                <w:szCs w:val="20"/>
                <w:color w:val="auto"/>
              </w:rPr>
            </w:pPr>
          </w:p>
        </w:tc>
        <w:tc>
          <w:tcPr>
            <w:tcW w:w="5260" w:type="dxa"/>
            <w:vAlign w:val="bottom"/>
          </w:tcPr>
          <w:p>
            <w:pPr>
              <w:ind w:left="280"/>
              <w:spacing w:after="0"/>
              <w:rPr>
                <w:sz w:val="20"/>
                <w:szCs w:val="20"/>
                <w:color w:val="auto"/>
              </w:rPr>
            </w:pPr>
            <w:r>
              <w:rPr>
                <w:rFonts w:ascii="Arial" w:cs="Arial" w:eastAsia="Arial" w:hAnsi="Arial"/>
                <w:sz w:val="18"/>
                <w:szCs w:val="18"/>
                <w:color w:val="auto"/>
              </w:rPr>
              <w:t>accounting firm</w:t>
            </w:r>
          </w:p>
        </w:tc>
        <w:tc>
          <w:tcPr>
            <w:tcW w:w="2040" w:type="dxa"/>
            <w:vAlign w:val="bottom"/>
          </w:tcPr>
          <w:p>
            <w:pPr>
              <w:spacing w:after="0"/>
              <w:rPr>
                <w:sz w:val="20"/>
                <w:szCs w:val="20"/>
                <w:color w:val="auto"/>
              </w:rPr>
            </w:pPr>
          </w:p>
        </w:tc>
      </w:tr>
      <w:tr>
        <w:trPr>
          <w:trHeight w:val="418"/>
        </w:trPr>
        <w:tc>
          <w:tcPr>
            <w:tcW w:w="600" w:type="dxa"/>
            <w:vAlign w:val="bottom"/>
          </w:tcPr>
          <w:p>
            <w:pPr>
              <w:jc w:val="center"/>
              <w:ind w:right="190"/>
              <w:spacing w:after="0"/>
              <w:rPr>
                <w:sz w:val="20"/>
                <w:szCs w:val="20"/>
                <w:color w:val="auto"/>
              </w:rPr>
            </w:pPr>
            <w:r>
              <w:rPr>
                <w:rFonts w:ascii="Arial" w:cs="Arial" w:eastAsia="Arial" w:hAnsi="Arial"/>
                <w:sz w:val="18"/>
                <w:szCs w:val="18"/>
                <w:color w:val="auto"/>
                <w:w w:val="91"/>
              </w:rPr>
              <w:t>23.2</w:t>
            </w:r>
          </w:p>
        </w:tc>
        <w:tc>
          <w:tcPr>
            <w:tcW w:w="5260" w:type="dxa"/>
            <w:vAlign w:val="bottom"/>
          </w:tcPr>
          <w:p>
            <w:pPr>
              <w:ind w:left="280"/>
              <w:spacing w:after="0"/>
              <w:rPr>
                <w:sz w:val="20"/>
                <w:szCs w:val="20"/>
                <w:color w:val="auto"/>
              </w:rPr>
            </w:pPr>
            <w:r>
              <w:rPr>
                <w:rFonts w:ascii="Arial" w:cs="Arial" w:eastAsia="Arial" w:hAnsi="Arial"/>
                <w:sz w:val="18"/>
                <w:szCs w:val="18"/>
                <w:color w:val="auto"/>
                <w:w w:val="94"/>
              </w:rPr>
              <w:t>Consent of PricewaterhouseCoopers LLP, independent registered</w:t>
            </w:r>
          </w:p>
        </w:tc>
        <w:tc>
          <w:tcPr>
            <w:tcW w:w="204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30"/>
        </w:trPr>
        <w:tc>
          <w:tcPr>
            <w:tcW w:w="600" w:type="dxa"/>
            <w:vAlign w:val="bottom"/>
          </w:tcPr>
          <w:p>
            <w:pPr>
              <w:spacing w:after="0"/>
              <w:rPr>
                <w:sz w:val="20"/>
                <w:szCs w:val="20"/>
                <w:color w:val="auto"/>
              </w:rPr>
            </w:pPr>
          </w:p>
        </w:tc>
        <w:tc>
          <w:tcPr>
            <w:tcW w:w="5260" w:type="dxa"/>
            <w:vAlign w:val="bottom"/>
          </w:tcPr>
          <w:p>
            <w:pPr>
              <w:ind w:left="280"/>
              <w:spacing w:after="0"/>
              <w:rPr>
                <w:sz w:val="20"/>
                <w:szCs w:val="20"/>
                <w:color w:val="auto"/>
              </w:rPr>
            </w:pPr>
            <w:r>
              <w:rPr>
                <w:rFonts w:ascii="Arial" w:cs="Arial" w:eastAsia="Arial" w:hAnsi="Arial"/>
                <w:sz w:val="18"/>
                <w:szCs w:val="18"/>
                <w:color w:val="auto"/>
              </w:rPr>
              <w:t>public accounting firm</w:t>
            </w:r>
          </w:p>
        </w:tc>
        <w:tc>
          <w:tcPr>
            <w:tcW w:w="2040" w:type="dxa"/>
            <w:vAlign w:val="bottom"/>
          </w:tcPr>
          <w:p>
            <w:pPr>
              <w:spacing w:after="0"/>
              <w:rPr>
                <w:sz w:val="20"/>
                <w:szCs w:val="20"/>
                <w:color w:val="auto"/>
              </w:rPr>
            </w:pPr>
          </w:p>
        </w:tc>
      </w:tr>
      <w:tr>
        <w:trPr>
          <w:trHeight w:val="432"/>
        </w:trPr>
        <w:tc>
          <w:tcPr>
            <w:tcW w:w="600" w:type="dxa"/>
            <w:vAlign w:val="bottom"/>
          </w:tcPr>
          <w:p>
            <w:pPr>
              <w:jc w:val="center"/>
              <w:ind w:right="190"/>
              <w:spacing w:after="0"/>
              <w:rPr>
                <w:sz w:val="20"/>
                <w:szCs w:val="20"/>
                <w:color w:val="auto"/>
              </w:rPr>
            </w:pPr>
            <w:r>
              <w:rPr>
                <w:rFonts w:ascii="Arial" w:cs="Arial" w:eastAsia="Arial" w:hAnsi="Arial"/>
                <w:sz w:val="18"/>
                <w:szCs w:val="18"/>
                <w:color w:val="auto"/>
                <w:w w:val="91"/>
              </w:rPr>
              <w:t>23.3</w:t>
            </w:r>
          </w:p>
        </w:tc>
        <w:tc>
          <w:tcPr>
            <w:tcW w:w="5260" w:type="dxa"/>
            <w:vAlign w:val="bottom"/>
          </w:tcPr>
          <w:p>
            <w:pPr>
              <w:ind w:left="280"/>
              <w:spacing w:after="0"/>
              <w:rPr>
                <w:sz w:val="20"/>
                <w:szCs w:val="20"/>
                <w:color w:val="auto"/>
              </w:rPr>
            </w:pPr>
            <w:r>
              <w:rPr>
                <w:rFonts w:ascii="Arial" w:cs="Arial" w:eastAsia="Arial" w:hAnsi="Arial"/>
                <w:sz w:val="18"/>
                <w:szCs w:val="18"/>
                <w:color w:val="auto"/>
              </w:rPr>
              <w:t>Consent of Vorys, Sater, Seymour and Pease LLP</w:t>
            </w:r>
          </w:p>
        </w:tc>
        <w:tc>
          <w:tcPr>
            <w:tcW w:w="2040" w:type="dxa"/>
            <w:vAlign w:val="bottom"/>
          </w:tcPr>
          <w:p>
            <w:pPr>
              <w:ind w:left="100"/>
              <w:spacing w:after="0"/>
              <w:rPr>
                <w:sz w:val="20"/>
                <w:szCs w:val="20"/>
                <w:color w:val="auto"/>
              </w:rPr>
            </w:pPr>
            <w:r>
              <w:rPr>
                <w:rFonts w:ascii="Arial" w:cs="Arial" w:eastAsia="Arial" w:hAnsi="Arial"/>
                <w:sz w:val="18"/>
                <w:szCs w:val="18"/>
                <w:color w:val="auto"/>
                <w:w w:val="92"/>
              </w:rPr>
              <w:t>Filed as part of Exhibit 5.1</w:t>
            </w:r>
          </w:p>
        </w:tc>
      </w:tr>
      <w:tr>
        <w:trPr>
          <w:trHeight w:val="418"/>
        </w:trPr>
        <w:tc>
          <w:tcPr>
            <w:tcW w:w="600" w:type="dxa"/>
            <w:vAlign w:val="bottom"/>
          </w:tcPr>
          <w:p>
            <w:pPr>
              <w:jc w:val="center"/>
              <w:ind w:right="190"/>
              <w:spacing w:after="0"/>
              <w:rPr>
                <w:sz w:val="20"/>
                <w:szCs w:val="20"/>
                <w:color w:val="auto"/>
              </w:rPr>
            </w:pPr>
            <w:r>
              <w:rPr>
                <w:rFonts w:ascii="Arial" w:cs="Arial" w:eastAsia="Arial" w:hAnsi="Arial"/>
                <w:sz w:val="18"/>
                <w:szCs w:val="18"/>
                <w:color w:val="auto"/>
                <w:w w:val="91"/>
              </w:rPr>
              <w:t>24.1</w:t>
            </w:r>
          </w:p>
        </w:tc>
        <w:tc>
          <w:tcPr>
            <w:tcW w:w="5260" w:type="dxa"/>
            <w:vAlign w:val="bottom"/>
          </w:tcPr>
          <w:p>
            <w:pPr>
              <w:ind w:left="280"/>
              <w:spacing w:after="0"/>
              <w:rPr>
                <w:sz w:val="20"/>
                <w:szCs w:val="20"/>
                <w:color w:val="auto"/>
              </w:rPr>
            </w:pPr>
            <w:r>
              <w:rPr>
                <w:rFonts w:ascii="Arial" w:cs="Arial" w:eastAsia="Arial" w:hAnsi="Arial"/>
                <w:sz w:val="18"/>
                <w:szCs w:val="18"/>
                <w:color w:val="auto"/>
              </w:rPr>
              <w:t>Powers of Attorney of Executive Officers and Directors of The</w:t>
            </w:r>
          </w:p>
        </w:tc>
        <w:tc>
          <w:tcPr>
            <w:tcW w:w="204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30"/>
        </w:trPr>
        <w:tc>
          <w:tcPr>
            <w:tcW w:w="600" w:type="dxa"/>
            <w:vAlign w:val="bottom"/>
          </w:tcPr>
          <w:p>
            <w:pPr>
              <w:spacing w:after="0"/>
              <w:rPr>
                <w:sz w:val="20"/>
                <w:szCs w:val="20"/>
                <w:color w:val="auto"/>
              </w:rPr>
            </w:pPr>
          </w:p>
        </w:tc>
        <w:tc>
          <w:tcPr>
            <w:tcW w:w="5260" w:type="dxa"/>
            <w:vAlign w:val="bottom"/>
          </w:tcPr>
          <w:p>
            <w:pPr>
              <w:ind w:left="280"/>
              <w:spacing w:after="0"/>
              <w:rPr>
                <w:sz w:val="20"/>
                <w:szCs w:val="20"/>
                <w:color w:val="auto"/>
              </w:rPr>
            </w:pPr>
            <w:r>
              <w:rPr>
                <w:rFonts w:ascii="Arial" w:cs="Arial" w:eastAsia="Arial" w:hAnsi="Arial"/>
                <w:sz w:val="18"/>
                <w:szCs w:val="18"/>
                <w:color w:val="auto"/>
              </w:rPr>
              <w:t>Scotts Miracle-Gro Company</w:t>
            </w:r>
          </w:p>
        </w:tc>
        <w:tc>
          <w:tcPr>
            <w:tcW w:w="2040" w:type="dxa"/>
            <w:vAlign w:val="bottom"/>
          </w:tcPr>
          <w:p>
            <w:pPr>
              <w:spacing w:after="0"/>
              <w:rPr>
                <w:sz w:val="20"/>
                <w:szCs w:val="20"/>
                <w:color w:val="auto"/>
              </w:rPr>
            </w:pPr>
          </w:p>
        </w:tc>
      </w:tr>
      <w:tr>
        <w:trPr>
          <w:trHeight w:val="405"/>
        </w:trPr>
        <w:tc>
          <w:tcPr>
            <w:tcW w:w="600" w:type="dxa"/>
            <w:vAlign w:val="bottom"/>
          </w:tcPr>
          <w:p>
            <w:pPr>
              <w:spacing w:after="0"/>
              <w:rPr>
                <w:sz w:val="24"/>
                <w:szCs w:val="24"/>
                <w:color w:val="auto"/>
              </w:rPr>
            </w:pPr>
          </w:p>
        </w:tc>
        <w:tc>
          <w:tcPr>
            <w:tcW w:w="5260" w:type="dxa"/>
            <w:vAlign w:val="bottom"/>
          </w:tcPr>
          <w:p>
            <w:pPr>
              <w:ind w:left="4500"/>
              <w:spacing w:after="0"/>
              <w:rPr>
                <w:sz w:val="20"/>
                <w:szCs w:val="20"/>
                <w:color w:val="auto"/>
              </w:rPr>
            </w:pPr>
            <w:r>
              <w:rPr>
                <w:rFonts w:ascii="Arial" w:cs="Arial" w:eastAsia="Arial" w:hAnsi="Arial"/>
                <w:sz w:val="18"/>
                <w:szCs w:val="18"/>
                <w:color w:val="auto"/>
              </w:rPr>
              <w:t>-16-</w:t>
            </w:r>
          </w:p>
        </w:tc>
        <w:tc>
          <w:tcPr>
            <w:tcW w:w="2040" w:type="dxa"/>
            <w:vAlign w:val="bottom"/>
          </w:tcPr>
          <w:p>
            <w:pPr>
              <w:spacing w:after="0"/>
              <w:rPr>
                <w:sz w:val="24"/>
                <w:szCs w:val="24"/>
                <w:color w:val="auto"/>
              </w:rPr>
            </w:pPr>
          </w:p>
        </w:tc>
      </w:tr>
    </w:tbl>
    <w:p>
      <w:pPr>
        <w:sectPr>
          <w:pgSz w:w="11900" w:h="16838" w:orient="portrait"/>
          <w:cols w:equalWidth="0" w:num="1">
            <w:col w:w="11380"/>
          </w:cols>
          <w:pgMar w:left="240" w:top="419" w:right="279"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5.1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LETTERHEAD OF VORYS, SATER, SEYMOUR AND PEASE LLP]</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Writer’s Direct Dial Number</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(614) 464-6400</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We have acted as counsel to The Scotts Miracle-Gro Company, an Ohio corporation (the “Company”), in connection with the Company’s Registration Statement on Form S-8 (the “Registration Statement”) filed with the Securities and Exchange Commission on the date hereof in order to register 11,969,546 common shares, without par value (the “Common Shares”), under the provisions of the Securities Act of 1933, as amended (the “Act”), and the rules and regulations promulgated thereunder (the “Rules and Regulations”), for issuance pursuant to awards granted and to be granted under The Scotts Miracle-Gro Company 2006 Long-Term Incentive Plan (the “Plan”).</w:t>
      </w:r>
    </w:p>
    <w:p>
      <w:pPr>
        <w:spacing w:after="0" w:line="80"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In connection with rendering this opinion, we have examined, to the extent deemed necessary, originals or copies, the authenticity of which has been established to our satisfaction, of: (a) the Registration Statement; (b) the Plan; (c) the Company’s Initial Articles of Incorporation, as amended to date (the “Articles”); (d) the Company’s Code of Regulations, as currently in effect (the “Regulations); and (e) certain corporate records of the Company, including resolutions adopted by the directors of the Company and by the shareholders of the Company. We have also relied upon such representations of the officers of the Company and examined such authorities of law as we have deemed relevant as a basis for this opinion.</w:t>
      </w:r>
    </w:p>
    <w:p>
      <w:pPr>
        <w:spacing w:after="0" w:line="64"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our examination of the aforesaid documents, we have assumed, without independent investigation, the authenticity of all records, documents and certificates examined by us, the correctness of the information contained in all records, documents and certificates examined by us, the genuineness of all signatures, the legal capacity of all individuals who have executed any of the aforesaid documents and certificates, the authority of all individuals entering and maintaining records, and the conformity to authentic originals of all items submitted to us as copies (whether certified, conformed, photostatic or by other electronic means) of records, documents or certificates.</w:t>
      </w:r>
    </w:p>
    <w:p>
      <w:pPr>
        <w:spacing w:after="0" w:line="80" w:lineRule="exact"/>
        <w:rPr>
          <w:sz w:val="20"/>
          <w:szCs w:val="20"/>
          <w:color w:val="auto"/>
        </w:rPr>
      </w:pPr>
    </w:p>
    <w:p>
      <w:pPr>
        <w:ind w:right="560" w:firstLine="222"/>
        <w:spacing w:after="0" w:line="277" w:lineRule="auto"/>
        <w:rPr>
          <w:sz w:val="20"/>
          <w:szCs w:val="20"/>
          <w:color w:val="auto"/>
        </w:rPr>
      </w:pPr>
      <w:r>
        <w:rPr>
          <w:rFonts w:ascii="Arial" w:cs="Arial" w:eastAsia="Arial" w:hAnsi="Arial"/>
          <w:sz w:val="18"/>
          <w:szCs w:val="18"/>
          <w:color w:val="auto"/>
        </w:rPr>
        <w:t>We have relied solely upon the examinations and inquiries recited herein, and, except for the examinations and inquiries recited herein, we have not undertaken any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investigation to determine the existence or absence of any facts, and no inference as to our knowledge concerning such facts should be drawn.</w:t>
      </w:r>
    </w:p>
    <w:p>
      <w:pPr>
        <w:spacing w:after="0" w:line="117" w:lineRule="exact"/>
        <w:rPr>
          <w:sz w:val="20"/>
          <w:szCs w:val="20"/>
          <w:color w:val="auto"/>
        </w:rPr>
      </w:pPr>
    </w:p>
    <w:p>
      <w:pPr>
        <w:ind w:right="100" w:firstLine="215"/>
        <w:spacing w:after="0" w:line="264" w:lineRule="auto"/>
        <w:rPr>
          <w:sz w:val="20"/>
          <w:szCs w:val="20"/>
          <w:color w:val="auto"/>
        </w:rPr>
      </w:pPr>
      <w:r>
        <w:rPr>
          <w:rFonts w:ascii="Arial" w:cs="Arial" w:eastAsia="Arial" w:hAnsi="Arial"/>
          <w:sz w:val="18"/>
          <w:szCs w:val="18"/>
          <w:color w:val="auto"/>
        </w:rPr>
        <w:t>As used herein, the phrase “validly issued” means that the particular action has been authorized by all necessary corporate action of the Company and that the Company has the corporate authority to take such action under Chapter 1701 of the Ohio Revised Code (the “Ohio General Corporation Law”) and the Company’s Articles and Regulations.</w:t>
      </w:r>
    </w:p>
    <w:p>
      <w:pPr>
        <w:spacing w:after="0" w:line="73"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Based upon and subject to the foregoing and subject to the qualifications and limitations set forth below, as of the date hereof, we are of the opinion that the 11,969,546 Common Shares to be registered under the Act for issuance under the Plan, when issued, delivered and paid for, as appropriate, in the manner provided and for the consideration prescribed in the Plan and in any award agreements entered into by participants in the Plan with the Company as contemplated by the Plan, pursuant to which such 11,969,546 Common Shares will be issued under the Plan, will be validly issued, fully paid and non-assessable, assuming compliance with applicable securities laws.</w:t>
      </w:r>
    </w:p>
    <w:p>
      <w:pPr>
        <w:spacing w:after="0" w:line="8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Members of our firm are admitted to the Bar in the State of Ohio and we express no opinion as to the laws of any jurisdiction other than the laws of the State of Ohio, including the applicable provisions of the Ohio Constitution and the reported judicial decisions interpreting those laws, and of the United States of America.</w:t>
      </w:r>
    </w:p>
    <w:p>
      <w:pPr>
        <w:spacing w:after="0" w:line="73"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This opinion is based upon the laws and legal interpretations in effect, and the facts and circumstances existing, on the date hereof, and we assume no obligation to revise or supplement this opinion should any such law or legal interpretation be changed by legislative action, judicial interpretation or otherwise or should there be any change in such facts or circumstances.</w:t>
      </w:r>
    </w:p>
    <w:p>
      <w:pPr>
        <w:spacing w:after="0" w:line="73"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This opinion is furnished by us solely for the benefit of the Company in connection with the offering of the 11,969,546 Common Shares covered by the Registration Statement pursuant to the Plan and the filing of the Registration Statement and any amendments thereto. This opinion may not be relied upon by any other person or for any other purpose.</w:t>
      </w:r>
    </w:p>
    <w:p>
      <w:pPr>
        <w:spacing w:after="0" w:line="73"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Notwithstanding the foregoing, we consent to the filing of this opinion as an exhibit to the Registration Statement and to the reference to us therein. By giving such consent, we do not thereby admit that we come within the category of persons whose consent is required under Section 7 of the Act or the Rules and Regulations.</w:t>
      </w:r>
    </w:p>
    <w:p>
      <w:pPr>
        <w:spacing w:after="0" w:line="73"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Except in connection with the Registration Statement as aforesaid, no portion of this opinion may be quoted or otherwise used by any person without our prior written consent.</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Vorys, Sater, Seymour and Pease LLP</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VORYS, SATER, SEYMOUR AND PEASE LLP</w:t>
      </w:r>
    </w:p>
    <w:p>
      <w:pPr>
        <w:sectPr>
          <w:pgSz w:w="11900" w:h="16838" w:orient="portrait"/>
          <w:cols w:equalWidth="0" w:num="1">
            <w:col w:w="11420"/>
          </w:cols>
          <w:pgMar w:left="240" w:top="935"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10.1</w:t>
      </w:r>
    </w:p>
    <w:p>
      <w:pPr>
        <w:spacing w:after="0" w:line="54"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The Scotts Miracle-Gro Company</w:t>
      </w:r>
    </w:p>
    <w:p>
      <w:pPr>
        <w:spacing w:after="0" w:line="133"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2006 Long-Term Incentive Plan</w:t>
      </w:r>
    </w:p>
    <w:p>
      <w:pPr>
        <w:spacing w:after="0" w:line="23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Effective January 26,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7280" w:type="dxa"/>
            <w:vAlign w:val="bottom"/>
          </w:tcPr>
          <w:p>
            <w:pPr>
              <w:ind w:left="3980"/>
              <w:spacing w:after="0"/>
              <w:rPr>
                <w:sz w:val="20"/>
                <w:szCs w:val="20"/>
                <w:color w:val="auto"/>
              </w:rPr>
            </w:pPr>
            <w:r>
              <w:rPr>
                <w:rFonts w:ascii="Arial" w:cs="Arial" w:eastAsia="Arial" w:hAnsi="Arial"/>
                <w:sz w:val="18"/>
                <w:szCs w:val="18"/>
                <w:b w:val="1"/>
                <w:bCs w:val="1"/>
                <w:color w:val="auto"/>
              </w:rPr>
              <w:t>Contents</w:t>
            </w:r>
          </w:p>
        </w:tc>
        <w:tc>
          <w:tcPr>
            <w:tcW w:w="2760" w:type="dxa"/>
            <w:vAlign w:val="bottom"/>
          </w:tcPr>
          <w:p>
            <w:pPr>
              <w:spacing w:after="0"/>
              <w:rPr>
                <w:sz w:val="20"/>
                <w:szCs w:val="20"/>
                <w:color w:val="auto"/>
              </w:rPr>
            </w:pPr>
          </w:p>
        </w:tc>
      </w:tr>
      <w:tr>
        <w:trPr>
          <w:trHeight w:val="431"/>
        </w:trPr>
        <w:tc>
          <w:tcPr>
            <w:tcW w:w="1380" w:type="dxa"/>
            <w:vAlign w:val="bottom"/>
          </w:tcPr>
          <w:p>
            <w:pPr>
              <w:spacing w:after="0"/>
              <w:rPr>
                <w:sz w:val="20"/>
                <w:szCs w:val="20"/>
                <w:color w:val="auto"/>
              </w:rPr>
            </w:pPr>
            <w:r>
              <w:rPr>
                <w:rFonts w:ascii="Arial" w:cs="Arial" w:eastAsia="Arial" w:hAnsi="Arial"/>
                <w:sz w:val="18"/>
                <w:szCs w:val="18"/>
                <w:color w:val="auto"/>
              </w:rPr>
              <w:t>Article 1.</w:t>
            </w:r>
          </w:p>
        </w:tc>
        <w:tc>
          <w:tcPr>
            <w:tcW w:w="7280" w:type="dxa"/>
            <w:vAlign w:val="bottom"/>
          </w:tcPr>
          <w:p>
            <w:pPr>
              <w:ind w:left="580"/>
              <w:spacing w:after="0"/>
              <w:rPr>
                <w:sz w:val="20"/>
                <w:szCs w:val="20"/>
                <w:color w:val="auto"/>
              </w:rPr>
            </w:pPr>
            <w:r>
              <w:rPr>
                <w:rFonts w:ascii="Arial" w:cs="Arial" w:eastAsia="Arial" w:hAnsi="Arial"/>
                <w:sz w:val="18"/>
                <w:szCs w:val="18"/>
                <w:color w:val="auto"/>
              </w:rPr>
              <w:t>Establishment, Purpose, and Duration</w:t>
            </w:r>
          </w:p>
        </w:tc>
        <w:tc>
          <w:tcPr>
            <w:tcW w:w="2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2.</w:t>
            </w:r>
          </w:p>
        </w:tc>
        <w:tc>
          <w:tcPr>
            <w:tcW w:w="7280" w:type="dxa"/>
            <w:vAlign w:val="bottom"/>
          </w:tcPr>
          <w:p>
            <w:pPr>
              <w:ind w:left="580"/>
              <w:spacing w:after="0"/>
              <w:rPr>
                <w:sz w:val="20"/>
                <w:szCs w:val="20"/>
                <w:color w:val="auto"/>
              </w:rPr>
            </w:pPr>
            <w:r>
              <w:rPr>
                <w:rFonts w:ascii="Arial" w:cs="Arial" w:eastAsia="Arial" w:hAnsi="Arial"/>
                <w:sz w:val="18"/>
                <w:szCs w:val="18"/>
                <w:color w:val="auto"/>
              </w:rPr>
              <w:t>Definitions</w:t>
            </w:r>
          </w:p>
        </w:tc>
        <w:tc>
          <w:tcPr>
            <w:tcW w:w="2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3.</w:t>
            </w:r>
          </w:p>
        </w:tc>
        <w:tc>
          <w:tcPr>
            <w:tcW w:w="7280" w:type="dxa"/>
            <w:vAlign w:val="bottom"/>
          </w:tcPr>
          <w:p>
            <w:pPr>
              <w:ind w:left="580"/>
              <w:spacing w:after="0"/>
              <w:rPr>
                <w:sz w:val="20"/>
                <w:szCs w:val="20"/>
                <w:color w:val="auto"/>
              </w:rPr>
            </w:pPr>
            <w:r>
              <w:rPr>
                <w:rFonts w:ascii="Arial" w:cs="Arial" w:eastAsia="Arial" w:hAnsi="Arial"/>
                <w:sz w:val="18"/>
                <w:szCs w:val="18"/>
                <w:color w:val="auto"/>
              </w:rPr>
              <w:t>Administration</w:t>
            </w:r>
          </w:p>
        </w:tc>
        <w:tc>
          <w:tcPr>
            <w:tcW w:w="2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4.</w:t>
            </w:r>
          </w:p>
        </w:tc>
        <w:tc>
          <w:tcPr>
            <w:tcW w:w="7280" w:type="dxa"/>
            <w:vAlign w:val="bottom"/>
          </w:tcPr>
          <w:p>
            <w:pPr>
              <w:ind w:left="580"/>
              <w:spacing w:after="0"/>
              <w:rPr>
                <w:sz w:val="20"/>
                <w:szCs w:val="20"/>
                <w:color w:val="auto"/>
              </w:rPr>
            </w:pPr>
            <w:r>
              <w:rPr>
                <w:rFonts w:ascii="Arial" w:cs="Arial" w:eastAsia="Arial" w:hAnsi="Arial"/>
                <w:sz w:val="18"/>
                <w:szCs w:val="18"/>
                <w:color w:val="auto"/>
              </w:rPr>
              <w:t>Shares Subject to this Plan and Maximum Awards</w:t>
            </w:r>
          </w:p>
        </w:tc>
        <w:tc>
          <w:tcPr>
            <w:tcW w:w="2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5.</w:t>
            </w:r>
          </w:p>
        </w:tc>
        <w:tc>
          <w:tcPr>
            <w:tcW w:w="7280" w:type="dxa"/>
            <w:vAlign w:val="bottom"/>
          </w:tcPr>
          <w:p>
            <w:pPr>
              <w:ind w:left="580"/>
              <w:spacing w:after="0"/>
              <w:rPr>
                <w:sz w:val="20"/>
                <w:szCs w:val="20"/>
                <w:color w:val="auto"/>
              </w:rPr>
            </w:pPr>
            <w:r>
              <w:rPr>
                <w:rFonts w:ascii="Arial" w:cs="Arial" w:eastAsia="Arial" w:hAnsi="Arial"/>
                <w:sz w:val="18"/>
                <w:szCs w:val="18"/>
                <w:color w:val="auto"/>
              </w:rPr>
              <w:t>Eligibility and Participation</w:t>
            </w:r>
          </w:p>
        </w:tc>
        <w:tc>
          <w:tcPr>
            <w:tcW w:w="2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6.</w:t>
            </w:r>
          </w:p>
        </w:tc>
        <w:tc>
          <w:tcPr>
            <w:tcW w:w="7280" w:type="dxa"/>
            <w:vAlign w:val="bottom"/>
          </w:tcPr>
          <w:p>
            <w:pPr>
              <w:ind w:left="580"/>
              <w:spacing w:after="0"/>
              <w:rPr>
                <w:sz w:val="20"/>
                <w:szCs w:val="20"/>
                <w:color w:val="auto"/>
              </w:rPr>
            </w:pPr>
            <w:r>
              <w:rPr>
                <w:rFonts w:ascii="Arial" w:cs="Arial" w:eastAsia="Arial" w:hAnsi="Arial"/>
                <w:sz w:val="18"/>
                <w:szCs w:val="18"/>
                <w:color w:val="auto"/>
              </w:rPr>
              <w:t>Stock Options</w:t>
            </w:r>
          </w:p>
        </w:tc>
        <w:tc>
          <w:tcPr>
            <w:tcW w:w="2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7.</w:t>
            </w:r>
          </w:p>
        </w:tc>
        <w:tc>
          <w:tcPr>
            <w:tcW w:w="7280" w:type="dxa"/>
            <w:vAlign w:val="bottom"/>
          </w:tcPr>
          <w:p>
            <w:pPr>
              <w:ind w:left="580"/>
              <w:spacing w:after="0"/>
              <w:rPr>
                <w:sz w:val="20"/>
                <w:szCs w:val="20"/>
                <w:color w:val="auto"/>
              </w:rPr>
            </w:pPr>
            <w:r>
              <w:rPr>
                <w:rFonts w:ascii="Arial" w:cs="Arial" w:eastAsia="Arial" w:hAnsi="Arial"/>
                <w:sz w:val="18"/>
                <w:szCs w:val="18"/>
                <w:color w:val="auto"/>
              </w:rPr>
              <w:t>Stock Appreciation Rights</w:t>
            </w:r>
          </w:p>
        </w:tc>
        <w:tc>
          <w:tcPr>
            <w:tcW w:w="27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8.</w:t>
            </w:r>
          </w:p>
        </w:tc>
        <w:tc>
          <w:tcPr>
            <w:tcW w:w="7280" w:type="dxa"/>
            <w:vAlign w:val="bottom"/>
          </w:tcPr>
          <w:p>
            <w:pPr>
              <w:ind w:left="580"/>
              <w:spacing w:after="0"/>
              <w:rPr>
                <w:sz w:val="20"/>
                <w:szCs w:val="20"/>
                <w:color w:val="auto"/>
              </w:rPr>
            </w:pPr>
            <w:r>
              <w:rPr>
                <w:rFonts w:ascii="Arial" w:cs="Arial" w:eastAsia="Arial" w:hAnsi="Arial"/>
                <w:sz w:val="18"/>
                <w:szCs w:val="18"/>
                <w:color w:val="auto"/>
              </w:rPr>
              <w:t>Restricted Stock and Restricted Stock Units</w:t>
            </w:r>
          </w:p>
        </w:tc>
        <w:tc>
          <w:tcPr>
            <w:tcW w:w="2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9.</w:t>
            </w:r>
          </w:p>
        </w:tc>
        <w:tc>
          <w:tcPr>
            <w:tcW w:w="7280" w:type="dxa"/>
            <w:vAlign w:val="bottom"/>
          </w:tcPr>
          <w:p>
            <w:pPr>
              <w:ind w:left="580"/>
              <w:spacing w:after="0"/>
              <w:rPr>
                <w:sz w:val="20"/>
                <w:szCs w:val="20"/>
                <w:color w:val="auto"/>
              </w:rPr>
            </w:pPr>
            <w:r>
              <w:rPr>
                <w:rFonts w:ascii="Arial" w:cs="Arial" w:eastAsia="Arial" w:hAnsi="Arial"/>
                <w:sz w:val="18"/>
                <w:szCs w:val="18"/>
                <w:color w:val="auto"/>
              </w:rPr>
              <w:t>Performance Units/ Performance Shares</w:t>
            </w:r>
          </w:p>
        </w:tc>
        <w:tc>
          <w:tcPr>
            <w:tcW w:w="2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10.</w:t>
            </w:r>
          </w:p>
        </w:tc>
        <w:tc>
          <w:tcPr>
            <w:tcW w:w="7280" w:type="dxa"/>
            <w:vAlign w:val="bottom"/>
          </w:tcPr>
          <w:p>
            <w:pPr>
              <w:ind w:left="580"/>
              <w:spacing w:after="0"/>
              <w:rPr>
                <w:sz w:val="20"/>
                <w:szCs w:val="20"/>
                <w:color w:val="auto"/>
              </w:rPr>
            </w:pPr>
            <w:r>
              <w:rPr>
                <w:rFonts w:ascii="Arial" w:cs="Arial" w:eastAsia="Arial" w:hAnsi="Arial"/>
                <w:sz w:val="18"/>
                <w:szCs w:val="18"/>
                <w:color w:val="auto"/>
              </w:rPr>
              <w:t>Cash-Based Awards and Other Stock-Based Awards</w:t>
            </w:r>
          </w:p>
        </w:tc>
        <w:tc>
          <w:tcPr>
            <w:tcW w:w="2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11.</w:t>
            </w:r>
          </w:p>
        </w:tc>
        <w:tc>
          <w:tcPr>
            <w:tcW w:w="7280" w:type="dxa"/>
            <w:vAlign w:val="bottom"/>
          </w:tcPr>
          <w:p>
            <w:pPr>
              <w:ind w:left="580"/>
              <w:spacing w:after="0"/>
              <w:rPr>
                <w:sz w:val="20"/>
                <w:szCs w:val="20"/>
                <w:color w:val="auto"/>
              </w:rPr>
            </w:pPr>
            <w:r>
              <w:rPr>
                <w:rFonts w:ascii="Arial" w:cs="Arial" w:eastAsia="Arial" w:hAnsi="Arial"/>
                <w:sz w:val="18"/>
                <w:szCs w:val="18"/>
                <w:color w:val="auto"/>
              </w:rPr>
              <w:t>Transferability of Awards</w:t>
            </w:r>
          </w:p>
        </w:tc>
        <w:tc>
          <w:tcPr>
            <w:tcW w:w="27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12.</w:t>
            </w:r>
          </w:p>
        </w:tc>
        <w:tc>
          <w:tcPr>
            <w:tcW w:w="7280" w:type="dxa"/>
            <w:vAlign w:val="bottom"/>
          </w:tcPr>
          <w:p>
            <w:pPr>
              <w:ind w:left="580"/>
              <w:spacing w:after="0"/>
              <w:rPr>
                <w:sz w:val="20"/>
                <w:szCs w:val="20"/>
                <w:color w:val="auto"/>
              </w:rPr>
            </w:pPr>
            <w:r>
              <w:rPr>
                <w:rFonts w:ascii="Arial" w:cs="Arial" w:eastAsia="Arial" w:hAnsi="Arial"/>
                <w:sz w:val="18"/>
                <w:szCs w:val="18"/>
                <w:color w:val="auto"/>
              </w:rPr>
              <w:t>Performance Measures</w:t>
            </w:r>
          </w:p>
        </w:tc>
        <w:tc>
          <w:tcPr>
            <w:tcW w:w="27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13.</w:t>
            </w:r>
          </w:p>
        </w:tc>
        <w:tc>
          <w:tcPr>
            <w:tcW w:w="7280" w:type="dxa"/>
            <w:vAlign w:val="bottom"/>
          </w:tcPr>
          <w:p>
            <w:pPr>
              <w:ind w:left="580"/>
              <w:spacing w:after="0"/>
              <w:rPr>
                <w:sz w:val="20"/>
                <w:szCs w:val="20"/>
                <w:color w:val="auto"/>
              </w:rPr>
            </w:pPr>
            <w:r>
              <w:rPr>
                <w:rFonts w:ascii="Arial" w:cs="Arial" w:eastAsia="Arial" w:hAnsi="Arial"/>
                <w:sz w:val="18"/>
                <w:szCs w:val="18"/>
                <w:color w:val="auto"/>
              </w:rPr>
              <w:t>Nonemployee Director Awards</w:t>
            </w:r>
          </w:p>
        </w:tc>
        <w:tc>
          <w:tcPr>
            <w:tcW w:w="27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14.</w:t>
            </w:r>
          </w:p>
        </w:tc>
        <w:tc>
          <w:tcPr>
            <w:tcW w:w="7280" w:type="dxa"/>
            <w:vAlign w:val="bottom"/>
          </w:tcPr>
          <w:p>
            <w:pPr>
              <w:ind w:left="580"/>
              <w:spacing w:after="0"/>
              <w:rPr>
                <w:sz w:val="20"/>
                <w:szCs w:val="20"/>
                <w:color w:val="auto"/>
              </w:rPr>
            </w:pPr>
            <w:r>
              <w:rPr>
                <w:rFonts w:ascii="Arial" w:cs="Arial" w:eastAsia="Arial" w:hAnsi="Arial"/>
                <w:sz w:val="18"/>
                <w:szCs w:val="18"/>
                <w:color w:val="auto"/>
              </w:rPr>
              <w:t>Dividend Equivalents</w:t>
            </w:r>
          </w:p>
        </w:tc>
        <w:tc>
          <w:tcPr>
            <w:tcW w:w="27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15.</w:t>
            </w:r>
          </w:p>
        </w:tc>
        <w:tc>
          <w:tcPr>
            <w:tcW w:w="7280" w:type="dxa"/>
            <w:vAlign w:val="bottom"/>
          </w:tcPr>
          <w:p>
            <w:pPr>
              <w:ind w:left="580"/>
              <w:spacing w:after="0"/>
              <w:rPr>
                <w:sz w:val="20"/>
                <w:szCs w:val="20"/>
                <w:color w:val="auto"/>
              </w:rPr>
            </w:pPr>
            <w:r>
              <w:rPr>
                <w:rFonts w:ascii="Arial" w:cs="Arial" w:eastAsia="Arial" w:hAnsi="Arial"/>
                <w:sz w:val="18"/>
                <w:szCs w:val="18"/>
                <w:color w:val="auto"/>
              </w:rPr>
              <w:t>Beneficiary Designation</w:t>
            </w:r>
          </w:p>
        </w:tc>
        <w:tc>
          <w:tcPr>
            <w:tcW w:w="27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16.</w:t>
            </w:r>
          </w:p>
        </w:tc>
        <w:tc>
          <w:tcPr>
            <w:tcW w:w="7280" w:type="dxa"/>
            <w:vAlign w:val="bottom"/>
          </w:tcPr>
          <w:p>
            <w:pPr>
              <w:ind w:left="580"/>
              <w:spacing w:after="0"/>
              <w:rPr>
                <w:sz w:val="20"/>
                <w:szCs w:val="20"/>
                <w:color w:val="auto"/>
              </w:rPr>
            </w:pPr>
            <w:r>
              <w:rPr>
                <w:rFonts w:ascii="Arial" w:cs="Arial" w:eastAsia="Arial" w:hAnsi="Arial"/>
                <w:sz w:val="18"/>
                <w:szCs w:val="18"/>
                <w:color w:val="auto"/>
              </w:rPr>
              <w:t>Rights of Participants</w:t>
            </w:r>
          </w:p>
        </w:tc>
        <w:tc>
          <w:tcPr>
            <w:tcW w:w="27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17.</w:t>
            </w:r>
          </w:p>
        </w:tc>
        <w:tc>
          <w:tcPr>
            <w:tcW w:w="7280" w:type="dxa"/>
            <w:vAlign w:val="bottom"/>
          </w:tcPr>
          <w:p>
            <w:pPr>
              <w:ind w:left="580"/>
              <w:spacing w:after="0"/>
              <w:rPr>
                <w:sz w:val="20"/>
                <w:szCs w:val="20"/>
                <w:color w:val="auto"/>
              </w:rPr>
            </w:pPr>
            <w:r>
              <w:rPr>
                <w:rFonts w:ascii="Arial" w:cs="Arial" w:eastAsia="Arial" w:hAnsi="Arial"/>
                <w:sz w:val="18"/>
                <w:szCs w:val="18"/>
                <w:color w:val="auto"/>
              </w:rPr>
              <w:t>Change of Control</w:t>
            </w:r>
          </w:p>
        </w:tc>
        <w:tc>
          <w:tcPr>
            <w:tcW w:w="2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18.</w:t>
            </w:r>
          </w:p>
        </w:tc>
        <w:tc>
          <w:tcPr>
            <w:tcW w:w="7280" w:type="dxa"/>
            <w:vAlign w:val="bottom"/>
          </w:tcPr>
          <w:p>
            <w:pPr>
              <w:ind w:left="580"/>
              <w:spacing w:after="0"/>
              <w:rPr>
                <w:sz w:val="20"/>
                <w:szCs w:val="20"/>
                <w:color w:val="auto"/>
              </w:rPr>
            </w:pPr>
            <w:r>
              <w:rPr>
                <w:rFonts w:ascii="Arial" w:cs="Arial" w:eastAsia="Arial" w:hAnsi="Arial"/>
                <w:sz w:val="18"/>
                <w:szCs w:val="18"/>
                <w:color w:val="auto"/>
              </w:rPr>
              <w:t>Amendment, Modification, Suspension, and Termination</w:t>
            </w:r>
          </w:p>
        </w:tc>
        <w:tc>
          <w:tcPr>
            <w:tcW w:w="27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19.</w:t>
            </w:r>
          </w:p>
        </w:tc>
        <w:tc>
          <w:tcPr>
            <w:tcW w:w="7280" w:type="dxa"/>
            <w:vAlign w:val="bottom"/>
          </w:tcPr>
          <w:p>
            <w:pPr>
              <w:ind w:left="580"/>
              <w:spacing w:after="0"/>
              <w:rPr>
                <w:sz w:val="20"/>
                <w:szCs w:val="20"/>
                <w:color w:val="auto"/>
              </w:rPr>
            </w:pPr>
            <w:r>
              <w:rPr>
                <w:rFonts w:ascii="Arial" w:cs="Arial" w:eastAsia="Arial" w:hAnsi="Arial"/>
                <w:sz w:val="18"/>
                <w:szCs w:val="18"/>
                <w:color w:val="auto"/>
              </w:rPr>
              <w:t>Withholding</w:t>
            </w:r>
          </w:p>
        </w:tc>
        <w:tc>
          <w:tcPr>
            <w:tcW w:w="2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20.</w:t>
            </w:r>
          </w:p>
        </w:tc>
        <w:tc>
          <w:tcPr>
            <w:tcW w:w="7280" w:type="dxa"/>
            <w:vAlign w:val="bottom"/>
          </w:tcPr>
          <w:p>
            <w:pPr>
              <w:ind w:left="580"/>
              <w:spacing w:after="0"/>
              <w:rPr>
                <w:sz w:val="20"/>
                <w:szCs w:val="20"/>
                <w:color w:val="auto"/>
              </w:rPr>
            </w:pPr>
            <w:r>
              <w:rPr>
                <w:rFonts w:ascii="Arial" w:cs="Arial" w:eastAsia="Arial" w:hAnsi="Arial"/>
                <w:sz w:val="18"/>
                <w:szCs w:val="18"/>
                <w:color w:val="auto"/>
              </w:rPr>
              <w:t>Successors</w:t>
            </w:r>
          </w:p>
        </w:tc>
        <w:tc>
          <w:tcPr>
            <w:tcW w:w="2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Article 21.</w:t>
            </w:r>
          </w:p>
        </w:tc>
        <w:tc>
          <w:tcPr>
            <w:tcW w:w="7280" w:type="dxa"/>
            <w:vAlign w:val="bottom"/>
          </w:tcPr>
          <w:p>
            <w:pPr>
              <w:ind w:left="580"/>
              <w:spacing w:after="0"/>
              <w:rPr>
                <w:sz w:val="20"/>
                <w:szCs w:val="20"/>
                <w:color w:val="auto"/>
              </w:rPr>
            </w:pPr>
            <w:r>
              <w:rPr>
                <w:rFonts w:ascii="Arial" w:cs="Arial" w:eastAsia="Arial" w:hAnsi="Arial"/>
                <w:sz w:val="18"/>
                <w:szCs w:val="18"/>
                <w:color w:val="auto"/>
              </w:rPr>
              <w:t>General Provisions</w:t>
            </w:r>
          </w:p>
        </w:tc>
        <w:tc>
          <w:tcPr>
            <w:tcW w:w="276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2006 LONG-TERM INCENTIVE PLAN</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Establishment, Purpose, and Duration</w:t>
      </w:r>
    </w:p>
    <w:p>
      <w:pPr>
        <w:spacing w:after="0" w:line="121" w:lineRule="exact"/>
        <w:rPr>
          <w:sz w:val="20"/>
          <w:szCs w:val="20"/>
          <w:color w:val="auto"/>
        </w:rPr>
      </w:pPr>
    </w:p>
    <w:p>
      <w:pPr>
        <w:ind w:right="260" w:firstLine="270"/>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Establishment.</w:t>
      </w:r>
      <w:r>
        <w:rPr>
          <w:rFonts w:ascii="Arial" w:cs="Arial" w:eastAsia="Arial" w:hAnsi="Arial"/>
          <w:sz w:val="18"/>
          <w:szCs w:val="18"/>
          <w:color w:val="auto"/>
        </w:rPr>
        <w:t xml:space="preserve"> The Scotts Miracle-Gro Company, an Ohio corporation (hereinafter referred to as the “Company”), establishes an incentive compensation plan to be known as The Scotts Miracle-Gro Company 2006 Long-Term Incentive Plan (hereinafter referred to as the “Plan”), as set forth in this document.</w:t>
      </w:r>
    </w:p>
    <w:p>
      <w:pPr>
        <w:spacing w:after="0" w:line="73" w:lineRule="exact"/>
        <w:rPr>
          <w:sz w:val="20"/>
          <w:szCs w:val="20"/>
          <w:color w:val="auto"/>
        </w:rPr>
      </w:pPr>
    </w:p>
    <w:p>
      <w:pPr>
        <w:ind w:right="60" w:firstLine="267"/>
        <w:spacing w:after="0" w:line="277" w:lineRule="auto"/>
        <w:rPr>
          <w:sz w:val="20"/>
          <w:szCs w:val="20"/>
          <w:color w:val="auto"/>
        </w:rPr>
      </w:pPr>
      <w:r>
        <w:rPr>
          <w:rFonts w:ascii="Arial" w:cs="Arial" w:eastAsia="Arial" w:hAnsi="Arial"/>
          <w:sz w:val="18"/>
          <w:szCs w:val="18"/>
          <w:color w:val="auto"/>
        </w:rPr>
        <w:t>This Plan permits the grant of Nonqualified Stock Options, Incentive Stock Options, Stock Appreciation Rights, Restricted Stock, Restricted Stock Units, Performance Shares, Performance Units, Cash-Based Awards, and Other Stock-Based Awards.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This Plan shall become effective upon shareholder approval (the “Effective Date”) and shall remain in effect as provided in Section 1.3 hereof.</w:t>
      </w:r>
    </w:p>
    <w:p>
      <w:pPr>
        <w:spacing w:after="0" w:line="129"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i w:val="1"/>
          <w:iCs w:val="1"/>
          <w:color w:val="auto"/>
        </w:rPr>
        <w:t>Purpose of this Plan.</w:t>
      </w:r>
      <w:r>
        <w:rPr>
          <w:rFonts w:ascii="Arial" w:cs="Arial" w:eastAsia="Arial" w:hAnsi="Arial"/>
          <w:sz w:val="17"/>
          <w:szCs w:val="17"/>
          <w:color w:val="auto"/>
        </w:rPr>
        <w:t xml:space="preserve"> The purpose of this Plan is to provide a means whereby Employees, Directors, and Third Party Service Providers develop a sense of proprietorship and personal involvement in the development and financial success of the Company, and to encourage them to devote their best efforts to the business of the Company, thereby advancing the interests of the Company and its shareholders. A further purpose of this Plan is to provide a means through which the Company may attract able individuals to become Employees or serve as Directors or Third Party Service Providers and to provide a means whereby those individuals upon whom the responsibilities of the successful administration and management of the Company are of importance, can acquire and maintain stock ownership, thereby strengthening their concern for the welfare of the Company.</w:t>
      </w:r>
    </w:p>
    <w:p>
      <w:pPr>
        <w:spacing w:after="0" w:line="70" w:lineRule="exact"/>
        <w:rPr>
          <w:sz w:val="20"/>
          <w:szCs w:val="20"/>
          <w:color w:val="auto"/>
        </w:rPr>
      </w:pPr>
    </w:p>
    <w:p>
      <w:pPr>
        <w:ind w:right="40" w:firstLine="270"/>
        <w:spacing w:after="0" w:line="279"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i w:val="1"/>
          <w:iCs w:val="1"/>
          <w:color w:val="auto"/>
        </w:rPr>
        <w:t>Duration of this Plan.</w:t>
      </w:r>
      <w:r>
        <w:rPr>
          <w:rFonts w:ascii="Arial" w:cs="Arial" w:eastAsia="Arial" w:hAnsi="Arial"/>
          <w:sz w:val="17"/>
          <w:szCs w:val="17"/>
          <w:color w:val="auto"/>
        </w:rPr>
        <w:t xml:space="preserve"> Unless sooner terminated as provided herein, this Plan shall terminate ten (10) years from the Effective Date, e.g. on the day before the tenth (10th) anniversary of the Effective Date. After this Plan is terminated, no Awards may be granted but Awards previously granted shall remain outstanding in accordance with their applicable terms and conditions and this Plan’s terms and conditions. Notwithstanding the foregoing, no Incentive Stock Options may be granted more than ten (10) years after the earlier of (a) adoption of this Plan by the Board, or (b) the Effective Date.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right="160" w:firstLine="267"/>
        <w:spacing w:after="0" w:line="277" w:lineRule="auto"/>
        <w:rPr>
          <w:sz w:val="20"/>
          <w:szCs w:val="20"/>
          <w:color w:val="auto"/>
        </w:rPr>
      </w:pPr>
      <w:r>
        <w:rPr>
          <w:rFonts w:ascii="Arial" w:cs="Arial" w:eastAsia="Arial" w:hAnsi="Arial"/>
          <w:sz w:val="18"/>
          <w:szCs w:val="18"/>
          <w:color w:val="auto"/>
        </w:rPr>
        <w:t>Whenever used in this Plan, the following terms shall have the meanings set forth below, and when the meaning is intended, the initial letter of the word shall be capitalized.</w:t>
      </w:r>
    </w:p>
    <w:p>
      <w:pPr>
        <w:spacing w:after="0" w:line="62" w:lineRule="exact"/>
        <w:rPr>
          <w:sz w:val="20"/>
          <w:szCs w:val="20"/>
          <w:color w:val="auto"/>
        </w:rPr>
      </w:pPr>
    </w:p>
    <w:p>
      <w:pPr>
        <w:jc w:val="both"/>
        <w:ind w:right="40" w:firstLine="270"/>
        <w:spacing w:after="0" w:line="308"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i w:val="1"/>
          <w:iCs w:val="1"/>
          <w:color w:val="auto"/>
        </w:rPr>
        <w:t>“Affiliate”</w:t>
      </w:r>
      <w:r>
        <w:rPr>
          <w:rFonts w:ascii="Arial" w:cs="Arial" w:eastAsia="Arial" w:hAnsi="Arial"/>
          <w:sz w:val="17"/>
          <w:szCs w:val="17"/>
          <w:color w:val="auto"/>
        </w:rPr>
        <w:t xml:space="preserve"> shall mean any corporation or other entity (including, but not limited to, a partnership or a limited liability company), that is affiliated with the Company through stock or equity ownership or otherwise, and is designated as an Affiliate for purposes of this Plan by the Committee.</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“Annual Award Limit”</w:t>
      </w:r>
      <w:r>
        <w:rPr>
          <w:rFonts w:ascii="Arial" w:cs="Arial" w:eastAsia="Arial" w:hAnsi="Arial"/>
          <w:sz w:val="18"/>
          <w:szCs w:val="18"/>
          <w:color w:val="auto"/>
        </w:rPr>
        <w:t xml:space="preserve"> or </w:t>
      </w:r>
      <w:r>
        <w:rPr>
          <w:rFonts w:ascii="Arial" w:cs="Arial" w:eastAsia="Arial" w:hAnsi="Arial"/>
          <w:sz w:val="18"/>
          <w:szCs w:val="18"/>
          <w:i w:val="1"/>
          <w:iCs w:val="1"/>
          <w:color w:val="auto"/>
        </w:rPr>
        <w:t>“Annual Award Limits”</w:t>
      </w:r>
      <w:r>
        <w:rPr>
          <w:rFonts w:ascii="Arial" w:cs="Arial" w:eastAsia="Arial" w:hAnsi="Arial"/>
          <w:sz w:val="18"/>
          <w:szCs w:val="18"/>
          <w:color w:val="auto"/>
        </w:rPr>
        <w:t xml:space="preserve"> have the meaning set forth in Section 4.3.</w:t>
      </w:r>
    </w:p>
    <w:p>
      <w:pPr>
        <w:spacing w:after="0" w:line="117" w:lineRule="exact"/>
        <w:rPr>
          <w:sz w:val="20"/>
          <w:szCs w:val="20"/>
          <w:color w:val="auto"/>
        </w:rPr>
      </w:pPr>
    </w:p>
    <w:p>
      <w:pPr>
        <w:jc w:val="both"/>
        <w:ind w:right="20" w:firstLine="270"/>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“Award”</w:t>
      </w:r>
      <w:r>
        <w:rPr>
          <w:rFonts w:ascii="Arial" w:cs="Arial" w:eastAsia="Arial" w:hAnsi="Arial"/>
          <w:sz w:val="18"/>
          <w:szCs w:val="18"/>
          <w:color w:val="auto"/>
        </w:rPr>
        <w:t xml:space="preserve"> means, individually or collectively, a grant under this Plan of Nonqualified Stock Options, Incentive Stock Options, SARs, Restricted Stock, Restricted Stock Units, Performance Shares, Performance Units, Cash-Based Awards, or Other Stock-Based Awards, in each case subject to the terms of this Plan.</w:t>
      </w:r>
    </w:p>
    <w:p>
      <w:pPr>
        <w:spacing w:after="0" w:line="73" w:lineRule="exact"/>
        <w:rPr>
          <w:sz w:val="20"/>
          <w:szCs w:val="20"/>
          <w:color w:val="auto"/>
        </w:rPr>
      </w:pPr>
    </w:p>
    <w:p>
      <w:pPr>
        <w:ind w:right="220" w:firstLine="270"/>
        <w:spacing w:after="0" w:line="25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“Award Agreement”</w:t>
      </w:r>
      <w:r>
        <w:rPr>
          <w:rFonts w:ascii="Arial" w:cs="Arial" w:eastAsia="Arial" w:hAnsi="Arial"/>
          <w:sz w:val="18"/>
          <w:szCs w:val="18"/>
          <w:color w:val="auto"/>
        </w:rPr>
        <w:t xml:space="preserve"> means either (i) a written agreement entered into by the Company and a Participant setting forth the terms and provisions applicable to an Award granted under this Plan, or (ii) a written or electronic statement issued by the Company to a Participant describing the terms and provisions of such Award, including in each case any amendment or modification thereof. The Committee may provide for the use of electronic, internet or other non-paper Award Agreements, and the use of electronic, internet or other non-paper means for the acceptance thereof and actions thereunder by a Participant.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23" w:name="page24"/>
    <w:bookmarkEnd w:id="23"/>
    <w:p>
      <w:pPr>
        <w:ind w:right="340" w:firstLine="270"/>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“Beneficial Owner”</w:t>
      </w:r>
      <w:r>
        <w:rPr>
          <w:rFonts w:ascii="Arial" w:cs="Arial" w:eastAsia="Arial" w:hAnsi="Arial"/>
          <w:sz w:val="18"/>
          <w:szCs w:val="18"/>
          <w:color w:val="auto"/>
        </w:rPr>
        <w:t xml:space="preserve"> or </w:t>
      </w:r>
      <w:r>
        <w:rPr>
          <w:rFonts w:ascii="Arial" w:cs="Arial" w:eastAsia="Arial" w:hAnsi="Arial"/>
          <w:sz w:val="18"/>
          <w:szCs w:val="18"/>
          <w:i w:val="1"/>
          <w:iCs w:val="1"/>
          <w:color w:val="auto"/>
        </w:rPr>
        <w:t>“Beneficial Ownership”</w:t>
      </w:r>
      <w:r>
        <w:rPr>
          <w:rFonts w:ascii="Arial" w:cs="Arial" w:eastAsia="Arial" w:hAnsi="Arial"/>
          <w:sz w:val="18"/>
          <w:szCs w:val="18"/>
          <w:color w:val="auto"/>
        </w:rPr>
        <w:t xml:space="preserve"> shall have the meaning ascribed to such term in Rule 13d-3 of the General Rules and Regulations under the Exchange Act.</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“Board”</w:t>
      </w:r>
      <w:r>
        <w:rPr>
          <w:rFonts w:ascii="Arial" w:cs="Arial" w:eastAsia="Arial" w:hAnsi="Arial"/>
          <w:sz w:val="18"/>
          <w:szCs w:val="18"/>
          <w:color w:val="auto"/>
        </w:rPr>
        <w:t xml:space="preserve"> or </w:t>
      </w:r>
      <w:r>
        <w:rPr>
          <w:rFonts w:ascii="Arial" w:cs="Arial" w:eastAsia="Arial" w:hAnsi="Arial"/>
          <w:sz w:val="18"/>
          <w:szCs w:val="18"/>
          <w:i w:val="1"/>
          <w:iCs w:val="1"/>
          <w:color w:val="auto"/>
        </w:rPr>
        <w:t>“Board of Directors”</w:t>
      </w:r>
      <w:r>
        <w:rPr>
          <w:rFonts w:ascii="Arial" w:cs="Arial" w:eastAsia="Arial" w:hAnsi="Arial"/>
          <w:sz w:val="18"/>
          <w:szCs w:val="18"/>
          <w:color w:val="auto"/>
        </w:rPr>
        <w:t xml:space="preserve"> means the Board of Directors of the Company.</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i w:val="1"/>
          <w:iCs w:val="1"/>
          <w:color w:val="auto"/>
        </w:rPr>
        <w:t>“Cash-Based Award”</w:t>
      </w:r>
      <w:r>
        <w:rPr>
          <w:rFonts w:ascii="Arial" w:cs="Arial" w:eastAsia="Arial" w:hAnsi="Arial"/>
          <w:sz w:val="18"/>
          <w:szCs w:val="18"/>
          <w:color w:val="auto"/>
        </w:rPr>
        <w:t xml:space="preserve"> means an Award, denominated in cash, granted to a Participant as described in Article 10.</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i w:val="1"/>
          <w:iCs w:val="1"/>
          <w:color w:val="auto"/>
        </w:rPr>
        <w:t>“Cause”</w:t>
      </w:r>
      <w:r>
        <w:rPr>
          <w:rFonts w:ascii="Arial" w:cs="Arial" w:eastAsia="Arial" w:hAnsi="Arial"/>
          <w:sz w:val="17"/>
          <w:szCs w:val="17"/>
          <w:color w:val="auto"/>
        </w:rPr>
        <w:t xml:space="preserve"> means, unless otherwise specified in an Award Agreement or in an applicable employment agreement between the Company and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Participant, with respect to any Participant:</w:t>
      </w:r>
    </w:p>
    <w:p>
      <w:pPr>
        <w:spacing w:after="0" w:line="103" w:lineRule="exact"/>
        <w:rPr>
          <w:sz w:val="20"/>
          <w:szCs w:val="20"/>
          <w:color w:val="auto"/>
        </w:rPr>
      </w:pPr>
    </w:p>
    <w:p>
      <w:pPr>
        <w:ind w:left="360" w:right="580" w:firstLine="269"/>
        <w:spacing w:after="0" w:line="277" w:lineRule="auto"/>
        <w:tabs>
          <w:tab w:leader="none" w:pos="871"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Willful failure to substantially perform his or her duties as an Employee (for reasons other than physical or mental illness) or director after reasonable notice to the Participant of that failure;</w:t>
      </w:r>
    </w:p>
    <w:p>
      <w:pPr>
        <w:spacing w:after="0" w:line="75" w:lineRule="exact"/>
        <w:rPr>
          <w:rFonts w:ascii="Arial" w:cs="Arial" w:eastAsia="Arial" w:hAnsi="Arial"/>
          <w:sz w:val="18"/>
          <w:szCs w:val="18"/>
          <w:color w:val="auto"/>
        </w:rPr>
      </w:pPr>
    </w:p>
    <w:p>
      <w:pPr>
        <w:ind w:left="880" w:hanging="251"/>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Misconduct that materially injures the Company or any Subsidiary or Affiliate;</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Conviction of, or entering into a plea of nolo contendere to, a felony; or</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Breach of any written covenant or agreement with the Company or any Subsidiary or Affiliate.</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i w:val="1"/>
          <w:iCs w:val="1"/>
          <w:color w:val="auto"/>
        </w:rPr>
        <w:t>“Change in Control”</w:t>
      </w:r>
      <w:r>
        <w:rPr>
          <w:rFonts w:ascii="Arial" w:cs="Arial" w:eastAsia="Arial" w:hAnsi="Arial"/>
          <w:sz w:val="18"/>
          <w:szCs w:val="18"/>
          <w:color w:val="auto"/>
        </w:rPr>
        <w:t xml:space="preserve"> means any of the following events:</w:t>
      </w:r>
    </w:p>
    <w:p>
      <w:pPr>
        <w:spacing w:after="0" w:line="117" w:lineRule="exact"/>
        <w:rPr>
          <w:sz w:val="20"/>
          <w:szCs w:val="20"/>
          <w:color w:val="auto"/>
        </w:rPr>
      </w:pPr>
    </w:p>
    <w:p>
      <w:pPr>
        <w:jc w:val="both"/>
        <w:ind w:left="360" w:right="40" w:firstLine="269"/>
        <w:spacing w:after="0" w:line="286" w:lineRule="auto"/>
        <w:tabs>
          <w:tab w:leader="none" w:pos="871"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members of the Board on the Effective Date (“Incumbent Directors”) cease for any reason other than death to constitute at least a majority of the members of the Board, provided that any director whose election, or nomination for election by the Company’s shareholders, was approved by a vote of at least a majority of the then Incumbent Directors also will be treated as an Incumbent Director; or</w:t>
      </w:r>
    </w:p>
    <w:p>
      <w:pPr>
        <w:spacing w:after="0" w:line="70" w:lineRule="exact"/>
        <w:rPr>
          <w:rFonts w:ascii="Arial" w:cs="Arial" w:eastAsia="Arial" w:hAnsi="Arial"/>
          <w:sz w:val="17"/>
          <w:szCs w:val="17"/>
          <w:color w:val="auto"/>
        </w:rPr>
      </w:pPr>
    </w:p>
    <w:p>
      <w:pPr>
        <w:ind w:left="360" w:right="160" w:firstLine="269"/>
        <w:spacing w:after="0" w:line="279" w:lineRule="auto"/>
        <w:tabs>
          <w:tab w:leader="none" w:pos="87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“person,” including a “group” [as such terms are used in Exchange Act Sections 13(d) and 14(d)(2), but excluding the Company, any of its Subsidiaries, any employee benefit plan of the Company or any of its Subsidiaries or Hagedorn Partnership, L.P. or any party related to Hagedorn Partnership, L.P. as determined by the Committee] is or becomes the Beneficial Owner, directly or indirectly, of securities of the Company representing more than thirty percent (30%) of the combined voting power of the Company’s then outstanding securities; or</w:t>
      </w:r>
    </w:p>
    <w:p>
      <w:pPr>
        <w:spacing w:after="0" w:line="76" w:lineRule="exact"/>
        <w:rPr>
          <w:rFonts w:ascii="Arial" w:cs="Arial" w:eastAsia="Arial" w:hAnsi="Arial"/>
          <w:sz w:val="17"/>
          <w:szCs w:val="17"/>
          <w:color w:val="auto"/>
        </w:rPr>
      </w:pPr>
    </w:p>
    <w:p>
      <w:pPr>
        <w:ind w:left="360" w:right="20" w:firstLine="269"/>
        <w:spacing w:after="0" w:line="259" w:lineRule="auto"/>
        <w:tabs>
          <w:tab w:leader="none" w:pos="87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adoption or authorization by the shareholders of the Company of a definitive agreement or a series of related agreements (a) for the merger or other business combination of the Company with or into another entity in which the shareholders of the Company immediately before the effective date of such merger or other business combination own less than fifty percent (50%) of the voting power in such entity; or (b) for the sale or other disposition of all or substantially all of the assets of the Company; or</w:t>
      </w:r>
    </w:p>
    <w:p>
      <w:pPr>
        <w:spacing w:after="0" w:line="92" w:lineRule="exact"/>
        <w:rPr>
          <w:rFonts w:ascii="Arial" w:cs="Arial" w:eastAsia="Arial" w:hAnsi="Arial"/>
          <w:sz w:val="18"/>
          <w:szCs w:val="18"/>
          <w:color w:val="auto"/>
        </w:rPr>
      </w:pPr>
    </w:p>
    <w:p>
      <w:pPr>
        <w:ind w:left="880" w:hanging="251"/>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adoption by the shareholders of the Company of a plan relating to the liquidation or dissolution of the Company; or</w:t>
      </w:r>
    </w:p>
    <w:p>
      <w:pPr>
        <w:spacing w:after="0" w:line="130" w:lineRule="exact"/>
        <w:rPr>
          <w:rFonts w:ascii="Arial" w:cs="Arial" w:eastAsia="Arial" w:hAnsi="Arial"/>
          <w:sz w:val="18"/>
          <w:szCs w:val="18"/>
          <w:color w:val="auto"/>
        </w:rPr>
      </w:pPr>
    </w:p>
    <w:p>
      <w:pPr>
        <w:ind w:left="360" w:right="120" w:firstLine="269"/>
        <w:spacing w:after="0" w:line="264" w:lineRule="auto"/>
        <w:tabs>
          <w:tab w:leader="none" w:pos="8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any reason, Hagedorn Partnership, L.P. or any party related to Hagedorn Partnership, L.P. as determined by the Committee becomes the Beneficial Owner, directly or indirectly, of securities of the Company representing more than forty-nine percent (49%) of the combined voting power of the Company’s then outstanding securities.</w:t>
      </w:r>
    </w:p>
    <w:p>
      <w:pPr>
        <w:spacing w:after="0" w:line="73"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i w:val="1"/>
          <w:iCs w:val="1"/>
          <w:color w:val="auto"/>
        </w:rPr>
        <w:t>“Change in Control Price”</w:t>
      </w:r>
      <w:r>
        <w:rPr>
          <w:rFonts w:ascii="Arial" w:cs="Arial" w:eastAsia="Arial" w:hAnsi="Arial"/>
          <w:sz w:val="18"/>
          <w:szCs w:val="18"/>
          <w:color w:val="auto"/>
        </w:rPr>
        <w:t xml:space="preserve"> means the highest price per Share offered in conjunction with any transaction resulting in a Change in Control (as determined in good faith by the Committee if any part of the offered price is payable other than in cash) or, in the case of a Change in Control occurring solely by reason of events not related to a transfer of Shares, the highest Fair Market Value of a Share on any of the thirty (30) consecutive trading days ending on the last trading day before the Change in Control occurs.</w:t>
      </w:r>
    </w:p>
    <w:p>
      <w:pPr>
        <w:spacing w:after="0" w:line="79" w:lineRule="exact"/>
        <w:rPr>
          <w:sz w:val="20"/>
          <w:szCs w:val="20"/>
          <w:color w:val="auto"/>
        </w:rPr>
      </w:pPr>
    </w:p>
    <w:p>
      <w:pPr>
        <w:jc w:val="both"/>
        <w:ind w:right="80" w:firstLine="270"/>
        <w:spacing w:after="0" w:line="264"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i w:val="1"/>
          <w:iCs w:val="1"/>
          <w:color w:val="auto"/>
        </w:rPr>
        <w:t>“Code”</w:t>
      </w:r>
      <w:r>
        <w:rPr>
          <w:rFonts w:ascii="Arial" w:cs="Arial" w:eastAsia="Arial" w:hAnsi="Arial"/>
          <w:sz w:val="18"/>
          <w:szCs w:val="18"/>
          <w:color w:val="auto"/>
        </w:rPr>
        <w:t xml:space="preserve"> means the U.S. Internal Revenue Code of 1986, as amended from time to time. For purposes of this Plan, references to sections of the Code shall be deemed to include references to any applicable regulations thereunder and any successor or similar provision, as well as any applicable interpretative guidance issued related thereto.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ind w:right="40" w:firstLine="270"/>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means the Compensation and Organization Committee of the Board or a subcommittee thereof, or any other committee designated by the Board to administer this Plan. The members of the Committee shall be appointed from time to time by and shall serve at the discretion of the Board. If the Committee does not exist or cannot function for any reason, the Board may take any action under the Plan that would otherwise be the responsibility of the Committee.</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means The Scotts Miracle-Gro Company, an Ohio corporation, and any successor thereto as provided in Article 20 herein.</w:t>
      </w:r>
    </w:p>
    <w:p>
      <w:pPr>
        <w:spacing w:after="0" w:line="117" w:lineRule="exact"/>
        <w:rPr>
          <w:sz w:val="20"/>
          <w:szCs w:val="20"/>
          <w:color w:val="auto"/>
        </w:rPr>
      </w:pPr>
    </w:p>
    <w:p>
      <w:pPr>
        <w:ind w:right="220" w:firstLine="270"/>
        <w:spacing w:after="0" w:line="259"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i w:val="1"/>
          <w:iCs w:val="1"/>
          <w:color w:val="auto"/>
        </w:rPr>
        <w:t>“Covered Employee”</w:t>
      </w:r>
      <w:r>
        <w:rPr>
          <w:rFonts w:ascii="Arial" w:cs="Arial" w:eastAsia="Arial" w:hAnsi="Arial"/>
          <w:sz w:val="18"/>
          <w:szCs w:val="18"/>
          <w:color w:val="auto"/>
        </w:rPr>
        <w:t xml:space="preserve"> means any key Employee who is or may become a “Covered Employee,” as defined in Code Section 162(m), and who is designated, either as an individual Employee or class of Employees, by the Committee within the shorter of (i) ninety (90) days after the beginning of the Performance Period, or (ii) twenty-five percent (25%) of the Performance Period has elapsed, as a “Covered Employee” under this Plan for such applicable Performance Period.</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i w:val="1"/>
          <w:iCs w:val="1"/>
          <w:color w:val="auto"/>
        </w:rPr>
        <w:t>“Director”</w:t>
      </w:r>
      <w:r>
        <w:rPr>
          <w:rFonts w:ascii="Arial" w:cs="Arial" w:eastAsia="Arial" w:hAnsi="Arial"/>
          <w:sz w:val="18"/>
          <w:szCs w:val="18"/>
          <w:color w:val="auto"/>
        </w:rPr>
        <w:t xml:space="preserve"> means any individual who is a member of the Board of Directors of the Company.</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has the meaning set forth in Section 1.1.</w:t>
      </w:r>
    </w:p>
    <w:p>
      <w:pPr>
        <w:spacing w:after="0" w:line="117" w:lineRule="exact"/>
        <w:rPr>
          <w:sz w:val="20"/>
          <w:szCs w:val="20"/>
          <w:color w:val="auto"/>
        </w:rPr>
      </w:pPr>
    </w:p>
    <w:p>
      <w:pPr>
        <w:ind w:right="60" w:firstLine="270"/>
        <w:spacing w:after="0" w:line="276"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i w:val="1"/>
          <w:iCs w:val="1"/>
          <w:color w:val="auto"/>
        </w:rPr>
        <w:t>“Employee”</w:t>
      </w:r>
      <w:r>
        <w:rPr>
          <w:rFonts w:ascii="Arial" w:cs="Arial" w:eastAsia="Arial" w:hAnsi="Arial"/>
          <w:sz w:val="17"/>
          <w:szCs w:val="17"/>
          <w:color w:val="auto"/>
        </w:rPr>
        <w:t xml:space="preserve"> means any individual who performs services for and is designated as an employee of the Company, its Affiliates, and/or its Subsidiaries on the payroll records thereof. An Employee shall not include any individual during any period he or she is classified or treated by the Company, Affiliate, and/or Subsidiary as an independent contractor, a consultant, or any employee of an employment, consulting, or temporary agency or any other entity other than the Company, Affiliate, and/or Subsidiary, without regard to whether such individual is subsequently determined to have been, or is subsequently retroactively reclassified as a common-law employee of the Company, Affiliate, and/or Subsidiary during such period.</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i w:val="1"/>
          <w:iCs w:val="1"/>
          <w:color w:val="auto"/>
        </w:rPr>
        <w:t>“Exchange Act”</w:t>
      </w:r>
      <w:r>
        <w:rPr>
          <w:rFonts w:ascii="Arial" w:cs="Arial" w:eastAsia="Arial" w:hAnsi="Arial"/>
          <w:sz w:val="18"/>
          <w:szCs w:val="18"/>
          <w:color w:val="auto"/>
        </w:rPr>
        <w:t xml:space="preserve"> means the Securities Exchange Act of 1934, as amended from time to time, or any successor act thereto.</w:t>
      </w:r>
    </w:p>
    <w:p>
      <w:pPr>
        <w:spacing w:after="0" w:line="117"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i w:val="1"/>
          <w:iCs w:val="1"/>
          <w:color w:val="auto"/>
        </w:rPr>
        <w:t>“Fair Market Value”</w:t>
      </w:r>
      <w:r>
        <w:rPr>
          <w:rFonts w:ascii="Arial" w:cs="Arial" w:eastAsia="Arial" w:hAnsi="Arial"/>
          <w:sz w:val="16"/>
          <w:szCs w:val="16"/>
          <w:color w:val="auto"/>
        </w:rPr>
        <w:t xml:space="preserve"> or </w:t>
      </w:r>
      <w:r>
        <w:rPr>
          <w:rFonts w:ascii="Arial" w:cs="Arial" w:eastAsia="Arial" w:hAnsi="Arial"/>
          <w:sz w:val="16"/>
          <w:szCs w:val="16"/>
          <w:i w:val="1"/>
          <w:iCs w:val="1"/>
          <w:color w:val="auto"/>
        </w:rPr>
        <w:t>“FMV”</w:t>
      </w:r>
      <w:r>
        <w:rPr>
          <w:rFonts w:ascii="Arial" w:cs="Arial" w:eastAsia="Arial" w:hAnsi="Arial"/>
          <w:sz w:val="16"/>
          <w:szCs w:val="16"/>
          <w:color w:val="auto"/>
        </w:rPr>
        <w:t xml:space="preserve"> means a price that is based on the opening, closing, actual, high, low, or average selling prices of a Share reported on the New York Stock Exchange (“NYSE”) or other established stock exchange (or exchanges) on the applicable date, the preceding trading day, the next succeeding trading day, or an average of trading days, as determined by the Committee in its discretion. Unless the Committee determines otherwise, Fair Market Value shall be deemed to be equal to the closing price of a Share on the most recent date on which Shares were publicly traded. In the event Shares are not publicly traded at the time a determination of their value is required to be made hereunder, the determination of their Fair Market Value shall be made by the Committee in such manner as it deems appropriate. Such definition(s) of FMV shall be specified in each Award Agreement and may differ depending on whether FMV is in reference to the grant, exercise, vesting, settlement, or payout of an Award.</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i w:val="1"/>
          <w:iCs w:val="1"/>
          <w:color w:val="auto"/>
        </w:rPr>
        <w:t>“Full Value Award”</w:t>
      </w:r>
      <w:r>
        <w:rPr>
          <w:rFonts w:ascii="Arial" w:cs="Arial" w:eastAsia="Arial" w:hAnsi="Arial"/>
          <w:sz w:val="18"/>
          <w:szCs w:val="18"/>
          <w:color w:val="auto"/>
        </w:rPr>
        <w:t xml:space="preserve"> means an Award other than in the form of an ISO, NQSO, or SAR, and which is settled by the issuance of Shares.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i w:val="1"/>
          <w:iCs w:val="1"/>
          <w:color w:val="auto"/>
        </w:rPr>
        <w:t>“Grant Date”</w:t>
      </w:r>
      <w:r>
        <w:rPr>
          <w:rFonts w:ascii="Arial" w:cs="Arial" w:eastAsia="Arial" w:hAnsi="Arial"/>
          <w:sz w:val="18"/>
          <w:szCs w:val="18"/>
          <w:color w:val="auto"/>
        </w:rPr>
        <w:t xml:space="preserve"> means the date an Award is granted to a Participant pursuant to the Plan.</w:t>
      </w:r>
    </w:p>
    <w:p>
      <w:pPr>
        <w:spacing w:after="0" w:line="117"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i w:val="1"/>
          <w:iCs w:val="1"/>
          <w:color w:val="auto"/>
        </w:rPr>
        <w:t>“Grant Price”</w:t>
      </w:r>
      <w:r>
        <w:rPr>
          <w:rFonts w:ascii="Arial" w:cs="Arial" w:eastAsia="Arial" w:hAnsi="Arial"/>
          <w:sz w:val="18"/>
          <w:szCs w:val="18"/>
          <w:color w:val="auto"/>
        </w:rPr>
        <w:t xml:space="preserve"> means the price established at the time of grant of a SAR pursuant to Article 7, used to determine whether there is any payment due upon exercise of the SAR.</w:t>
      </w:r>
    </w:p>
    <w:p>
      <w:pPr>
        <w:spacing w:after="0" w:line="62" w:lineRule="exact"/>
        <w:rPr>
          <w:sz w:val="20"/>
          <w:szCs w:val="20"/>
          <w:color w:val="auto"/>
        </w:rPr>
      </w:pPr>
    </w:p>
    <w:p>
      <w:pPr>
        <w:ind w:right="660" w:firstLine="270"/>
        <w:spacing w:after="0" w:line="308"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i w:val="1"/>
          <w:iCs w:val="1"/>
          <w:color w:val="auto"/>
        </w:rPr>
        <w:t>“Incentive Stock Option”</w:t>
      </w:r>
      <w:r>
        <w:rPr>
          <w:rFonts w:ascii="Arial" w:cs="Arial" w:eastAsia="Arial" w:hAnsi="Arial"/>
          <w:sz w:val="17"/>
          <w:szCs w:val="17"/>
          <w:color w:val="auto"/>
        </w:rPr>
        <w:t xml:space="preserve"> or </w:t>
      </w:r>
      <w:r>
        <w:rPr>
          <w:rFonts w:ascii="Arial" w:cs="Arial" w:eastAsia="Arial" w:hAnsi="Arial"/>
          <w:sz w:val="17"/>
          <w:szCs w:val="17"/>
          <w:i w:val="1"/>
          <w:iCs w:val="1"/>
          <w:color w:val="auto"/>
        </w:rPr>
        <w:t>“ISO”</w:t>
      </w:r>
      <w:r>
        <w:rPr>
          <w:rFonts w:ascii="Arial" w:cs="Arial" w:eastAsia="Arial" w:hAnsi="Arial"/>
          <w:sz w:val="17"/>
          <w:szCs w:val="17"/>
          <w:color w:val="auto"/>
        </w:rPr>
        <w:t xml:space="preserve"> means an Option to purchase Shares granted under Article 6 to an Employee and that is designated as an Incentive Stock Option and that is intended to meet the requirements of Code Section 422, or any successor provision.</w:t>
      </w:r>
    </w:p>
    <w:p>
      <w:pPr>
        <w:spacing w:after="0" w:line="38"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i w:val="1"/>
          <w:iCs w:val="1"/>
          <w:color w:val="auto"/>
        </w:rPr>
        <w:t>“Insider”</w:t>
      </w:r>
      <w:r>
        <w:rPr>
          <w:rFonts w:ascii="Arial" w:cs="Arial" w:eastAsia="Arial" w:hAnsi="Arial"/>
          <w:sz w:val="18"/>
          <w:szCs w:val="18"/>
          <w:color w:val="auto"/>
        </w:rPr>
        <w:t xml:space="preserve"> shall mean an individual who is, on the relevant date, an officer or Director of the Company, or a more than ten percent (10%) Beneficial Owner of any class of the Company’s equity securities that is registered pursuant to Section 12 of the Exchange Act, as determined by the Board or Committee in accordance with Section 16 of the Exchange Act.</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i w:val="1"/>
          <w:iCs w:val="1"/>
          <w:color w:val="auto"/>
        </w:rPr>
        <w:t>“Nonemployee Director”</w:t>
      </w:r>
      <w:r>
        <w:rPr>
          <w:rFonts w:ascii="Arial" w:cs="Arial" w:eastAsia="Arial" w:hAnsi="Arial"/>
          <w:sz w:val="18"/>
          <w:szCs w:val="18"/>
          <w:color w:val="auto"/>
        </w:rPr>
        <w:t xml:space="preserve"> means a Director who is not an Employee on the Grant Date.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ind w:firstLine="270"/>
        <w:spacing w:after="0" w:line="264"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i w:val="1"/>
          <w:iCs w:val="1"/>
          <w:color w:val="auto"/>
        </w:rPr>
        <w:t>“Nonemployee Director Award”</w:t>
      </w:r>
      <w:r>
        <w:rPr>
          <w:rFonts w:ascii="Arial" w:cs="Arial" w:eastAsia="Arial" w:hAnsi="Arial"/>
          <w:sz w:val="18"/>
          <w:szCs w:val="18"/>
          <w:color w:val="auto"/>
        </w:rPr>
        <w:t xml:space="preserve"> means any NQSO, SAR, or Full Value Award granted, whether singly, in combination, or in tandem, to a Participant who is a Nonemployee Director pursuant to such applicable terms, conditions, and limitations as the Board or Committee may establish in accordance with this Plan.</w:t>
      </w:r>
    </w:p>
    <w:p>
      <w:pPr>
        <w:spacing w:after="0" w:line="73"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xml:space="preserve"> or </w:t>
      </w:r>
      <w:r>
        <w:rPr>
          <w:rFonts w:ascii="Arial" w:cs="Arial" w:eastAsia="Arial" w:hAnsi="Arial"/>
          <w:sz w:val="18"/>
          <w:szCs w:val="18"/>
          <w:i w:val="1"/>
          <w:iCs w:val="1"/>
          <w:color w:val="auto"/>
        </w:rPr>
        <w:t>“NQSO”</w:t>
      </w:r>
      <w:r>
        <w:rPr>
          <w:rFonts w:ascii="Arial" w:cs="Arial" w:eastAsia="Arial" w:hAnsi="Arial"/>
          <w:sz w:val="18"/>
          <w:szCs w:val="18"/>
          <w:color w:val="auto"/>
        </w:rPr>
        <w:t xml:space="preserve"> means an Option that is not intended to meet the requirements of Code Section 422, or that otherwise does not meet such requirements.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i w:val="1"/>
          <w:iCs w:val="1"/>
          <w:color w:val="auto"/>
        </w:rPr>
        <w:t>“Option”</w:t>
      </w:r>
      <w:r>
        <w:rPr>
          <w:rFonts w:ascii="Arial" w:cs="Arial" w:eastAsia="Arial" w:hAnsi="Arial"/>
          <w:sz w:val="18"/>
          <w:szCs w:val="18"/>
          <w:color w:val="auto"/>
        </w:rPr>
        <w:t xml:space="preserve"> means an Incentive Stock Option or a Nonqualified Stock Option, as described in Article 6.</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i w:val="1"/>
          <w:iCs w:val="1"/>
          <w:color w:val="auto"/>
        </w:rPr>
        <w:t>“Option Price”</w:t>
      </w:r>
      <w:r>
        <w:rPr>
          <w:rFonts w:ascii="Arial" w:cs="Arial" w:eastAsia="Arial" w:hAnsi="Arial"/>
          <w:sz w:val="18"/>
          <w:szCs w:val="18"/>
          <w:color w:val="auto"/>
        </w:rPr>
        <w:t xml:space="preserve"> means the price at which a Share may be purchased by a Participant pursuant to an Option.</w:t>
      </w:r>
    </w:p>
    <w:p>
      <w:pPr>
        <w:spacing w:after="0" w:line="117"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i w:val="1"/>
          <w:iCs w:val="1"/>
          <w:color w:val="auto"/>
        </w:rPr>
        <w:t>“Other Stock-Based Award”</w:t>
      </w:r>
      <w:r>
        <w:rPr>
          <w:rFonts w:ascii="Arial" w:cs="Arial" w:eastAsia="Arial" w:hAnsi="Arial"/>
          <w:sz w:val="18"/>
          <w:szCs w:val="18"/>
          <w:color w:val="auto"/>
        </w:rPr>
        <w:t xml:space="preserve"> means an equity-based or equity-related Award not otherwise described by the terms of this Plan, granted pursuant to Article 10.</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i w:val="1"/>
          <w:iCs w:val="1"/>
          <w:color w:val="auto"/>
        </w:rPr>
        <w:t>“Participant”</w:t>
      </w:r>
      <w:r>
        <w:rPr>
          <w:rFonts w:ascii="Arial" w:cs="Arial" w:eastAsia="Arial" w:hAnsi="Arial"/>
          <w:sz w:val="18"/>
          <w:szCs w:val="18"/>
          <w:color w:val="auto"/>
        </w:rPr>
        <w:t xml:space="preserve"> means any eligible individual as set forth in Article 5 to whom an Award is granted.</w:t>
      </w:r>
    </w:p>
    <w:p>
      <w:pPr>
        <w:spacing w:after="0" w:line="117"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i w:val="1"/>
          <w:iCs w:val="1"/>
          <w:color w:val="auto"/>
        </w:rPr>
        <w:t>“Performance-Based Compensation”</w:t>
      </w:r>
      <w:r>
        <w:rPr>
          <w:rFonts w:ascii="Arial" w:cs="Arial" w:eastAsia="Arial" w:hAnsi="Arial"/>
          <w:sz w:val="18"/>
          <w:szCs w:val="18"/>
          <w:color w:val="auto"/>
        </w:rPr>
        <w:t xml:space="preserve"> means compensation under an Award that is intended to satisfy the requirements of Code Section 162(m) for certain performance-based compensation paid to Covered Employees. Notwithstanding the foregoing, nothing in this Plan shall be construed to mean that an Award which does not satisfy the requirements for performance-based compensation under Code Section 162(m) does not constitute performance-based compensation for other purposes, including Code Section 409A.</w:t>
      </w:r>
    </w:p>
    <w:p>
      <w:pPr>
        <w:spacing w:after="0" w:line="79" w:lineRule="exact"/>
        <w:rPr>
          <w:sz w:val="20"/>
          <w:szCs w:val="20"/>
          <w:color w:val="auto"/>
        </w:rPr>
      </w:pPr>
    </w:p>
    <w:p>
      <w:pPr>
        <w:ind w:right="440" w:firstLine="270"/>
        <w:spacing w:after="0" w:line="277"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i w:val="1"/>
          <w:iCs w:val="1"/>
          <w:color w:val="auto"/>
        </w:rPr>
        <w:t>“Performance Measures”</w:t>
      </w:r>
      <w:r>
        <w:rPr>
          <w:rFonts w:ascii="Arial" w:cs="Arial" w:eastAsia="Arial" w:hAnsi="Arial"/>
          <w:sz w:val="18"/>
          <w:szCs w:val="18"/>
          <w:color w:val="auto"/>
        </w:rPr>
        <w:t xml:space="preserve"> means measures as described in Article 12 on which the performance goals are based and which are approved by the Company’s shareholders pursuant to this Plan in order to qualify Awards as Performance-Based Compensation.</w:t>
      </w:r>
    </w:p>
    <w:p>
      <w:pPr>
        <w:spacing w:after="0" w:line="62" w:lineRule="exact"/>
        <w:rPr>
          <w:sz w:val="20"/>
          <w:szCs w:val="20"/>
          <w:color w:val="auto"/>
        </w:rPr>
      </w:pPr>
    </w:p>
    <w:p>
      <w:pPr>
        <w:jc w:val="both"/>
        <w:ind w:right="100" w:firstLine="270"/>
        <w:spacing w:after="0" w:line="277"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i w:val="1"/>
          <w:iCs w:val="1"/>
          <w:color w:val="auto"/>
        </w:rPr>
        <w:t>“Performance Period”</w:t>
      </w:r>
      <w:r>
        <w:rPr>
          <w:rFonts w:ascii="Arial" w:cs="Arial" w:eastAsia="Arial" w:hAnsi="Arial"/>
          <w:sz w:val="18"/>
          <w:szCs w:val="18"/>
          <w:color w:val="auto"/>
        </w:rPr>
        <w:t xml:space="preserve"> means the period of time during which the performance goals must be met in order to determine the degree of payout and/or vesting with respect to an Award.</w:t>
      </w:r>
    </w:p>
    <w:p>
      <w:pPr>
        <w:spacing w:after="0" w:line="62" w:lineRule="exact"/>
        <w:rPr>
          <w:sz w:val="20"/>
          <w:szCs w:val="20"/>
          <w:color w:val="auto"/>
        </w:rPr>
      </w:pPr>
    </w:p>
    <w:p>
      <w:pPr>
        <w:jc w:val="both"/>
        <w:ind w:right="80" w:firstLine="270"/>
        <w:spacing w:after="0" w:line="264" w:lineRule="auto"/>
        <w:rPr>
          <w:sz w:val="20"/>
          <w:szCs w:val="20"/>
          <w:color w:val="auto"/>
        </w:rPr>
      </w:pPr>
      <w:r>
        <w:rPr>
          <w:rFonts w:ascii="Arial" w:cs="Arial" w:eastAsia="Arial" w:hAnsi="Arial"/>
          <w:sz w:val="18"/>
          <w:szCs w:val="18"/>
          <w:color w:val="auto"/>
        </w:rPr>
        <w:t xml:space="preserve">2.35 </w:t>
      </w:r>
      <w:r>
        <w:rPr>
          <w:rFonts w:ascii="Arial" w:cs="Arial" w:eastAsia="Arial" w:hAnsi="Arial"/>
          <w:sz w:val="18"/>
          <w:szCs w:val="18"/>
          <w:i w:val="1"/>
          <w:iCs w:val="1"/>
          <w:color w:val="auto"/>
        </w:rPr>
        <w:t>“Performance Share”</w:t>
      </w:r>
      <w:r>
        <w:rPr>
          <w:rFonts w:ascii="Arial" w:cs="Arial" w:eastAsia="Arial" w:hAnsi="Arial"/>
          <w:sz w:val="18"/>
          <w:szCs w:val="18"/>
          <w:color w:val="auto"/>
        </w:rPr>
        <w:t xml:space="preserve"> means an Award under Article 9 herein and subject to the terms of this Plan, denominated in Shares, the value of which at the time it is payable is determined as a function of the extent to which corresponding performance criteria or Performance Measure(s), as applicable, have been achieved.</w:t>
      </w:r>
    </w:p>
    <w:p>
      <w:pPr>
        <w:spacing w:after="0" w:line="73"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color w:val="auto"/>
        </w:rPr>
        <w:t xml:space="preserve">2.36 </w:t>
      </w:r>
      <w:r>
        <w:rPr>
          <w:rFonts w:ascii="Arial" w:cs="Arial" w:eastAsia="Arial" w:hAnsi="Arial"/>
          <w:sz w:val="18"/>
          <w:szCs w:val="18"/>
          <w:i w:val="1"/>
          <w:iCs w:val="1"/>
          <w:color w:val="auto"/>
        </w:rPr>
        <w:t>“Performance Unit”</w:t>
      </w:r>
      <w:r>
        <w:rPr>
          <w:rFonts w:ascii="Arial" w:cs="Arial" w:eastAsia="Arial" w:hAnsi="Arial"/>
          <w:sz w:val="18"/>
          <w:szCs w:val="18"/>
          <w:color w:val="auto"/>
        </w:rPr>
        <w:t xml:space="preserve"> means an Award under Article 9 herein and subject to the terms of this Plan, denominated in units, the value of which at the time it is payable is determined as a function of the extent to which corresponding performance criteria or Performance Measure(s), as applicable, have been achieved.</w:t>
      </w:r>
    </w:p>
    <w:p>
      <w:pPr>
        <w:spacing w:after="0" w:line="73"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 xml:space="preserve">2.37 </w:t>
      </w:r>
      <w:r>
        <w:rPr>
          <w:rFonts w:ascii="Arial" w:cs="Arial" w:eastAsia="Arial" w:hAnsi="Arial"/>
          <w:sz w:val="18"/>
          <w:szCs w:val="18"/>
          <w:i w:val="1"/>
          <w:iCs w:val="1"/>
          <w:color w:val="auto"/>
        </w:rPr>
        <w:t>“Period of Restriction”</w:t>
      </w:r>
      <w:r>
        <w:rPr>
          <w:rFonts w:ascii="Arial" w:cs="Arial" w:eastAsia="Arial" w:hAnsi="Arial"/>
          <w:sz w:val="18"/>
          <w:szCs w:val="18"/>
          <w:color w:val="auto"/>
        </w:rPr>
        <w:t xml:space="preserve"> means the period when Restricted Stock or Restricted Stock Units are subject to a substantial risk of forfeiture (based on the passage of time, the achievement of performance goals, or the occurrence of other events as determined by the Committee, in its discretion), as provided in Article 8.</w:t>
      </w:r>
    </w:p>
    <w:p>
      <w:pPr>
        <w:spacing w:after="0" w:line="73" w:lineRule="exact"/>
        <w:rPr>
          <w:sz w:val="20"/>
          <w:szCs w:val="20"/>
          <w:color w:val="auto"/>
        </w:rPr>
      </w:pPr>
    </w:p>
    <w:p>
      <w:pPr>
        <w:ind w:right="660" w:firstLine="270"/>
        <w:spacing w:after="0" w:line="277" w:lineRule="auto"/>
        <w:rPr>
          <w:sz w:val="20"/>
          <w:szCs w:val="20"/>
          <w:color w:val="auto"/>
        </w:rPr>
      </w:pPr>
      <w:r>
        <w:rPr>
          <w:rFonts w:ascii="Arial" w:cs="Arial" w:eastAsia="Arial" w:hAnsi="Arial"/>
          <w:sz w:val="18"/>
          <w:szCs w:val="18"/>
          <w:color w:val="auto"/>
        </w:rPr>
        <w:t xml:space="preserve">2.38 </w:t>
      </w:r>
      <w:r>
        <w:rPr>
          <w:rFonts w:ascii="Arial" w:cs="Arial" w:eastAsia="Arial" w:hAnsi="Arial"/>
          <w:sz w:val="18"/>
          <w:szCs w:val="18"/>
          <w:i w:val="1"/>
          <w:iCs w:val="1"/>
          <w:color w:val="auto"/>
        </w:rPr>
        <w:t>“Person”</w:t>
      </w:r>
      <w:r>
        <w:rPr>
          <w:rFonts w:ascii="Arial" w:cs="Arial" w:eastAsia="Arial" w:hAnsi="Arial"/>
          <w:sz w:val="18"/>
          <w:szCs w:val="18"/>
          <w:color w:val="auto"/>
        </w:rPr>
        <w:t xml:space="preserve"> shall have the meaning ascribed to such term in Section 3(a)(9) of the Exchange Act and used in Sections 13(d) and 14(d) thereof, including a “group” as defined in Section 13(d) thereof.</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2.39 </w:t>
      </w:r>
      <w:r>
        <w:rPr>
          <w:rFonts w:ascii="Arial" w:cs="Arial" w:eastAsia="Arial" w:hAnsi="Arial"/>
          <w:sz w:val="18"/>
          <w:szCs w:val="18"/>
          <w:i w:val="1"/>
          <w:iCs w:val="1"/>
          <w:color w:val="auto"/>
        </w:rPr>
        <w:t>“Plan”</w:t>
      </w:r>
      <w:r>
        <w:rPr>
          <w:rFonts w:ascii="Arial" w:cs="Arial" w:eastAsia="Arial" w:hAnsi="Arial"/>
          <w:sz w:val="18"/>
          <w:szCs w:val="18"/>
          <w:color w:val="auto"/>
        </w:rPr>
        <w:t xml:space="preserve"> means The Scotts Miracle-Gro Company 2006 Long-Term Incentive Plan.</w:t>
      </w:r>
    </w:p>
    <w:p>
      <w:pPr>
        <w:spacing w:after="0" w:line="117"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2.40</w:t>
      </w:r>
      <w:r>
        <w:rPr>
          <w:sz w:val="20"/>
          <w:szCs w:val="20"/>
          <w:color w:val="auto"/>
        </w:rPr>
        <w:tab/>
      </w:r>
      <w:r>
        <w:rPr>
          <w:rFonts w:ascii="Arial" w:cs="Arial" w:eastAsia="Arial" w:hAnsi="Arial"/>
          <w:sz w:val="16"/>
          <w:szCs w:val="16"/>
          <w:i w:val="1"/>
          <w:iCs w:val="1"/>
          <w:color w:val="auto"/>
        </w:rPr>
        <w:t xml:space="preserve">“Plan Year” </w:t>
      </w:r>
      <w:r>
        <w:rPr>
          <w:rFonts w:ascii="Arial" w:cs="Arial" w:eastAsia="Arial" w:hAnsi="Arial"/>
          <w:sz w:val="16"/>
          <w:szCs w:val="16"/>
          <w:color w:val="auto"/>
        </w:rPr>
        <w:t>means the Company’s fiscal year.</w:t>
      </w:r>
    </w:p>
    <w:p>
      <w:pPr>
        <w:spacing w:after="0" w:line="117"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i w:val="1"/>
          <w:iCs w:val="1"/>
          <w:color w:val="auto"/>
        </w:rPr>
        <w:t>“Prior Plans”</w:t>
      </w:r>
      <w:r>
        <w:rPr>
          <w:rFonts w:ascii="Arial" w:cs="Arial" w:eastAsia="Arial" w:hAnsi="Arial"/>
          <w:sz w:val="18"/>
          <w:szCs w:val="18"/>
          <w:color w:val="auto"/>
        </w:rPr>
        <w:t xml:space="preserve"> means The Scotts Miracle-Gro Company 2003 Stock Option and Incentive Equity Plan, as amended, and The Scotts Miracle-Gro Company 1996 Stock Option Plan, as amended.</w:t>
      </w:r>
    </w:p>
    <w:p>
      <w:pPr>
        <w:spacing w:after="0" w:line="62"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means an Award granted to a Participant pursuant to Article 8.</w:t>
      </w:r>
    </w:p>
    <w:p>
      <w:pPr>
        <w:spacing w:after="0" w:line="117"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 xml:space="preserve">2.43 </w:t>
      </w:r>
      <w:r>
        <w:rPr>
          <w:rFonts w:ascii="Arial" w:cs="Arial" w:eastAsia="Arial" w:hAnsi="Arial"/>
          <w:sz w:val="18"/>
          <w:szCs w:val="18"/>
          <w:i w:val="1"/>
          <w:iCs w:val="1"/>
          <w:color w:val="auto"/>
        </w:rPr>
        <w:t>“Restricted Stock Unit”</w:t>
      </w:r>
      <w:r>
        <w:rPr>
          <w:rFonts w:ascii="Arial" w:cs="Arial" w:eastAsia="Arial" w:hAnsi="Arial"/>
          <w:sz w:val="18"/>
          <w:szCs w:val="18"/>
          <w:color w:val="auto"/>
        </w:rPr>
        <w:t xml:space="preserve"> means an Award granted to a Participant pursuant to Article 8, except no Shares are actually awarded to the Participant on the Grant Date.</w:t>
      </w:r>
    </w:p>
    <w:p>
      <w:pPr>
        <w:spacing w:after="0" w:line="62"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6"/>
          <w:szCs w:val="16"/>
          <w:i w:val="1"/>
          <w:iCs w:val="1"/>
          <w:color w:val="auto"/>
        </w:rPr>
        <w:t xml:space="preserve">“Share” </w:t>
      </w:r>
      <w:r>
        <w:rPr>
          <w:rFonts w:ascii="Arial" w:cs="Arial" w:eastAsia="Arial" w:hAnsi="Arial"/>
          <w:sz w:val="16"/>
          <w:szCs w:val="16"/>
          <w:color w:val="auto"/>
        </w:rPr>
        <w:t>means a common share of the Company, without par value per share.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6" w:name="page27"/>
    <w:bookmarkEnd w:id="26"/>
    <w:p>
      <w:pPr>
        <w:ind w:left="280"/>
        <w:spacing w:after="0"/>
        <w:tabs>
          <w:tab w:leader="none" w:pos="80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6"/>
          <w:szCs w:val="16"/>
          <w:i w:val="1"/>
          <w:iCs w:val="1"/>
          <w:color w:val="auto"/>
        </w:rPr>
        <w:t xml:space="preserve">“Stock Appreciation Right” </w:t>
      </w:r>
      <w:r>
        <w:rPr>
          <w:rFonts w:ascii="Arial" w:cs="Arial" w:eastAsia="Arial" w:hAnsi="Arial"/>
          <w:sz w:val="16"/>
          <w:szCs w:val="16"/>
          <w:color w:val="auto"/>
        </w:rPr>
        <w:t>or</w:t>
      </w:r>
      <w:r>
        <w:rPr>
          <w:rFonts w:ascii="Arial" w:cs="Arial" w:eastAsia="Arial" w:hAnsi="Arial"/>
          <w:sz w:val="16"/>
          <w:szCs w:val="16"/>
          <w:i w:val="1"/>
          <w:iCs w:val="1"/>
          <w:color w:val="auto"/>
        </w:rPr>
        <w:t xml:space="preserve"> “SAR” </w:t>
      </w:r>
      <w:r>
        <w:rPr>
          <w:rFonts w:ascii="Arial" w:cs="Arial" w:eastAsia="Arial" w:hAnsi="Arial"/>
          <w:sz w:val="16"/>
          <w:szCs w:val="16"/>
          <w:color w:val="auto"/>
        </w:rPr>
        <w:t>means an Award, designated as a SAR, pursuant to the terms of Article 7 herein.</w:t>
      </w:r>
    </w:p>
    <w:p>
      <w:pPr>
        <w:spacing w:after="0" w:line="117"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 xml:space="preserve">2.46 </w:t>
      </w:r>
      <w:r>
        <w:rPr>
          <w:rFonts w:ascii="Arial" w:cs="Arial" w:eastAsia="Arial" w:hAnsi="Arial"/>
          <w:sz w:val="18"/>
          <w:szCs w:val="18"/>
          <w:i w:val="1"/>
          <w:iCs w:val="1"/>
          <w:color w:val="auto"/>
        </w:rPr>
        <w:t>“Subsidiary”</w:t>
      </w:r>
      <w:r>
        <w:rPr>
          <w:rFonts w:ascii="Arial" w:cs="Arial" w:eastAsia="Arial" w:hAnsi="Arial"/>
          <w:sz w:val="18"/>
          <w:szCs w:val="18"/>
          <w:color w:val="auto"/>
        </w:rPr>
        <w:t xml:space="preserve"> means any corporation or other entity, whether domestic or foreign, in which the Company has or obtains, directly or indirectly, a proprietary interest of more than fifty percent (50%) by reason of stock ownership or otherwise.</w:t>
      </w:r>
    </w:p>
    <w:p>
      <w:pPr>
        <w:spacing w:after="0" w:line="62" w:lineRule="exact"/>
        <w:rPr>
          <w:sz w:val="20"/>
          <w:szCs w:val="20"/>
          <w:color w:val="auto"/>
        </w:rPr>
      </w:pPr>
    </w:p>
    <w:p>
      <w:pPr>
        <w:ind w:right="440" w:firstLine="270"/>
        <w:spacing w:after="0" w:line="264" w:lineRule="auto"/>
        <w:rPr>
          <w:sz w:val="20"/>
          <w:szCs w:val="20"/>
          <w:color w:val="auto"/>
        </w:rPr>
      </w:pPr>
      <w:r>
        <w:rPr>
          <w:rFonts w:ascii="Arial" w:cs="Arial" w:eastAsia="Arial" w:hAnsi="Arial"/>
          <w:sz w:val="18"/>
          <w:szCs w:val="18"/>
          <w:color w:val="auto"/>
        </w:rPr>
        <w:t xml:space="preserve">2.47 </w:t>
      </w:r>
      <w:r>
        <w:rPr>
          <w:rFonts w:ascii="Arial" w:cs="Arial" w:eastAsia="Arial" w:hAnsi="Arial"/>
          <w:sz w:val="18"/>
          <w:szCs w:val="18"/>
          <w:i w:val="1"/>
          <w:iCs w:val="1"/>
          <w:color w:val="auto"/>
        </w:rPr>
        <w:t>“Third Party Service Provider”</w:t>
      </w:r>
      <w:r>
        <w:rPr>
          <w:rFonts w:ascii="Arial" w:cs="Arial" w:eastAsia="Arial" w:hAnsi="Arial"/>
          <w:sz w:val="18"/>
          <w:szCs w:val="18"/>
          <w:color w:val="auto"/>
        </w:rPr>
        <w:t xml:space="preserve"> means any consultant, agent, advisor, or independent contractor who renders services to the Company, a Subsidiary, or an Affiliate that (a) are not in connection with the offer or sale of the Company’s securities in a capital raising transaction, and (b) do not directly or indirectly promote or maintain a market for the Company’s securities.</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3.</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firstLine="270"/>
        <w:spacing w:after="0" w:line="30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The Committee shall be responsible for administering this Plan, subject to this Article 3 and the other provisions of this Plan. The Committee may employ attorneys, consultants, accountants, agents, and other individuals, any of whom may be an Employee, and the Committee, the Company, and its officers and Directors shall be entitled to rely upon the advice, opinions, or valuations of any such individuals. All actions taken and all interpretations and determinations made by the Committee shall be final and binding upon the Participants, the Company, and all other interested individuals.</w:t>
      </w:r>
    </w:p>
    <w:p>
      <w:pPr>
        <w:spacing w:after="0" w:line="46" w:lineRule="exact"/>
        <w:rPr>
          <w:sz w:val="20"/>
          <w:szCs w:val="20"/>
          <w:color w:val="auto"/>
        </w:rPr>
      </w:pPr>
    </w:p>
    <w:p>
      <w:pPr>
        <w:ind w:right="40" w:firstLine="270"/>
        <w:spacing w:after="0" w:line="271"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i w:val="1"/>
          <w:iCs w:val="1"/>
          <w:color w:val="auto"/>
        </w:rPr>
        <w:t>Authority of the Committee.</w:t>
      </w:r>
      <w:r>
        <w:rPr>
          <w:rFonts w:ascii="Arial" w:cs="Arial" w:eastAsia="Arial" w:hAnsi="Arial"/>
          <w:sz w:val="17"/>
          <w:szCs w:val="17"/>
          <w:color w:val="auto"/>
        </w:rPr>
        <w:t xml:space="preserve"> The Committee shall have full and exclusive discretionary power to interpret the terms and the intent of this Plan and any Award Agreement or other agreement or document ancillary to or in connection with this Plan, to determine eligibility for Awards and to adopt such rules, regulations, forms, instruments, and guidelines for administering this Plan as the Committee may deem necessary or proper. Such authority shall include, but not be limited to, selecting Award recipients, establishing all Award terms and conditions, including the terms and conditions set forth in Award Agreements, granting Awards as an alternative to or as the form of payment for grants or rights earned or due under compensation plans or arrangements of the Company, construing any provision of the Plan or any Award Agreement, and, subject to Article 18, adopting modifications and amendments to this Plan or any Award Agreement, including without limitation, any that are necessary to comply with the laws of the countries and other jurisdictions in which the Company, its Affiliates, and/or its Subsidiaries operate.</w:t>
      </w:r>
    </w:p>
    <w:p>
      <w:pPr>
        <w:spacing w:after="0" w:line="71" w:lineRule="exact"/>
        <w:rPr>
          <w:sz w:val="20"/>
          <w:szCs w:val="20"/>
          <w:color w:val="auto"/>
        </w:rPr>
      </w:pPr>
    </w:p>
    <w:p>
      <w:pPr>
        <w:ind w:firstLine="270"/>
        <w:spacing w:after="0" w:line="285"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Delegation.</w:t>
      </w:r>
      <w:r>
        <w:rPr>
          <w:rFonts w:ascii="Arial" w:cs="Arial" w:eastAsia="Arial" w:hAnsi="Arial"/>
          <w:sz w:val="16"/>
          <w:szCs w:val="16"/>
          <w:color w:val="auto"/>
        </w:rPr>
        <w:t xml:space="preserve"> The Committee may delegate to one or more of its members or to one or more officers of the Company, and/or its Subsidiaries and Affiliates or to one or more agents or advisors such administrative duties or powers as it may deem advisable, and the Committee or any individuals to whom it has delegated duties or powers as aforesaid may employ one or more individuals to render advice with respect to any responsibility the Committee or such individuals may have under this Plan. The Committee may, by resolution, authorize one or more officers of the Company to do one or both of the following on the same basis as can the Committee: (a) designate Employees to be recipients of Awards; (b) determine the size of any such Awards; provided, however,</w:t>
      </w:r>
    </w:p>
    <w:p>
      <w:pPr>
        <w:spacing w:after="0" w:line="2" w:lineRule="exact"/>
        <w:rPr>
          <w:sz w:val="20"/>
          <w:szCs w:val="20"/>
          <w:color w:val="auto"/>
        </w:rPr>
      </w:pPr>
    </w:p>
    <w:p>
      <w:pPr>
        <w:ind w:right="60" w:firstLine="8"/>
        <w:spacing w:after="0" w:line="255" w:lineRule="auto"/>
        <w:tabs>
          <w:tab w:leader="none" w:pos="2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Committee shall not delegate such responsibilities to any such officer for Awards granted to an Employee who is considered an Insider; (ii) the resolution providing such authorization sets forth the total number of Awards such officer(s) may grant; and (iii) the officer(s) shall report periodically to the Committee regarding the nature and scope of the Awards granted pursuant to the authority delegated.</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Article 4.</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Shares Subject to this Plan and Maximum Awards</w:t>
      </w:r>
    </w:p>
    <w:p>
      <w:pPr>
        <w:spacing w:after="0" w:line="121"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i w:val="1"/>
          <w:iCs w:val="1"/>
          <w:color w:val="auto"/>
        </w:rPr>
        <w:t>Number of Shares Available for Awards.</w:t>
      </w:r>
    </w:p>
    <w:p>
      <w:pPr>
        <w:spacing w:after="0" w:line="117" w:lineRule="exact"/>
        <w:rPr>
          <w:sz w:val="20"/>
          <w:szCs w:val="20"/>
          <w:color w:val="auto"/>
        </w:rPr>
      </w:pPr>
    </w:p>
    <w:p>
      <w:pPr>
        <w:ind w:left="360" w:right="220" w:firstLine="269"/>
        <w:spacing w:after="0" w:line="277" w:lineRule="auto"/>
        <w:tabs>
          <w:tab w:leader="none" w:pos="8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adjustment as provided in Section 4.4 herein, the maximum number of Shares available for grant to Participants under this Plan (the “Share Authorization”) shall be:</w:t>
      </w:r>
    </w:p>
    <w:p>
      <w:pPr>
        <w:spacing w:after="0" w:line="62" w:lineRule="exact"/>
        <w:rPr>
          <w:rFonts w:ascii="Arial" w:cs="Arial" w:eastAsia="Arial" w:hAnsi="Arial"/>
          <w:sz w:val="18"/>
          <w:szCs w:val="18"/>
          <w:color w:val="auto"/>
        </w:rPr>
      </w:pPr>
    </w:p>
    <w:p>
      <w:pPr>
        <w:ind w:left="1180" w:hanging="213"/>
        <w:spacing w:after="0"/>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Four million nine hundred twenty-seven thousand three hundred seventy-eight (4,927,378) newly authorized Shares, plus</w:t>
      </w:r>
    </w:p>
    <w:p>
      <w:pPr>
        <w:spacing w:after="0" w:line="130" w:lineRule="exact"/>
        <w:rPr>
          <w:rFonts w:ascii="Arial" w:cs="Arial" w:eastAsia="Arial" w:hAnsi="Arial"/>
          <w:sz w:val="18"/>
          <w:szCs w:val="18"/>
          <w:color w:val="auto"/>
        </w:rPr>
      </w:pPr>
    </w:p>
    <w:p>
      <w:pPr>
        <w:ind w:left="700" w:firstLine="267"/>
        <w:spacing w:after="0" w:line="255" w:lineRule="auto"/>
        <w:tabs>
          <w:tab w:leader="none" w:pos="123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One million seventy-two thousand six hundred twenty-two (1,072,622) Shares not granted or subject to outstanding awards under the Company’s Prior Plans as of September 30, 2005 (on a split-adjusted basis to reflect the 2-for-1 stock split on November 9, 2005) and (B) any Shares subject to the six million six hundred thirteen thousand nine hundred thirty-four (6,613,934) outstanding awards as of September 30, 2005 (on a split-adjusted basis to reflect the 2-for-1 stock split on November 9, 2005) under the Prior Plans that on or after September 30, 2005 cease for any reason to be subject to such awards (other than by reason of exercise or settlement of the awards to the extent they are exercised for or settled in vested and nonforfeitable Shares), up to an aggregate maximum of six million six hundred thirteen thousand nine hundred thirty-four (6,613,934) Shares.</w:t>
      </w:r>
    </w:p>
    <w:p>
      <w:pPr>
        <w:spacing w:after="0" w:line="81" w:lineRule="exact"/>
        <w:rPr>
          <w:rFonts w:ascii="Arial" w:cs="Arial" w:eastAsia="Arial" w:hAnsi="Arial"/>
          <w:sz w:val="18"/>
          <w:szCs w:val="18"/>
          <w:color w:val="auto"/>
        </w:rPr>
      </w:pPr>
    </w:p>
    <w:p>
      <w:pPr>
        <w:ind w:left="880" w:hanging="251"/>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more than three million (3,000,000) Shares of the Share Authorization may be granted as Full Value Awards.</w:t>
      </w:r>
    </w:p>
    <w:p>
      <w:pPr>
        <w:spacing w:after="0" w:line="130" w:lineRule="exact"/>
        <w:rPr>
          <w:rFonts w:ascii="Arial" w:cs="Arial" w:eastAsia="Arial" w:hAnsi="Arial"/>
          <w:sz w:val="18"/>
          <w:szCs w:val="18"/>
          <w:color w:val="auto"/>
        </w:rPr>
      </w:pPr>
    </w:p>
    <w:p>
      <w:pPr>
        <w:ind w:left="360" w:right="100" w:firstLine="269"/>
        <w:spacing w:after="0" w:line="277" w:lineRule="auto"/>
        <w:tabs>
          <w:tab w:leader="none" w:pos="8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maximum number of Shares of the Share Authorization that may be issued pursuant to ISOs under this Plan shall be six million (6,000,000) Shares.</w:t>
      </w:r>
    </w:p>
    <w:p>
      <w:pPr>
        <w:spacing w:after="0" w:line="75" w:lineRule="exact"/>
        <w:rPr>
          <w:rFonts w:ascii="Arial" w:cs="Arial" w:eastAsia="Arial" w:hAnsi="Arial"/>
          <w:sz w:val="18"/>
          <w:szCs w:val="18"/>
          <w:color w:val="auto"/>
        </w:rPr>
      </w:pPr>
    </w:p>
    <w:p>
      <w:pPr>
        <w:ind w:left="360" w:right="380" w:firstLine="269"/>
        <w:spacing w:after="0" w:line="277" w:lineRule="auto"/>
        <w:tabs>
          <w:tab w:leader="none" w:pos="8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maximum number of Shares of the Share Authorization that may be granted to Nonemployee Directors shall be one million (1,000,000) Shares.</w:t>
      </w:r>
    </w:p>
    <w:p>
      <w:pPr>
        <w:spacing w:after="0" w:line="62" w:lineRule="exact"/>
        <w:rPr>
          <w:sz w:val="20"/>
          <w:szCs w:val="20"/>
          <w:color w:val="auto"/>
        </w:rPr>
      </w:pPr>
    </w:p>
    <w:p>
      <w:pPr>
        <w:ind w:right="40" w:firstLine="270"/>
        <w:spacing w:after="0" w:line="273"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i w:val="1"/>
          <w:iCs w:val="1"/>
          <w:color w:val="auto"/>
        </w:rPr>
        <w:t>Share Usage.</w:t>
      </w:r>
      <w:r>
        <w:rPr>
          <w:rFonts w:ascii="Arial" w:cs="Arial" w:eastAsia="Arial" w:hAnsi="Arial"/>
          <w:sz w:val="17"/>
          <w:szCs w:val="17"/>
          <w:color w:val="auto"/>
        </w:rPr>
        <w:t xml:space="preserve"> Shares covered by an Award shall only be counted as used to the extent they are actually issued; however, the full number of Stock Appreciation Rights granted that are to be settled by the issuance of Shares shall be counted against the number of Shares available for award under the Plan, regardless of the number of Shares actually issued upon settlement of such Stock Appreciation Rights. Any Shares related to Awards which terminate by expiration, forfeiture, cancellation, or otherwise without the issuance of such Shares, are settled in cash in lieu of Shares, or are exchanged with the Committee’s permission, prior to the issuance of Shares, for Awards not involving Shares, shall be available again for grant under this Plan. The Shares available for issuance under this Plan may be authorized and unissued Shares or treasury Shares.</w:t>
      </w:r>
    </w:p>
    <w:p>
      <w:pPr>
        <w:spacing w:after="0" w:line="70" w:lineRule="exact"/>
        <w:rPr>
          <w:sz w:val="20"/>
          <w:szCs w:val="20"/>
          <w:color w:val="auto"/>
        </w:rPr>
      </w:pPr>
    </w:p>
    <w:p>
      <w:pPr>
        <w:ind w:right="200" w:firstLine="270"/>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Annual Award Limits.</w:t>
      </w:r>
      <w:r>
        <w:rPr>
          <w:rFonts w:ascii="Arial" w:cs="Arial" w:eastAsia="Arial" w:hAnsi="Arial"/>
          <w:sz w:val="18"/>
          <w:szCs w:val="18"/>
          <w:color w:val="auto"/>
        </w:rPr>
        <w:t xml:space="preserve"> Unless and until the Committee determines that an Award to a Covered Employee shall not be designed to qualify as Performance-Based Compensation, the following limits (each an “Annual Award Limit” and, collectively, “Annual Award Limits”) shall apply to grants of such Awards under this Plan:</w:t>
      </w:r>
    </w:p>
    <w:p>
      <w:pPr>
        <w:spacing w:after="0" w:line="73" w:lineRule="exact"/>
        <w:rPr>
          <w:sz w:val="20"/>
          <w:szCs w:val="20"/>
          <w:color w:val="auto"/>
        </w:rPr>
      </w:pPr>
    </w:p>
    <w:p>
      <w:pPr>
        <w:ind w:left="360" w:right="60" w:firstLine="269"/>
        <w:spacing w:after="0" w:line="277" w:lineRule="auto"/>
        <w:tabs>
          <w:tab w:leader="none" w:pos="874"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The maximum aggregate number of Shares subject to Options granted in any one Plan Year to any one Participant shall be two hundred</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(200,000), as adjusted pursuant to Sections 4.4 and/or 18.2.</w:t>
      </w:r>
    </w:p>
    <w:p>
      <w:pPr>
        <w:spacing w:after="0" w:line="75" w:lineRule="exact"/>
        <w:rPr>
          <w:rFonts w:ascii="Arial" w:cs="Arial" w:eastAsia="Arial" w:hAnsi="Arial"/>
          <w:sz w:val="18"/>
          <w:szCs w:val="18"/>
          <w:color w:val="auto"/>
        </w:rPr>
      </w:pPr>
    </w:p>
    <w:p>
      <w:pPr>
        <w:ind w:left="360" w:right="280" w:firstLine="269"/>
        <w:spacing w:after="0" w:line="277" w:lineRule="auto"/>
        <w:tabs>
          <w:tab w:leader="none" w:pos="88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SARs: </w:t>
      </w:r>
      <w:r>
        <w:rPr>
          <w:rFonts w:ascii="Arial" w:cs="Arial" w:eastAsia="Arial" w:hAnsi="Arial"/>
          <w:sz w:val="18"/>
          <w:szCs w:val="18"/>
          <w:color w:val="auto"/>
        </w:rPr>
        <w:t>The maximum number of Shares subject to Stock Appreciation Rights granted in any one Plan Year to any one Participant shall be two</w:t>
      </w:r>
      <w:r>
        <w:rPr>
          <w:rFonts w:ascii="Arial" w:cs="Arial" w:eastAsia="Arial" w:hAnsi="Arial"/>
          <w:sz w:val="18"/>
          <w:szCs w:val="18"/>
          <w:i w:val="1"/>
          <w:iCs w:val="1"/>
          <w:color w:val="auto"/>
        </w:rPr>
        <w:t xml:space="preserve"> </w:t>
      </w:r>
      <w:r>
        <w:rPr>
          <w:rFonts w:ascii="Arial" w:cs="Arial" w:eastAsia="Arial" w:hAnsi="Arial"/>
          <w:sz w:val="18"/>
          <w:szCs w:val="18"/>
          <w:color w:val="auto"/>
        </w:rPr>
        <w:t>hundred thousand (200,000), as adjusted pursuant to Sections 4.4 and/or 18.2.</w:t>
      </w:r>
    </w:p>
    <w:p>
      <w:pPr>
        <w:spacing w:after="0" w:line="75" w:lineRule="exact"/>
        <w:rPr>
          <w:rFonts w:ascii="Arial" w:cs="Arial" w:eastAsia="Arial" w:hAnsi="Arial"/>
          <w:sz w:val="18"/>
          <w:szCs w:val="18"/>
          <w:color w:val="auto"/>
        </w:rPr>
      </w:pPr>
    </w:p>
    <w:p>
      <w:pPr>
        <w:ind w:left="360" w:firstLine="269"/>
        <w:spacing w:after="0" w:line="308" w:lineRule="auto"/>
        <w:tabs>
          <w:tab w:leader="none" w:pos="874"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Restricted Stock or Restricted Stock Units: </w:t>
      </w:r>
      <w:r>
        <w:rPr>
          <w:rFonts w:ascii="Arial" w:cs="Arial" w:eastAsia="Arial" w:hAnsi="Arial"/>
          <w:sz w:val="17"/>
          <w:szCs w:val="17"/>
          <w:color w:val="auto"/>
        </w:rPr>
        <w:t>The maximum aggregate grant with respect to Awards of Restricted Stock or Restricted Stock Units in</w:t>
      </w:r>
      <w:r>
        <w:rPr>
          <w:rFonts w:ascii="Arial" w:cs="Arial" w:eastAsia="Arial" w:hAnsi="Arial"/>
          <w:sz w:val="17"/>
          <w:szCs w:val="17"/>
          <w:i w:val="1"/>
          <w:iCs w:val="1"/>
          <w:color w:val="auto"/>
        </w:rPr>
        <w:t xml:space="preserve"> </w:t>
      </w:r>
      <w:r>
        <w:rPr>
          <w:rFonts w:ascii="Arial" w:cs="Arial" w:eastAsia="Arial" w:hAnsi="Arial"/>
          <w:sz w:val="17"/>
          <w:szCs w:val="17"/>
          <w:color w:val="auto"/>
        </w:rPr>
        <w:t>any one Plan Year to any one Participant shall be one hundred thousand (100,000), as adjusted pursuant to Sections 4.4 and/or 18.2.</w:t>
      </w:r>
    </w:p>
    <w:p>
      <w:pPr>
        <w:spacing w:after="0" w:line="51" w:lineRule="exact"/>
        <w:rPr>
          <w:rFonts w:ascii="Arial" w:cs="Arial" w:eastAsia="Arial" w:hAnsi="Arial"/>
          <w:sz w:val="17"/>
          <w:szCs w:val="17"/>
          <w:color w:val="auto"/>
        </w:rPr>
      </w:pPr>
    </w:p>
    <w:p>
      <w:pPr>
        <w:ind w:left="360" w:right="60" w:firstLine="269"/>
        <w:spacing w:after="0" w:line="342" w:lineRule="auto"/>
        <w:tabs>
          <w:tab w:leader="none" w:pos="885"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Performance Units or Performance Shares: </w:t>
      </w:r>
      <w:r>
        <w:rPr>
          <w:rFonts w:ascii="Arial" w:cs="Arial" w:eastAsia="Arial" w:hAnsi="Arial"/>
          <w:sz w:val="16"/>
          <w:szCs w:val="16"/>
          <w:color w:val="auto"/>
        </w:rPr>
        <w:t>The maximum aggregate Award of Performance Units or Performance Shares that a Participant may</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in any one Plan Year shall be one hundred thousand (100,000) Shares, as adjusted pursuant to Sections 4.4 and/or 18.2, or</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28" w:name="page29"/>
    <w:bookmarkEnd w:id="28"/>
    <w:p>
      <w:pPr>
        <w:ind w:left="360" w:right="300"/>
        <w:spacing w:after="0" w:line="277" w:lineRule="auto"/>
        <w:rPr>
          <w:sz w:val="20"/>
          <w:szCs w:val="20"/>
          <w:color w:val="auto"/>
        </w:rPr>
      </w:pPr>
      <w:r>
        <w:rPr>
          <w:rFonts w:ascii="Arial" w:cs="Arial" w:eastAsia="Arial" w:hAnsi="Arial"/>
          <w:sz w:val="18"/>
          <w:szCs w:val="18"/>
          <w:color w:val="auto"/>
        </w:rPr>
        <w:t>equal to the value of one hundred thousand (100,000) Shares, as adjusted pursuant to Sections 4.4 and/or 18.2, determined as of the date of vesting or payout, as applicable.</w:t>
      </w:r>
    </w:p>
    <w:p>
      <w:pPr>
        <w:spacing w:after="0" w:line="76" w:lineRule="exact"/>
        <w:rPr>
          <w:sz w:val="20"/>
          <w:szCs w:val="20"/>
          <w:color w:val="auto"/>
        </w:rPr>
      </w:pPr>
    </w:p>
    <w:p>
      <w:pPr>
        <w:jc w:val="both"/>
        <w:ind w:left="360" w:right="120" w:firstLine="269"/>
        <w:spacing w:after="0" w:line="264" w:lineRule="auto"/>
        <w:tabs>
          <w:tab w:leader="none" w:pos="874"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Cash-Based Awards: </w:t>
      </w:r>
      <w:r>
        <w:rPr>
          <w:rFonts w:ascii="Arial" w:cs="Arial" w:eastAsia="Arial" w:hAnsi="Arial"/>
          <w:sz w:val="18"/>
          <w:szCs w:val="18"/>
          <w:color w:val="auto"/>
        </w:rPr>
        <w:t>The maximum aggregate amount awarded or credited with respect to Cash-Based Awards to any one Participant in any one</w:t>
      </w:r>
      <w:r>
        <w:rPr>
          <w:rFonts w:ascii="Arial" w:cs="Arial" w:eastAsia="Arial" w:hAnsi="Arial"/>
          <w:sz w:val="18"/>
          <w:szCs w:val="18"/>
          <w:i w:val="1"/>
          <w:iCs w:val="1"/>
          <w:color w:val="auto"/>
        </w:rPr>
        <w:t xml:space="preserve"> </w:t>
      </w:r>
      <w:r>
        <w:rPr>
          <w:rFonts w:ascii="Arial" w:cs="Arial" w:eastAsia="Arial" w:hAnsi="Arial"/>
          <w:sz w:val="18"/>
          <w:szCs w:val="18"/>
          <w:color w:val="auto"/>
        </w:rPr>
        <w:t>Plan Year may not exceed the greater of the value of three million dollars ($3,000,000) or one hundred thousand (100,000) Shares, as adjusted pursuant to Sections 4.4 and/or 18.2, determined as of the date of vesting or payout, as applicable.</w:t>
      </w:r>
    </w:p>
    <w:p>
      <w:pPr>
        <w:spacing w:after="0" w:line="86" w:lineRule="exact"/>
        <w:rPr>
          <w:rFonts w:ascii="Arial" w:cs="Arial" w:eastAsia="Arial" w:hAnsi="Arial"/>
          <w:sz w:val="18"/>
          <w:szCs w:val="18"/>
          <w:color w:val="auto"/>
        </w:rPr>
      </w:pPr>
    </w:p>
    <w:p>
      <w:pPr>
        <w:ind w:left="360" w:right="280" w:firstLine="269"/>
        <w:spacing w:after="0" w:line="308" w:lineRule="auto"/>
        <w:tabs>
          <w:tab w:leader="none" w:pos="855"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Other Stock-Based Awards. </w:t>
      </w:r>
      <w:r>
        <w:rPr>
          <w:rFonts w:ascii="Arial" w:cs="Arial" w:eastAsia="Arial" w:hAnsi="Arial"/>
          <w:sz w:val="17"/>
          <w:szCs w:val="17"/>
          <w:color w:val="auto"/>
        </w:rPr>
        <w:t>The maximum aggregate grant with respect to Other Stock-Based Awards pursuant to Section 10.2 in any one Plan</w:t>
      </w:r>
      <w:r>
        <w:rPr>
          <w:rFonts w:ascii="Arial" w:cs="Arial" w:eastAsia="Arial" w:hAnsi="Arial"/>
          <w:sz w:val="17"/>
          <w:szCs w:val="17"/>
          <w:i w:val="1"/>
          <w:iCs w:val="1"/>
          <w:color w:val="auto"/>
        </w:rPr>
        <w:t xml:space="preserve"> </w:t>
      </w:r>
      <w:r>
        <w:rPr>
          <w:rFonts w:ascii="Arial" w:cs="Arial" w:eastAsia="Arial" w:hAnsi="Arial"/>
          <w:sz w:val="17"/>
          <w:szCs w:val="17"/>
          <w:color w:val="auto"/>
        </w:rPr>
        <w:t>Year to any one Participant shall be one hundred fifty thousand (150,000) Shares, as adjusted pursuant to Sections 4.4 and/or 18.2.</w:t>
      </w:r>
    </w:p>
    <w:p>
      <w:pPr>
        <w:spacing w:after="0" w:line="147" w:lineRule="exact"/>
        <w:rPr>
          <w:sz w:val="20"/>
          <w:szCs w:val="20"/>
          <w:color w:val="auto"/>
        </w:rPr>
      </w:pPr>
    </w:p>
    <w:p>
      <w:pPr>
        <w:ind w:right="140" w:firstLine="270"/>
        <w:spacing w:after="0" w:line="271"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i w:val="1"/>
          <w:iCs w:val="1"/>
          <w:color w:val="auto"/>
        </w:rPr>
        <w:t>Adjustments in Authorized Shares.</w:t>
      </w:r>
      <w:r>
        <w:rPr>
          <w:rFonts w:ascii="Arial" w:cs="Arial" w:eastAsia="Arial" w:hAnsi="Arial"/>
          <w:sz w:val="17"/>
          <w:szCs w:val="17"/>
          <w:color w:val="auto"/>
        </w:rPr>
        <w:t xml:space="preserve"> In the event of any corporate event or transaction (including, but not limited to, a change in the Shares of the Company or the capitalization of the Company) such as a merger, consolidation, reorganization, recapitalization, separation, partial or complete liquidation, stock dividend, stock split, reverse stock split, split up, spin-off, or other distribution of stock or property of the Company, combination of Shares, exchange of Shares, dividend in kind, or other like change in capital structure, number of outstanding Shares or distribution (other than normal cash dividends) to shareholders of the Company, or any similar corporate event or transaction, the Committee, in its sole discretion, in order to prevent dilution or enlargement of Participants’ rights under this Plan, shall substitute or adjust, as applicable, the number and kind of Shares that may be issued under this Plan or under particular forms of Awards, the number and kind of Shares subject to outstanding Awards, the Option Price or Grant Price applicable to outstanding Awards, the Annual Award Limits, and other value determinations applicable to outstanding Awards.</w:t>
      </w:r>
    </w:p>
    <w:p>
      <w:pPr>
        <w:spacing w:after="0" w:line="71" w:lineRule="exact"/>
        <w:rPr>
          <w:sz w:val="20"/>
          <w:szCs w:val="20"/>
          <w:color w:val="auto"/>
        </w:rPr>
      </w:pPr>
    </w:p>
    <w:p>
      <w:pPr>
        <w:ind w:right="160" w:firstLine="267"/>
        <w:spacing w:after="0" w:line="259" w:lineRule="auto"/>
        <w:rPr>
          <w:sz w:val="20"/>
          <w:szCs w:val="20"/>
          <w:color w:val="auto"/>
        </w:rPr>
      </w:pPr>
      <w:r>
        <w:rPr>
          <w:rFonts w:ascii="Arial" w:cs="Arial" w:eastAsia="Arial" w:hAnsi="Arial"/>
          <w:sz w:val="18"/>
          <w:szCs w:val="18"/>
          <w:color w:val="auto"/>
        </w:rPr>
        <w:t>The Committee, in its sole discretion, may also make appropriate adjustments in the terms of any Awards under this Plan to reflect or related to such changes or distributions and to modify any other terms of outstanding Awards, including modifications of performance goals and changes in the length of Performance Periods. The determination of the Committee as to the foregoing adjustments, if any, shall be conclusive and binding on Participants under this Plan.</w:t>
      </w:r>
    </w:p>
    <w:p>
      <w:pPr>
        <w:spacing w:after="0" w:line="79" w:lineRule="exact"/>
        <w:rPr>
          <w:sz w:val="20"/>
          <w:szCs w:val="20"/>
          <w:color w:val="auto"/>
        </w:rPr>
      </w:pPr>
    </w:p>
    <w:p>
      <w:pPr>
        <w:ind w:right="200" w:firstLine="270"/>
        <w:spacing w:after="0" w:line="257" w:lineRule="auto"/>
        <w:rPr>
          <w:sz w:val="20"/>
          <w:szCs w:val="20"/>
          <w:color w:val="auto"/>
        </w:rPr>
      </w:pPr>
      <w:r>
        <w:rPr>
          <w:rFonts w:ascii="Arial" w:cs="Arial" w:eastAsia="Arial" w:hAnsi="Arial"/>
          <w:sz w:val="18"/>
          <w:szCs w:val="18"/>
          <w:color w:val="auto"/>
        </w:rPr>
        <w:t>Subject to the provisions of Article 18 and notwithstanding anything else herein to the contrary, without affecting the number of Shares reserved or available hereunder, the Committee may authorize the issuance or assumption of benefits under this Plan in connection with any merger, consolidation, acquisition of property or stock, or reorganization upon such terms and conditions as it may deem appropriate (including, but not limited to, a conversion of equity awards into Awards under this Plan in a manner consistent with paragraph 53 of FASB Interpretation No. 44), subject to compliance with the rules under Code Sections 422 and 424, as and where applicable.</w:t>
      </w:r>
    </w:p>
    <w:p>
      <w:pPr>
        <w:spacing w:after="0" w:line="29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Article 5.</w:t>
      </w:r>
    </w:p>
    <w:p>
      <w:pPr>
        <w:spacing w:after="0" w:line="11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Eligibility and Participation</w:t>
      </w:r>
    </w:p>
    <w:p>
      <w:pPr>
        <w:spacing w:after="0" w:line="121"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i w:val="1"/>
          <w:iCs w:val="1"/>
          <w:color w:val="auto"/>
        </w:rPr>
        <w:t xml:space="preserve">Eligibility. </w:t>
      </w:r>
      <w:r>
        <w:rPr>
          <w:rFonts w:ascii="Arial" w:cs="Arial" w:eastAsia="Arial" w:hAnsi="Arial"/>
          <w:sz w:val="16"/>
          <w:szCs w:val="16"/>
          <w:color w:val="auto"/>
        </w:rPr>
        <w:t>Individuals eligible to participate in this Plan include all Employees, Directors, and Third Party Service Providers.</w:t>
      </w:r>
    </w:p>
    <w:p>
      <w:pPr>
        <w:spacing w:after="0" w:line="117"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Actual Participation.</w:t>
      </w:r>
      <w:r>
        <w:rPr>
          <w:rFonts w:ascii="Arial" w:cs="Arial" w:eastAsia="Arial" w:hAnsi="Arial"/>
          <w:sz w:val="18"/>
          <w:szCs w:val="18"/>
          <w:color w:val="auto"/>
        </w:rPr>
        <w:t xml:space="preserve"> Subject to the provisions of this Plan, the Committee may, from time to time, select from all eligible individuals, those individuals to whom Awards shall be granted and shall determine, in its sole discretion, the nature of, any and all terms permissible by law, and the amount of each Award.</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firstLine="270"/>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Grant of Options.</w:t>
      </w:r>
      <w:r>
        <w:rPr>
          <w:rFonts w:ascii="Arial" w:cs="Arial" w:eastAsia="Arial" w:hAnsi="Arial"/>
          <w:sz w:val="17"/>
          <w:szCs w:val="17"/>
          <w:color w:val="auto"/>
        </w:rPr>
        <w:t xml:space="preserve"> Subject to the terms and provisions of this Plan, Options may be granted to Participants in such number, and upon such terms, and at any time and from time to time as shall be determined by the Committee, in its sole discretion; provided that ISOs may be granted only to eligible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Employees of the Company or of any parent or subsidiary corporation (as permitted under Code Sections 422 and 424).</w:t>
      </w:r>
    </w:p>
    <w:p>
      <w:pPr>
        <w:spacing w:after="0" w:line="117"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Award Agreement.</w:t>
      </w:r>
      <w:r>
        <w:rPr>
          <w:rFonts w:ascii="Arial" w:cs="Arial" w:eastAsia="Arial" w:hAnsi="Arial"/>
          <w:sz w:val="18"/>
          <w:szCs w:val="18"/>
          <w:color w:val="auto"/>
        </w:rPr>
        <w:t xml:space="preserve"> Each Option grant shall be evidenced by an Award Agreement that shall specify the Option Price, the maximum duration of the Option, the number of Shares to which the Option pertains, the conditions upon which an Option shall become vested and exercisable, and such other provisions as the Committee shall determine which are not inconsistent with the terms of this Plan. The Award Agreement also shall specify whether the Option is intended to be an ISO or a NQSO.</w:t>
      </w:r>
    </w:p>
    <w:p>
      <w:pPr>
        <w:spacing w:after="0" w:line="79"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Option Price.</w:t>
      </w:r>
      <w:r>
        <w:rPr>
          <w:rFonts w:ascii="Arial" w:cs="Arial" w:eastAsia="Arial" w:hAnsi="Arial"/>
          <w:sz w:val="18"/>
          <w:szCs w:val="18"/>
          <w:color w:val="auto"/>
        </w:rPr>
        <w:t xml:space="preserve"> The Option Price for each grant of an Option under this Plan shall be determined by the Committee in its sole discretion and shall be specified in the Award Agreement; provided, however, the Option Price must be at least equal to one hundred percent (100%) of the FMV of the Shares as determined on the Grant Date.</w:t>
      </w:r>
    </w:p>
    <w:p>
      <w:pPr>
        <w:spacing w:after="0" w:line="73"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Term of Options.</w:t>
      </w:r>
      <w:r>
        <w:rPr>
          <w:rFonts w:ascii="Arial" w:cs="Arial" w:eastAsia="Arial" w:hAnsi="Arial"/>
          <w:sz w:val="18"/>
          <w:szCs w:val="18"/>
          <w:color w:val="auto"/>
        </w:rPr>
        <w:t xml:space="preserve"> Each Option granted to a Participant shall expire at such time as the Committee shall determine at the time of grant; provided, however, no Option shall be exercisable later than the day before the tenth (10th) anniversary date of its grant. Notwithstanding the foregoing, for Nonqualified Stock Options granted to Participants outside the United States, the Committee has the authority to grant Nonqualified Stock Options that have a term greater than ten (10) years.</w:t>
      </w:r>
    </w:p>
    <w:p>
      <w:pPr>
        <w:spacing w:after="0" w:line="79" w:lineRule="exact"/>
        <w:rPr>
          <w:sz w:val="20"/>
          <w:szCs w:val="20"/>
          <w:color w:val="auto"/>
        </w:rPr>
      </w:pPr>
    </w:p>
    <w:p>
      <w:pPr>
        <w:ind w:right="100" w:firstLine="270"/>
        <w:spacing w:after="0" w:line="308"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i w:val="1"/>
          <w:iCs w:val="1"/>
          <w:color w:val="auto"/>
        </w:rPr>
        <w:t>Exercise of Options.</w:t>
      </w:r>
      <w:r>
        <w:rPr>
          <w:rFonts w:ascii="Arial" w:cs="Arial" w:eastAsia="Arial" w:hAnsi="Arial"/>
          <w:sz w:val="17"/>
          <w:szCs w:val="17"/>
          <w:color w:val="auto"/>
        </w:rPr>
        <w:t xml:space="preserve"> Options granted under this Article 6 shall be exercisable at such times and be subject to such restrictions and conditions as the Committee shall in each instance approve, which terms and restrictions need not be the same for each grant or for each Participant.</w:t>
      </w:r>
    </w:p>
    <w:p>
      <w:pPr>
        <w:spacing w:after="0" w:line="38" w:lineRule="exact"/>
        <w:rPr>
          <w:sz w:val="20"/>
          <w:szCs w:val="20"/>
          <w:color w:val="auto"/>
        </w:rPr>
      </w:pPr>
    </w:p>
    <w:p>
      <w:pPr>
        <w:ind w:firstLine="270"/>
        <w:spacing w:after="0" w:line="286"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i w:val="1"/>
          <w:iCs w:val="1"/>
          <w:color w:val="auto"/>
        </w:rPr>
        <w:t>Payment.</w:t>
      </w:r>
      <w:r>
        <w:rPr>
          <w:rFonts w:ascii="Arial" w:cs="Arial" w:eastAsia="Arial" w:hAnsi="Arial"/>
          <w:sz w:val="17"/>
          <w:szCs w:val="17"/>
          <w:color w:val="auto"/>
        </w:rPr>
        <w:t xml:space="preserve"> Options granted under this Article 6 shall be exercised by the delivery of a notice of exercise to the Company or an agent designated by the Company in a form specified or accepted by the Committee, or by complying with any alternative procedures which may be authorized by the Committee, setting forth the number of Shares with respect to which the Option is to be exercised, accompanied by full payment for the Shares.</w:t>
      </w:r>
    </w:p>
    <w:p>
      <w:pPr>
        <w:spacing w:after="0" w:line="57" w:lineRule="exact"/>
        <w:rPr>
          <w:sz w:val="20"/>
          <w:szCs w:val="20"/>
          <w:color w:val="auto"/>
        </w:rPr>
      </w:pPr>
    </w:p>
    <w:p>
      <w:pPr>
        <w:ind w:right="40" w:firstLine="260"/>
        <w:spacing w:after="0" w:line="255" w:lineRule="auto"/>
        <w:rPr>
          <w:sz w:val="20"/>
          <w:szCs w:val="20"/>
          <w:color w:val="auto"/>
        </w:rPr>
      </w:pPr>
      <w:r>
        <w:rPr>
          <w:rFonts w:ascii="Arial" w:cs="Arial" w:eastAsia="Arial" w:hAnsi="Arial"/>
          <w:sz w:val="18"/>
          <w:szCs w:val="18"/>
          <w:color w:val="auto"/>
        </w:rPr>
        <w:t>A condition of the issuance of the Shares as to which an Option shall be exercised shall be the payment of the Option Price. The Option Price of any Option shall be payable to the Company in full either: (a) in cash or its equivalent; (b) by tendering (either by actual delivery or attestation) previously acquired Shares having an aggregate Fair Market Value at the time of exercise equal to the Option Price (provided that except as otherwise determined by the Committee, the Shares that are tendered must have been held by the Participant for at least six (6) months (or such other period, if any, as the Committee may permit) prior to their tender to satisfy the Option Price if acquired under this Plan or any other compensation plan maintained by the Company or have been purchased on the open market); (c) by a cashless (broker-assisted) exercise; (d) by a combination of (a), (b) and/or (c); or (e) any other method approved or accepted by the Committee in its sole discretion.</w:t>
      </w:r>
    </w:p>
    <w:p>
      <w:pPr>
        <w:spacing w:after="0" w:line="81"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Subject to any governing rules or regulations, as soon as practicable after receipt of written notification of exercise and full payment (including satisfaction of any applicable tax withholding), the Company shall deliver to the Participant evidence of book entry Shares, or upon the Participant’s request, Share certificates in an appropriate amount based upon the number of Shares purchased under the Option(s).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Unless otherwise determined by the Committee, all payments under all of the methods indicated above shall be paid in United States dollars.</w:t>
      </w:r>
    </w:p>
    <w:p>
      <w:pPr>
        <w:spacing w:after="0" w:line="129"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Restrictions on Share Transferability.</w:t>
      </w:r>
      <w:r>
        <w:rPr>
          <w:rFonts w:ascii="Arial" w:cs="Arial" w:eastAsia="Arial" w:hAnsi="Arial"/>
          <w:sz w:val="18"/>
          <w:szCs w:val="18"/>
          <w:color w:val="auto"/>
        </w:rPr>
        <w:t xml:space="preserve"> The Committee may impose such restrictions on any Shares acquired pursuant to the exercise of an Option granted under this Article 6 as it may deem advisable, including, without limitation, minimum holding period requirements, restrictions under applicable federal securities laws, under the requirements of any stock exchange or market upon which such Shares are then listed and/or traded, or under any blue sky or state securities laws applicable to such Shares.</w:t>
      </w:r>
    </w:p>
    <w:p>
      <w:pPr>
        <w:spacing w:after="0" w:line="79"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color w:val="auto"/>
        </w:rPr>
        <w:t>Termination of Employment.</w:t>
      </w:r>
      <w:r>
        <w:rPr>
          <w:rFonts w:ascii="Arial" w:cs="Arial" w:eastAsia="Arial" w:hAnsi="Arial"/>
          <w:sz w:val="18"/>
          <w:szCs w:val="18"/>
          <w:color w:val="auto"/>
        </w:rPr>
        <w:t xml:space="preserve"> Each Participant’s Award Agreement shall set forth the extent to which the Participant shall have the right to exercise the Option following termination of the Participant’s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0" w:name="page31"/>
    <w:bookmarkEnd w:id="30"/>
    <w:p>
      <w:pPr>
        <w:spacing w:after="0" w:line="264" w:lineRule="auto"/>
        <w:rPr>
          <w:sz w:val="20"/>
          <w:szCs w:val="20"/>
          <w:color w:val="auto"/>
        </w:rPr>
      </w:pPr>
      <w:r>
        <w:rPr>
          <w:rFonts w:ascii="Arial" w:cs="Arial" w:eastAsia="Arial" w:hAnsi="Arial"/>
          <w:sz w:val="18"/>
          <w:szCs w:val="18"/>
          <w:color w:val="auto"/>
        </w:rPr>
        <w:t>employment or provision of services to the Company, its Affiliates, and/or its Subsidiaries, as the case may be. Such provisions shall be determined in the sole discretion of the Committee, shall be included in the Award Agreement entered into with each Participant, need not be uniform among all Options issued pursuant to this Article 6, and may reflect distinctions based on the reasons for termination.</w:t>
      </w:r>
    </w:p>
    <w:p>
      <w:pPr>
        <w:spacing w:after="0" w:line="7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i w:val="1"/>
          <w:iCs w:val="1"/>
          <w:color w:val="auto"/>
        </w:rPr>
        <w:t>Notification of Disqualifying Disposition.</w:t>
      </w:r>
      <w:r>
        <w:rPr>
          <w:rFonts w:ascii="Arial" w:cs="Arial" w:eastAsia="Arial" w:hAnsi="Arial"/>
          <w:sz w:val="18"/>
          <w:szCs w:val="18"/>
          <w:color w:val="auto"/>
        </w:rPr>
        <w:t xml:space="preserve"> If any Participant shall make any disposition of Shares issued pursuant to the exercise of an ISO under the circumstances described in Code Section 421(b) (relating to certain disqualifying dispositions), such Participant shall notify the Company of such disposition within ten (10) calendar days thereof.</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Appreciation Rights</w:t>
      </w:r>
    </w:p>
    <w:p>
      <w:pPr>
        <w:spacing w:after="0" w:line="121"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Grant of SARs.</w:t>
      </w:r>
      <w:r>
        <w:rPr>
          <w:rFonts w:ascii="Arial" w:cs="Arial" w:eastAsia="Arial" w:hAnsi="Arial"/>
          <w:sz w:val="18"/>
          <w:szCs w:val="18"/>
          <w:color w:val="auto"/>
        </w:rPr>
        <w:t xml:space="preserve"> Subject to the terms and conditions of this Plan, SARs may be granted to Participants at any time and from time to time as shall be determined by the Committee.</w:t>
      </w:r>
    </w:p>
    <w:p>
      <w:pPr>
        <w:spacing w:after="0" w:line="62" w:lineRule="exact"/>
        <w:rPr>
          <w:sz w:val="20"/>
          <w:szCs w:val="20"/>
          <w:color w:val="auto"/>
        </w:rPr>
      </w:pPr>
    </w:p>
    <w:p>
      <w:pPr>
        <w:ind w:right="580" w:firstLine="270"/>
        <w:spacing w:after="0" w:line="308" w:lineRule="auto"/>
        <w:rPr>
          <w:sz w:val="20"/>
          <w:szCs w:val="20"/>
          <w:color w:val="auto"/>
        </w:rPr>
      </w:pPr>
      <w:r>
        <w:rPr>
          <w:rFonts w:ascii="Arial" w:cs="Arial" w:eastAsia="Arial" w:hAnsi="Arial"/>
          <w:sz w:val="17"/>
          <w:szCs w:val="17"/>
          <w:color w:val="auto"/>
        </w:rPr>
        <w:t>Subject to the terms and conditions of this Plan, the Committee shall have complete discretion in determining the number of SARs granted to each Participant and, consistent with the provisions of this Plan, in determining the terms and conditions pertaining to such SARs.</w:t>
      </w:r>
    </w:p>
    <w:p>
      <w:pPr>
        <w:spacing w:after="0" w:line="38" w:lineRule="exact"/>
        <w:rPr>
          <w:sz w:val="20"/>
          <w:szCs w:val="20"/>
          <w:color w:val="auto"/>
        </w:rPr>
      </w:pPr>
    </w:p>
    <w:p>
      <w:pPr>
        <w:ind w:right="260" w:firstLine="267"/>
        <w:spacing w:after="0" w:line="342" w:lineRule="auto"/>
        <w:rPr>
          <w:sz w:val="20"/>
          <w:szCs w:val="20"/>
          <w:color w:val="auto"/>
        </w:rPr>
      </w:pPr>
      <w:r>
        <w:rPr>
          <w:rFonts w:ascii="Arial" w:cs="Arial" w:eastAsia="Arial" w:hAnsi="Arial"/>
          <w:sz w:val="16"/>
          <w:szCs w:val="16"/>
          <w:color w:val="auto"/>
        </w:rPr>
        <w:t>The Grant Price for each grant of a SAR shall be determined by the Committee and shall be specified in the Award Agreement; provided, however, the Grant Price on the Grant Date must be at least equal to one hundred percent (100%) of the FMV of the Shares as determined on the Grant Date.</w:t>
      </w:r>
    </w:p>
    <w:p>
      <w:pPr>
        <w:spacing w:after="0" w:line="16"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SAR Agreement.</w:t>
      </w:r>
      <w:r>
        <w:rPr>
          <w:rFonts w:ascii="Arial" w:cs="Arial" w:eastAsia="Arial" w:hAnsi="Arial"/>
          <w:sz w:val="18"/>
          <w:szCs w:val="18"/>
          <w:color w:val="auto"/>
        </w:rPr>
        <w:t xml:space="preserve"> Each SAR Award shall be evidenced by an Award Agreement that shall specify the Grant Price, the term of the SAR, and such other provisions as the Committee shall determine.</w:t>
      </w:r>
    </w:p>
    <w:p>
      <w:pPr>
        <w:spacing w:after="0" w:line="62"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Term of SAR.</w:t>
      </w:r>
      <w:r>
        <w:rPr>
          <w:rFonts w:ascii="Arial" w:cs="Arial" w:eastAsia="Arial" w:hAnsi="Arial"/>
          <w:sz w:val="18"/>
          <w:szCs w:val="18"/>
          <w:color w:val="auto"/>
        </w:rPr>
        <w:t xml:space="preserve"> The term of a SAR granted under this Plan shall be determined by the Committee, in its sole discretion, and except as determined otherwise by the Committee and specified in the SAR Award Agreement, no SAR shall be exercisable later than the tenth (10th) anniversary date of its grant. Notwithstanding the foregoing, for SARs granted to Participants outside the United States, the Committee has the authority to grant SARs that have a term greater than ten (10) years.</w:t>
      </w:r>
    </w:p>
    <w:p>
      <w:pPr>
        <w:spacing w:after="0" w:line="79"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 xml:space="preserve">Exercise of SARs. </w:t>
      </w:r>
      <w:r>
        <w:rPr>
          <w:rFonts w:ascii="Arial" w:cs="Arial" w:eastAsia="Arial" w:hAnsi="Arial"/>
          <w:sz w:val="16"/>
          <w:szCs w:val="16"/>
          <w:color w:val="auto"/>
        </w:rPr>
        <w:t>SARs may be exercised upon whatever terms and conditions the Committee, in its sole discretion, imposes.</w:t>
      </w:r>
    </w:p>
    <w:p>
      <w:pPr>
        <w:spacing w:after="0" w:line="117"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Settlement of SARs.</w:t>
      </w:r>
      <w:r>
        <w:rPr>
          <w:rFonts w:ascii="Arial" w:cs="Arial" w:eastAsia="Arial" w:hAnsi="Arial"/>
          <w:sz w:val="18"/>
          <w:szCs w:val="18"/>
          <w:color w:val="auto"/>
        </w:rPr>
        <w:t xml:space="preserve"> Upon the exercise of a SAR, a Participant shall be entitled to receive payment from the Company in an amount determined by multiplying:</w:t>
      </w:r>
    </w:p>
    <w:p>
      <w:pPr>
        <w:spacing w:after="0" w:line="62" w:lineRule="exact"/>
        <w:rPr>
          <w:sz w:val="20"/>
          <w:szCs w:val="20"/>
          <w:color w:val="auto"/>
        </w:rPr>
      </w:pPr>
    </w:p>
    <w:p>
      <w:pPr>
        <w:ind w:left="880" w:hanging="251"/>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Grant Price; by</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117" w:lineRule="exact"/>
        <w:rPr>
          <w:sz w:val="20"/>
          <w:szCs w:val="20"/>
          <w:color w:val="auto"/>
        </w:rPr>
      </w:pPr>
    </w:p>
    <w:p>
      <w:pPr>
        <w:ind w:right="40" w:firstLine="260"/>
        <w:spacing w:after="0" w:line="264" w:lineRule="auto"/>
        <w:rPr>
          <w:sz w:val="20"/>
          <w:szCs w:val="20"/>
          <w:color w:val="auto"/>
        </w:rPr>
      </w:pPr>
      <w:r>
        <w:rPr>
          <w:rFonts w:ascii="Arial" w:cs="Arial" w:eastAsia="Arial" w:hAnsi="Arial"/>
          <w:sz w:val="18"/>
          <w:szCs w:val="18"/>
          <w:color w:val="auto"/>
        </w:rPr>
        <w:t>At the discretion of the Committee, the payment upon SAR exercise may be in cash, Shares, or any combination thereof, or in any other manner approved by the Committee in its sole discretion. The Committee’s determination regarding the form of SAR payout shall be set forth in the Award Agreement pertaining to the grant of the SAR.</w:t>
      </w:r>
    </w:p>
    <w:p>
      <w:pPr>
        <w:spacing w:after="0" w:line="73" w:lineRule="exact"/>
        <w:rPr>
          <w:sz w:val="20"/>
          <w:szCs w:val="20"/>
          <w:color w:val="auto"/>
        </w:rPr>
      </w:pPr>
    </w:p>
    <w:p>
      <w:pPr>
        <w:ind w:right="40" w:firstLine="270"/>
        <w:spacing w:after="0" w:line="279"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i w:val="1"/>
          <w:iCs w:val="1"/>
          <w:color w:val="auto"/>
        </w:rPr>
        <w:t>Termination of Employment.</w:t>
      </w:r>
      <w:r>
        <w:rPr>
          <w:rFonts w:ascii="Arial" w:cs="Arial" w:eastAsia="Arial" w:hAnsi="Arial"/>
          <w:sz w:val="17"/>
          <w:szCs w:val="17"/>
          <w:color w:val="auto"/>
        </w:rPr>
        <w:t xml:space="preserve"> Each Award Agreement shall set forth the extent to which the Participant shall have the right to exercise the SAR following termination of the Participant’s employment with or provision of services to the Company, its Affiliates, and/or its Subsidiaries, as the case may be. Such provisions shall be determined in the sole discretion of the Committee, shall be included in the Award Agreement entered into with Participants, need not be uniform among all SARs issued pursuant to this Plan, and may reflect distinctions based on the reasons for termination.</w:t>
      </w:r>
    </w:p>
    <w:p>
      <w:pPr>
        <w:spacing w:after="0" w:line="63"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i w:val="1"/>
          <w:iCs w:val="1"/>
          <w:color w:val="auto"/>
        </w:rPr>
        <w:t>Other Restrictions.</w:t>
      </w:r>
      <w:r>
        <w:rPr>
          <w:rFonts w:ascii="Arial" w:cs="Arial" w:eastAsia="Arial" w:hAnsi="Arial"/>
          <w:sz w:val="18"/>
          <w:szCs w:val="18"/>
          <w:color w:val="auto"/>
        </w:rPr>
        <w:t xml:space="preserve"> The Committee shall impose such other conditions and/or restrictions on any Shares received upon exercise of a SAR granted pursuant to this Plan as it may deem advisable or desirable. These restrictions may include, but shall not be limited to, a requirement that the Participant hold the Shares received upon exercise of a SAR for a specified period of time.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121" w:lineRule="exact"/>
        <w:rPr>
          <w:sz w:val="20"/>
          <w:szCs w:val="20"/>
          <w:color w:val="auto"/>
        </w:rPr>
      </w:pPr>
    </w:p>
    <w:p>
      <w:pPr>
        <w:ind w:right="40" w:firstLine="270"/>
        <w:spacing w:after="0" w:line="31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i w:val="1"/>
          <w:iCs w:val="1"/>
          <w:color w:val="auto"/>
        </w:rPr>
        <w:t>Grant of Restricted Stock or Restricted Stock Units.</w:t>
      </w:r>
      <w:r>
        <w:rPr>
          <w:rFonts w:ascii="Arial" w:cs="Arial" w:eastAsia="Arial" w:hAnsi="Arial"/>
          <w:sz w:val="16"/>
          <w:szCs w:val="16"/>
          <w:color w:val="auto"/>
        </w:rPr>
        <w:t xml:space="preserve"> Subject to the terms and provisions of this Plan or an Award Agreement, the Committee, at any time and from time to time, may grant Shares of Restricted Stock and/or Restricted Stock Units to Participants in such amounts as the Committee shall determine. Restricted Stock Units shall be similar to Restricted Stock except that no Shares are actually awarded to the Participant on the Grant Date.</w:t>
      </w:r>
    </w:p>
    <w:p>
      <w:pPr>
        <w:spacing w:after="0" w:line="39"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Restricted Stock or Restricted Stock Unit Agreement.</w:t>
      </w:r>
      <w:r>
        <w:rPr>
          <w:rFonts w:ascii="Arial" w:cs="Arial" w:eastAsia="Arial" w:hAnsi="Arial"/>
          <w:sz w:val="18"/>
          <w:szCs w:val="18"/>
          <w:color w:val="auto"/>
        </w:rPr>
        <w:t xml:space="preserve"> Each Restricted Stock and/or Restricted Stock Unit grant shall be evidenced by an Award Agreement that shall specify the Period(s) of Restriction, the number of Shares of Restricted Stock or the number of Restricted Stock Units granted, and such other provisions as the Committee shall determine.</w:t>
      </w:r>
    </w:p>
    <w:p>
      <w:pPr>
        <w:spacing w:after="0" w:line="73" w:lineRule="exact"/>
        <w:rPr>
          <w:sz w:val="20"/>
          <w:szCs w:val="20"/>
          <w:color w:val="auto"/>
        </w:rPr>
      </w:pPr>
    </w:p>
    <w:p>
      <w:pPr>
        <w:ind w:right="100" w:firstLine="270"/>
        <w:spacing w:after="0" w:line="273"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Other Restrictions.</w:t>
      </w:r>
      <w:r>
        <w:rPr>
          <w:rFonts w:ascii="Arial" w:cs="Arial" w:eastAsia="Arial" w:hAnsi="Arial"/>
          <w:sz w:val="17"/>
          <w:szCs w:val="17"/>
          <w:color w:val="auto"/>
        </w:rPr>
        <w:t xml:space="preserve"> The Committee shall impose such other conditions and/or restrictions on any Shares of Restricted Stock or Restricted Stock Units granted pursuant to this Plan as it may deem advisable including, without limitation, a requirement that Participants pay a stipulated purchase price for each Share of Restricted Stock or each Restricted Stock Unit, restrictions based upon the achievement of specific performance goals, time-based restrictions on vesting following the attainment of the performance goals, time-based restrictions, and/or restrictions under applicable laws or under the requirements of any stock exchange or market upon which such Shares are listed or traded, or holding requirements or sale restrictions placed on the Shares by the Company upon vesting of such Restricted Stock or Restricted Stock Units.</w:t>
      </w:r>
    </w:p>
    <w:p>
      <w:pPr>
        <w:spacing w:after="0" w:line="70" w:lineRule="exact"/>
        <w:rPr>
          <w:sz w:val="20"/>
          <w:szCs w:val="20"/>
          <w:color w:val="auto"/>
        </w:rPr>
      </w:pPr>
    </w:p>
    <w:p>
      <w:pPr>
        <w:ind w:right="200" w:firstLine="267"/>
        <w:spacing w:after="0" w:line="277" w:lineRule="auto"/>
        <w:rPr>
          <w:sz w:val="20"/>
          <w:szCs w:val="20"/>
          <w:color w:val="auto"/>
        </w:rPr>
      </w:pPr>
      <w:r>
        <w:rPr>
          <w:rFonts w:ascii="Arial" w:cs="Arial" w:eastAsia="Arial" w:hAnsi="Arial"/>
          <w:sz w:val="18"/>
          <w:szCs w:val="18"/>
          <w:color w:val="auto"/>
        </w:rPr>
        <w:t>To the extent deemed appropriate by the Committee, the Company may retain the certificates representing Shares of Restricted Stock in the Company’s possession until such time as all conditions and/or restrictions applicable to such Shares have been satisfied or lapse.</w:t>
      </w:r>
    </w:p>
    <w:p>
      <w:pPr>
        <w:spacing w:after="0" w:line="62"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Except as otherwise provided in this Article 8, Shares of Restricted Stock covered by each Restricted Stock Award shall become freely transferable by the Participant after all conditions and restrictions applicable to such Shares have been satisfied or lapse (including satisfaction of any applicable tax withholding obligations), and Restricted Stock Units shall be paid in cash, Shares, or a combination of cash and Shares as the Committee, in its sole discretion shall determine.</w:t>
      </w:r>
    </w:p>
    <w:p>
      <w:pPr>
        <w:spacing w:after="0" w:line="79" w:lineRule="exact"/>
        <w:rPr>
          <w:sz w:val="20"/>
          <w:szCs w:val="20"/>
          <w:color w:val="auto"/>
        </w:rPr>
      </w:pPr>
    </w:p>
    <w:p>
      <w:pPr>
        <w:ind w:firstLine="270"/>
        <w:spacing w:after="0" w:line="308"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i w:val="1"/>
          <w:iCs w:val="1"/>
          <w:color w:val="auto"/>
        </w:rPr>
        <w:t>Certificate Legend.</w:t>
      </w:r>
      <w:r>
        <w:rPr>
          <w:rFonts w:ascii="Arial" w:cs="Arial" w:eastAsia="Arial" w:hAnsi="Arial"/>
          <w:sz w:val="17"/>
          <w:szCs w:val="17"/>
          <w:color w:val="auto"/>
        </w:rPr>
        <w:t xml:space="preserve"> In addition to any legends placed on certificates pursuant to Section 8.3, each certificate representing Shares of Restricted Stock granted pursuant to this Plan may bear a legend such as the following or as otherwise determined by the Committee in its sole discretion:</w:t>
      </w:r>
    </w:p>
    <w:p>
      <w:pPr>
        <w:spacing w:after="0" w:line="38" w:lineRule="exact"/>
        <w:rPr>
          <w:sz w:val="20"/>
          <w:szCs w:val="20"/>
          <w:color w:val="auto"/>
        </w:rPr>
      </w:pPr>
    </w:p>
    <w:p>
      <w:pPr>
        <w:ind w:right="100" w:firstLine="267"/>
        <w:spacing w:after="0" w:line="259" w:lineRule="auto"/>
        <w:rPr>
          <w:sz w:val="20"/>
          <w:szCs w:val="20"/>
          <w:color w:val="auto"/>
        </w:rPr>
      </w:pPr>
      <w:r>
        <w:rPr>
          <w:rFonts w:ascii="Arial" w:cs="Arial" w:eastAsia="Arial" w:hAnsi="Arial"/>
          <w:sz w:val="18"/>
          <w:szCs w:val="18"/>
          <w:color w:val="auto"/>
        </w:rPr>
        <w:t>The sale or transfer of the common shares of The Scotts Miracle-Gro Company represented by this certificate, whether voluntary, involuntary, or by operation of law, is subject to certain restrictions on transfer as set forth in The Scotts Miracle-Gro Company 2006 Long-Term Incentive Plan, and in the associated Award Agreement. A copy of this Plan and such Award Agreement will be provided by The Scotts Miracle-Gro Company, without charge, within five (5) days after receipt of a written request therefor.</w:t>
      </w:r>
    </w:p>
    <w:p>
      <w:pPr>
        <w:spacing w:after="0" w:line="79"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color w:val="auto"/>
        </w:rPr>
        <w:t>Voting Rights.</w:t>
      </w:r>
      <w:r>
        <w:rPr>
          <w:rFonts w:ascii="Arial" w:cs="Arial" w:eastAsia="Arial" w:hAnsi="Arial"/>
          <w:sz w:val="18"/>
          <w:szCs w:val="18"/>
          <w:color w:val="auto"/>
        </w:rPr>
        <w:t xml:space="preserve"> Unless otherwise determined by the Committee and set forth in a Participant’s Award Agreement, to the extent permitted or required by law, as determined by the Committee, Participants holding Shares of Restricted Stock granted hereunder may be granted the right to exercise full voting rights with respect to those Shares during the Period of Restriction. A Participant shall have no voting rights with respect to any Restricted Stock Units granted hereunder.</w:t>
      </w:r>
    </w:p>
    <w:p>
      <w:pPr>
        <w:spacing w:after="0" w:line="79"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i w:val="1"/>
          <w:iCs w:val="1"/>
          <w:color w:val="auto"/>
        </w:rPr>
        <w:t>Termination of Employment.</w:t>
      </w:r>
      <w:r>
        <w:rPr>
          <w:rFonts w:ascii="Arial" w:cs="Arial" w:eastAsia="Arial" w:hAnsi="Arial"/>
          <w:sz w:val="18"/>
          <w:szCs w:val="18"/>
          <w:color w:val="auto"/>
        </w:rPr>
        <w:t xml:space="preserve"> Each Award Agreement shall set forth the extent to which the Participant shall have the right to retain Restricted Stock and/or Restricted Stock Units following termination of the Participant’s employment with or provision of services to the Company, its Affiliates, and/or its Subsidiaries, as the case may be. Such provisions shall be determined in the sole discretion of the Committee, shall be included in the Award Agreement entered into with each Participant, need not be uniform among all Shares of Restricted Stock or Restricted Stock Units issued pursuant to this Plan, and may reflect distinctions based on the reasons for termination.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32" w:name="page33"/>
    <w:bookmarkEnd w:id="32"/>
    <w:p>
      <w:pPr>
        <w:ind w:right="60" w:firstLine="270"/>
        <w:spacing w:after="0" w:line="312"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i w:val="1"/>
          <w:iCs w:val="1"/>
          <w:color w:val="auto"/>
        </w:rPr>
        <w:t>Section 83(b) Election.</w:t>
      </w:r>
      <w:r>
        <w:rPr>
          <w:rFonts w:ascii="Arial" w:cs="Arial" w:eastAsia="Arial" w:hAnsi="Arial"/>
          <w:sz w:val="16"/>
          <w:szCs w:val="16"/>
          <w:color w:val="auto"/>
        </w:rPr>
        <w:t xml:space="preserve"> The Committee may provide in an Award Agreement that the Award of Restricted Stock is conditioned upon the Participant making or refraining from making an election with respect to the Award under Code Section 83(b). If a Participant makes an election pursuant to Code Section 83(b) concerning a Restricted Stock Award, the Participant shall be required to file promptly a copy of such election with the Company.</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Units/ Performance Shares</w:t>
      </w:r>
    </w:p>
    <w:p>
      <w:pPr>
        <w:spacing w:after="0" w:line="121" w:lineRule="exact"/>
        <w:rPr>
          <w:sz w:val="20"/>
          <w:szCs w:val="20"/>
          <w:color w:val="auto"/>
        </w:rPr>
      </w:pPr>
    </w:p>
    <w:p>
      <w:pPr>
        <w:ind w:right="300" w:firstLine="270"/>
        <w:spacing w:after="0" w:line="342"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Grant of Performance Units/ Performance Shares.</w:t>
      </w:r>
      <w:r>
        <w:rPr>
          <w:rFonts w:ascii="Arial" w:cs="Arial" w:eastAsia="Arial" w:hAnsi="Arial"/>
          <w:sz w:val="16"/>
          <w:szCs w:val="16"/>
          <w:color w:val="auto"/>
        </w:rPr>
        <w:t xml:space="preserve"> Subject to the terms and provisions of this Plan, the Committee, at any time and from time to time, may grant Performance Units and/or Performance Shares to Participants in such amounts and upon such terms as the Committee shall determine.</w:t>
      </w:r>
    </w:p>
    <w:p>
      <w:pPr>
        <w:spacing w:after="0" w:line="16" w:lineRule="exact"/>
        <w:rPr>
          <w:sz w:val="20"/>
          <w:szCs w:val="20"/>
          <w:color w:val="auto"/>
        </w:rPr>
      </w:pPr>
    </w:p>
    <w:p>
      <w:pPr>
        <w:ind w:right="340" w:firstLine="270"/>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Value of Performance Units/ Performance Shares.</w:t>
      </w:r>
      <w:r>
        <w:rPr>
          <w:rFonts w:ascii="Arial" w:cs="Arial" w:eastAsia="Arial" w:hAnsi="Arial"/>
          <w:sz w:val="18"/>
          <w:szCs w:val="18"/>
          <w:color w:val="auto"/>
        </w:rPr>
        <w:t xml:space="preserve"> Each Performance Unit shall have an initial value that is established by the Committee at the time of grant. Each Performance Share shall have an initial value equal to the Fair Market Value of a Share on the Grant Date. The Committee shall set performance goals in its discretion which, depending on the extent to which they are met, will determine the value and/or number of Performance Units/ Performance Shares that will be paid out to the Participant.</w:t>
      </w:r>
    </w:p>
    <w:p>
      <w:pPr>
        <w:spacing w:after="0" w:line="79" w:lineRule="exact"/>
        <w:rPr>
          <w:sz w:val="20"/>
          <w:szCs w:val="20"/>
          <w:color w:val="auto"/>
        </w:rPr>
      </w:pPr>
    </w:p>
    <w:p>
      <w:pPr>
        <w:ind w:firstLine="270"/>
        <w:spacing w:after="0" w:line="31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Earning of Performance Units/ Performance Shares.</w:t>
      </w:r>
      <w:r>
        <w:rPr>
          <w:rFonts w:ascii="Arial" w:cs="Arial" w:eastAsia="Arial" w:hAnsi="Arial"/>
          <w:sz w:val="16"/>
          <w:szCs w:val="16"/>
          <w:color w:val="auto"/>
        </w:rPr>
        <w:t xml:space="preserve"> Subject to the terms of this Plan, after the applicable Performance Period has ended, the holder of Performance Units/ Performance Shares shall be entitled to receive payout on the value and number of Performance Units/ Performance Shares earned by the Participant over the Performance Period, to be determined as a function of the extent to which the corresponding performance goals have been achieved.</w:t>
      </w:r>
    </w:p>
    <w:p>
      <w:pPr>
        <w:spacing w:after="0" w:line="39" w:lineRule="exact"/>
        <w:rPr>
          <w:sz w:val="20"/>
          <w:szCs w:val="20"/>
          <w:color w:val="auto"/>
        </w:rPr>
      </w:pPr>
    </w:p>
    <w:p>
      <w:pPr>
        <w:ind w:right="180" w:firstLine="270"/>
        <w:spacing w:after="0" w:line="273"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i w:val="1"/>
          <w:iCs w:val="1"/>
          <w:color w:val="auto"/>
        </w:rPr>
        <w:t>Form and Timing of Payment of Performance Units/ Performance Shares.</w:t>
      </w:r>
      <w:r>
        <w:rPr>
          <w:rFonts w:ascii="Arial" w:cs="Arial" w:eastAsia="Arial" w:hAnsi="Arial"/>
          <w:sz w:val="17"/>
          <w:szCs w:val="17"/>
          <w:color w:val="auto"/>
        </w:rPr>
        <w:t xml:space="preserve"> Payment of earned Performance Units/ Performance Shares shall be as determined by the Committee and as evidenced in the Award Agreement. Subject to the terms of this Plan, the Committee, in its sole discretion, may pay earned Performance Units/ Performance Shares in the form of cash or in Shares (or in a combination thereof) equal to the value of the earned Performance Units/ Performance Shares at the close of the applicable Performance Period, or as soon as practicable after the end of the Performance Period. Any Shares may be granted subject to any restrictions deemed appropriate by the Committee. The determination of the Committee with respect to the form of payout of such Awards shall be set forth in the Award Agreement pertaining to the grant of the Award.</w:t>
      </w:r>
    </w:p>
    <w:p>
      <w:pPr>
        <w:spacing w:after="0" w:line="70"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Termination of Employment.</w:t>
      </w:r>
      <w:r>
        <w:rPr>
          <w:rFonts w:ascii="Arial" w:cs="Arial" w:eastAsia="Arial" w:hAnsi="Arial"/>
          <w:sz w:val="18"/>
          <w:szCs w:val="18"/>
          <w:color w:val="auto"/>
        </w:rPr>
        <w:t xml:space="preserve"> Each Award Agreement shall set forth the extent to which the Participant shall have the right to retain Performance Units and/or Performance Shares following termination of the Participant’s employment with or provision of services to the Company, its Affiliates, and/or its Subsidiaries, as the case may be. Such provisions shall be determined in the sole discretion of the Committee, shall be included in the Award Agreement entered into with each Participant, need not be uniform among all Awards of Performance Units or Performance Shares issued pursuant to this Plan, and may reflect distinctions based on the reasons for termination.</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Cash-Based Awards and Other Stock-Based Awards</w:t>
      </w:r>
    </w:p>
    <w:p>
      <w:pPr>
        <w:spacing w:after="0" w:line="121"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Grant of Cash-Based Awards.</w:t>
      </w:r>
      <w:r>
        <w:rPr>
          <w:rFonts w:ascii="Arial" w:cs="Arial" w:eastAsia="Arial" w:hAnsi="Arial"/>
          <w:sz w:val="18"/>
          <w:szCs w:val="18"/>
          <w:color w:val="auto"/>
        </w:rPr>
        <w:t xml:space="preserve"> Subject to the terms and provisions of the Plan, the Committee, at any time and from time to time, may grant Cash-Based Awards to Participants in such amounts and upon such terms as the Committee may determine.</w:t>
      </w:r>
    </w:p>
    <w:p>
      <w:pPr>
        <w:spacing w:after="0" w:line="62" w:lineRule="exact"/>
        <w:rPr>
          <w:sz w:val="20"/>
          <w:szCs w:val="20"/>
          <w:color w:val="auto"/>
        </w:rPr>
      </w:pPr>
    </w:p>
    <w:p>
      <w:pPr>
        <w:ind w:right="160" w:firstLine="270"/>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Other Stock-Based Awards.</w:t>
      </w:r>
      <w:r>
        <w:rPr>
          <w:rFonts w:ascii="Arial" w:cs="Arial" w:eastAsia="Arial" w:hAnsi="Arial"/>
          <w:sz w:val="18"/>
          <w:szCs w:val="18"/>
          <w:color w:val="auto"/>
        </w:rPr>
        <w:t xml:space="preserve"> The Committee may grant other types of equity-based or equity-related Awards not otherwise described by the terms of this Plan (including the grant or offer for sale of unrestricted Shares) in such amounts and subject to such terms and conditions, as the Committee shall determine. Such Awards may involve the transfer of actual Shares to Participants, or payment in cash 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3" w:name="page34"/>
    <w:bookmarkEnd w:id="33"/>
    <w:p>
      <w:pPr>
        <w:ind w:right="120"/>
        <w:spacing w:after="0" w:line="277" w:lineRule="auto"/>
        <w:rPr>
          <w:sz w:val="20"/>
          <w:szCs w:val="20"/>
          <w:color w:val="auto"/>
        </w:rPr>
      </w:pPr>
      <w:r>
        <w:rPr>
          <w:rFonts w:ascii="Arial" w:cs="Arial" w:eastAsia="Arial" w:hAnsi="Arial"/>
          <w:sz w:val="18"/>
          <w:szCs w:val="18"/>
          <w:color w:val="auto"/>
        </w:rPr>
        <w:t>otherwise of amounts based on the value of Shares and may include, without limitation, Awards designed to comply with or take advantage of the applicable local laws of jurisdictions other than the United States.</w:t>
      </w:r>
    </w:p>
    <w:p>
      <w:pPr>
        <w:spacing w:after="0" w:line="62"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Value of Cash-Based and Other Stock-Based Awards.</w:t>
      </w:r>
      <w:r>
        <w:rPr>
          <w:rFonts w:ascii="Arial" w:cs="Arial" w:eastAsia="Arial" w:hAnsi="Arial"/>
          <w:sz w:val="18"/>
          <w:szCs w:val="18"/>
          <w:color w:val="auto"/>
        </w:rPr>
        <w:t xml:space="preserve"> Each Cash-Based Award shall specify a payment amount or payment range as determined by the Committee. Each Other Stock-Based Award shall be expressed in terms of Shares or units based on Shares, as determined by the Committee. The Committee may establish performance goals in its discretion. If the Committee exercises its discretion to establish performance goals, the number and/or value of Cash-Based Awards or Other Stock-Based Awards that will be paid out to the Participant will depend on the extent to which the performance goals are met.</w:t>
      </w:r>
    </w:p>
    <w:p>
      <w:pPr>
        <w:spacing w:after="0" w:line="80" w:lineRule="exact"/>
        <w:rPr>
          <w:sz w:val="20"/>
          <w:szCs w:val="20"/>
          <w:color w:val="auto"/>
        </w:rPr>
      </w:pPr>
    </w:p>
    <w:p>
      <w:pPr>
        <w:ind w:right="260" w:firstLine="270"/>
        <w:spacing w:after="0" w:line="27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i w:val="1"/>
          <w:iCs w:val="1"/>
          <w:color w:val="auto"/>
        </w:rPr>
        <w:t>Payment of Cash-Based Awards and Other Stock-Based Awards.</w:t>
      </w:r>
      <w:r>
        <w:rPr>
          <w:rFonts w:ascii="Arial" w:cs="Arial" w:eastAsia="Arial" w:hAnsi="Arial"/>
          <w:sz w:val="18"/>
          <w:szCs w:val="18"/>
          <w:color w:val="auto"/>
        </w:rPr>
        <w:t xml:space="preserve"> Payment, if any, with respect to a Cash-Based Award or an Other Stock-Based Award shall be made in accordance with the terms of the Award, in cash or Shares as the Committee determines.</w:t>
      </w:r>
    </w:p>
    <w:p>
      <w:pPr>
        <w:spacing w:after="0" w:line="62" w:lineRule="exact"/>
        <w:rPr>
          <w:sz w:val="20"/>
          <w:szCs w:val="20"/>
          <w:color w:val="auto"/>
        </w:rPr>
      </w:pPr>
    </w:p>
    <w:p>
      <w:pPr>
        <w:ind w:right="60" w:firstLine="270"/>
        <w:spacing w:after="0" w:line="276"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i w:val="1"/>
          <w:iCs w:val="1"/>
          <w:color w:val="auto"/>
        </w:rPr>
        <w:t>Termination of Employment.</w:t>
      </w:r>
      <w:r>
        <w:rPr>
          <w:rFonts w:ascii="Arial" w:cs="Arial" w:eastAsia="Arial" w:hAnsi="Arial"/>
          <w:sz w:val="17"/>
          <w:szCs w:val="17"/>
          <w:color w:val="auto"/>
        </w:rPr>
        <w:t xml:space="preserve"> The Committee shall determine the extent to which the Participant shall have the right to receive Cash-Based Awards or Other Stock-Based Awards following termination of the Participant’s employment with or provision of services to the Company, its Affiliates, and/or its Subsidiaries, as the case may be. Such provisions shall be determined in the sole discretion of the Committee, such provisions may be included in an agreement entered into with each Participant, but need not be uniform among all Awards of Cash-Based Awards or Other Stock-Based Awards issued pursuant to the Plan, and may reflect distinctions based on the reasons for termination.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Transferability of Awards</w:t>
      </w:r>
    </w:p>
    <w:p>
      <w:pPr>
        <w:spacing w:after="0" w:line="121"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Transferability.</w:t>
      </w:r>
      <w:r>
        <w:rPr>
          <w:rFonts w:ascii="Arial" w:cs="Arial" w:eastAsia="Arial" w:hAnsi="Arial"/>
          <w:sz w:val="18"/>
          <w:szCs w:val="18"/>
          <w:color w:val="auto"/>
        </w:rPr>
        <w:t xml:space="preserve"> Except as provided in Section 11.2 below, during a Participant’s lifetime, his or her Awards shall be exercisable only by the Participant or the Participant’s legal representative. Awards shall not be transferable other than by will or the laws of descent and distribution; no Awards shall be subject, in whole or in part, to attachment, execution, or levy of any kind; and any purported transfer in violation hereof shall be null and void. The Committee may establish such procedures as it deems appropriate for a Participant to designate a beneficiary to whom any amounts payable or Shares deliverable in the event of, or following, the Participant’s death, may be provided.</w:t>
      </w:r>
    </w:p>
    <w:p>
      <w:pPr>
        <w:spacing w:after="0" w:line="80" w:lineRule="exact"/>
        <w:rPr>
          <w:sz w:val="20"/>
          <w:szCs w:val="20"/>
          <w:color w:val="auto"/>
        </w:rPr>
      </w:pPr>
    </w:p>
    <w:p>
      <w:pPr>
        <w:jc w:val="both"/>
        <w:ind w:right="20" w:firstLine="270"/>
        <w:spacing w:after="0" w:line="26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color w:val="auto"/>
        </w:rPr>
        <w:t>Committee Action.</w:t>
      </w:r>
      <w:r>
        <w:rPr>
          <w:rFonts w:ascii="Arial" w:cs="Arial" w:eastAsia="Arial" w:hAnsi="Arial"/>
          <w:sz w:val="18"/>
          <w:szCs w:val="18"/>
          <w:color w:val="auto"/>
        </w:rPr>
        <w:t xml:space="preserve"> The Committee may, in its discretion, determine that notwithstanding Section 11.1, any or all Awards (other than ISOs) shall be transferable to and exercisable by such transferees, and subject to such terms and conditions, as the Committee may deem appropriate; provided, however, no Award may be transferred for value (as defined in the General Instructions to Form S-8).</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Measures</w:t>
      </w:r>
    </w:p>
    <w:p>
      <w:pPr>
        <w:spacing w:after="0" w:line="121"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Performance Measures.</w:t>
      </w:r>
      <w:r>
        <w:rPr>
          <w:rFonts w:ascii="Arial" w:cs="Arial" w:eastAsia="Arial" w:hAnsi="Arial"/>
          <w:sz w:val="18"/>
          <w:szCs w:val="18"/>
          <w:color w:val="auto"/>
        </w:rPr>
        <w:t xml:space="preserve"> The performance goals upon which the payment or vesting of an Award to a Covered Employee that is intended to qualify as Performance-Based Compensation shall be limited to the following Performance Measures:</w:t>
      </w:r>
    </w:p>
    <w:p>
      <w:pPr>
        <w:spacing w:after="0" w:line="62" w:lineRule="exact"/>
        <w:rPr>
          <w:sz w:val="20"/>
          <w:szCs w:val="20"/>
          <w:color w:val="auto"/>
        </w:rPr>
      </w:pPr>
    </w:p>
    <w:p>
      <w:pPr>
        <w:ind w:left="880" w:hanging="251"/>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Earnings per share (basic or diluted);</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sales or revenue growth;</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operating profit;</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sales, or revenue);</w:t>
      </w:r>
    </w:p>
    <w:p>
      <w:pPr>
        <w:spacing w:after="0" w:line="130" w:lineRule="exact"/>
        <w:rPr>
          <w:rFonts w:ascii="Arial" w:cs="Arial" w:eastAsia="Arial" w:hAnsi="Arial"/>
          <w:sz w:val="18"/>
          <w:szCs w:val="18"/>
          <w:color w:val="auto"/>
        </w:rPr>
      </w:pPr>
    </w:p>
    <w:p>
      <w:pPr>
        <w:ind w:left="860" w:hanging="231"/>
        <w:spacing w:after="0"/>
        <w:tabs>
          <w:tab w:leader="none" w:pos="8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Cash flow (including, but not limited to, operating cash flow, free cash flow, cash flow return on equity, and cash flow return on investment);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4" w:name="page35"/>
    <w:bookmarkEnd w:id="34"/>
    <w:p>
      <w:pPr>
        <w:ind w:left="880" w:hanging="251"/>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shareholder return);</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Margins;</w:t>
      </w:r>
    </w:p>
    <w:p>
      <w:pPr>
        <w:spacing w:after="0" w:line="130" w:lineRule="exact"/>
        <w:rPr>
          <w:rFonts w:ascii="Arial" w:cs="Arial" w:eastAsia="Arial" w:hAnsi="Arial"/>
          <w:sz w:val="18"/>
          <w:szCs w:val="18"/>
          <w:color w:val="auto"/>
        </w:rPr>
      </w:pPr>
    </w:p>
    <w:p>
      <w:pPr>
        <w:ind w:left="940" w:hanging="311"/>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value added or EVA® (net operating profit after tax minus the sum of capital multiplied by the cost of capital);</w:t>
      </w:r>
    </w:p>
    <w:p>
      <w:pPr>
        <w:spacing w:after="0" w:line="130" w:lineRule="exact"/>
        <w:rPr>
          <w:rFonts w:ascii="Arial" w:cs="Arial" w:eastAsia="Arial" w:hAnsi="Arial"/>
          <w:sz w:val="18"/>
          <w:szCs w:val="18"/>
          <w:color w:val="auto"/>
        </w:rPr>
      </w:pPr>
    </w:p>
    <w:p>
      <w:pPr>
        <w:ind w:left="860" w:hanging="231"/>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Developing new products and lines of revenue;</w:t>
      </w:r>
    </w:p>
    <w:p>
      <w:pPr>
        <w:spacing w:after="0" w:line="130" w:lineRule="exact"/>
        <w:rPr>
          <w:rFonts w:ascii="Arial" w:cs="Arial" w:eastAsia="Arial" w:hAnsi="Arial"/>
          <w:sz w:val="18"/>
          <w:szCs w:val="18"/>
          <w:color w:val="auto"/>
        </w:rPr>
      </w:pPr>
    </w:p>
    <w:p>
      <w:pPr>
        <w:ind w:left="860" w:hanging="231"/>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Reducing operating expenses;</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Developing new markets;</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Meeting completion schedules</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Developing and managing relationships with regulatory and other governmental agencies;</w:t>
      </w:r>
    </w:p>
    <w:p>
      <w:pPr>
        <w:spacing w:after="0" w:line="130" w:lineRule="exact"/>
        <w:rPr>
          <w:rFonts w:ascii="Arial" w:cs="Arial" w:eastAsia="Arial" w:hAnsi="Arial"/>
          <w:sz w:val="18"/>
          <w:szCs w:val="18"/>
          <w:color w:val="auto"/>
        </w:rPr>
      </w:pPr>
    </w:p>
    <w:p>
      <w:pPr>
        <w:ind w:left="920" w:hanging="291"/>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Managing cash;</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Managing claims against the Company, including litigation;</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Identifying and completing strategic acquisitions; and</w:t>
      </w:r>
    </w:p>
    <w:p>
      <w:pPr>
        <w:spacing w:after="0" w:line="117" w:lineRule="exact"/>
        <w:rPr>
          <w:sz w:val="20"/>
          <w:szCs w:val="20"/>
          <w:color w:val="auto"/>
        </w:rPr>
      </w:pPr>
    </w:p>
    <w:p>
      <w:pPr>
        <w:ind w:firstLine="260"/>
        <w:spacing w:after="0" w:line="297" w:lineRule="auto"/>
        <w:rPr>
          <w:sz w:val="20"/>
          <w:szCs w:val="20"/>
          <w:color w:val="auto"/>
        </w:rPr>
      </w:pPr>
      <w:r>
        <w:rPr>
          <w:rFonts w:ascii="Arial" w:cs="Arial" w:eastAsia="Arial" w:hAnsi="Arial"/>
          <w:sz w:val="16"/>
          <w:szCs w:val="16"/>
          <w:color w:val="auto"/>
        </w:rPr>
        <w:t>Any Performance Measure(s) may be used to measure the performance of the Company, Subsidiary, and/or Affiliate as a whole or any business unit of the Company, Subsidiary, and/or Affiliate or any combination thereof, as the Committee may deem appropriate, or any of the above Performance Measures as compared to the performance of a group of comparator companies, or published or special index that the Committee, in its sole discretion, deems appropriate, or the Committee may select Performance Measure (j) above as compared to various stock market indices. The Committee also has the authority to provide for accelerated vesting of any Award based on the achievement of performance goals pursuant to the Performance Measures specified in this Article 12.</w:t>
      </w:r>
    </w:p>
    <w:p>
      <w:pPr>
        <w:spacing w:after="0" w:line="50" w:lineRule="exact"/>
        <w:rPr>
          <w:sz w:val="20"/>
          <w:szCs w:val="20"/>
          <w:color w:val="auto"/>
        </w:rPr>
      </w:pPr>
    </w:p>
    <w:p>
      <w:pPr>
        <w:ind w:firstLine="270"/>
        <w:spacing w:after="0" w:line="272"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i w:val="1"/>
          <w:iCs w:val="1"/>
          <w:color w:val="auto"/>
        </w:rPr>
        <w:t>Evaluation of Performance.</w:t>
      </w:r>
      <w:r>
        <w:rPr>
          <w:rFonts w:ascii="Arial" w:cs="Arial" w:eastAsia="Arial" w:hAnsi="Arial"/>
          <w:sz w:val="17"/>
          <w:szCs w:val="17"/>
          <w:color w:val="auto"/>
        </w:rPr>
        <w:t xml:space="preserve"> The Committee may provide in any such Award that any evaluation of performance may include or exclude any of the following events that occurs during a Performance Period: (a) asset write-downs, (b) litigation or claim judgments or settlements, (c) the effect of changes in tax laws, accounting principles, or other laws or provisions affecting reported results, (d) any reorganization and restructuring programs, (e) extraordinary nonrecurring items as described in Accounting Principles Board Opinion No. 30 and/or in management’s discussion and analysis of financial condition and results of operations appearing in the Company’s annual report to shareholders for the applicable year, (f) acquisitions or divestitures, and (g) foreign exchange gains and losses. To the extent such inclusions or exclusions affect Awards to Covered Employees, they shall be prescribed in a form that meets the requirements of Code Section 162(m) for deductibility.</w:t>
      </w:r>
    </w:p>
    <w:p>
      <w:pPr>
        <w:spacing w:after="0" w:line="70" w:lineRule="exact"/>
        <w:rPr>
          <w:sz w:val="20"/>
          <w:szCs w:val="20"/>
          <w:color w:val="auto"/>
        </w:rPr>
      </w:pPr>
    </w:p>
    <w:p>
      <w:pPr>
        <w:ind w:right="140" w:firstLine="270"/>
        <w:spacing w:after="0" w:line="26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Adjustment of Performance-Based Compensation.</w:t>
      </w:r>
      <w:r>
        <w:rPr>
          <w:rFonts w:ascii="Arial" w:cs="Arial" w:eastAsia="Arial" w:hAnsi="Arial"/>
          <w:sz w:val="18"/>
          <w:szCs w:val="18"/>
          <w:color w:val="auto"/>
        </w:rPr>
        <w:t xml:space="preserve"> Awards that are intended to qualify as Performance-Based Compensation may not be adjusted upward. The Committee shall retain the discretion to adjust such Awards downward, either on a formula or discretionary basis or any combination, as the Committee determines.</w:t>
      </w:r>
    </w:p>
    <w:p>
      <w:pPr>
        <w:spacing w:after="0" w:line="73" w:lineRule="exact"/>
        <w:rPr>
          <w:sz w:val="20"/>
          <w:szCs w:val="20"/>
          <w:color w:val="auto"/>
        </w:rPr>
      </w:pPr>
    </w:p>
    <w:p>
      <w:pPr>
        <w:ind w:right="420" w:firstLine="270"/>
        <w:spacing w:after="0" w:line="26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Committee Discretion.</w:t>
      </w:r>
      <w:r>
        <w:rPr>
          <w:rFonts w:ascii="Arial" w:cs="Arial" w:eastAsia="Arial" w:hAnsi="Arial"/>
          <w:sz w:val="18"/>
          <w:szCs w:val="18"/>
          <w:color w:val="auto"/>
        </w:rPr>
        <w:t xml:space="preserve"> In the event that applicable tax and/or securities laws change to permit Committee discretion to alter the governing Performance Measures without obtaining shareholder approval of such changes, the Committee shall have sole discretion to make such changes without obtaining</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35" w:name="page36"/>
    <w:bookmarkEnd w:id="35"/>
    <w:p>
      <w:pPr>
        <w:jc w:val="both"/>
        <w:ind w:right="40"/>
        <w:spacing w:after="0" w:line="264" w:lineRule="auto"/>
        <w:rPr>
          <w:sz w:val="20"/>
          <w:szCs w:val="20"/>
          <w:color w:val="auto"/>
        </w:rPr>
      </w:pPr>
      <w:r>
        <w:rPr>
          <w:rFonts w:ascii="Arial" w:cs="Arial" w:eastAsia="Arial" w:hAnsi="Arial"/>
          <w:sz w:val="18"/>
          <w:szCs w:val="18"/>
          <w:color w:val="auto"/>
        </w:rPr>
        <w:t>shareholder approval. In addition, in the event that the Committee determines that it is advisable to grant Awards that shall not qualify as Performance-Based Compensation, the Committee may make such grants without satisfying the requirements of Code Section 162(m) and base vesting on Performance Measures other than those set forth in Section 12.1.</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 Awards</w:t>
      </w:r>
    </w:p>
    <w:p>
      <w:pPr>
        <w:spacing w:after="0" w:line="121" w:lineRule="exact"/>
        <w:rPr>
          <w:sz w:val="20"/>
          <w:szCs w:val="20"/>
          <w:color w:val="auto"/>
        </w:rPr>
      </w:pPr>
    </w:p>
    <w:p>
      <w:pPr>
        <w:ind w:right="220" w:firstLine="267"/>
        <w:spacing w:after="0" w:line="277" w:lineRule="auto"/>
        <w:rPr>
          <w:sz w:val="20"/>
          <w:szCs w:val="20"/>
          <w:color w:val="auto"/>
        </w:rPr>
      </w:pPr>
      <w:r>
        <w:rPr>
          <w:rFonts w:ascii="Arial" w:cs="Arial" w:eastAsia="Arial" w:hAnsi="Arial"/>
          <w:sz w:val="18"/>
          <w:szCs w:val="18"/>
          <w:color w:val="auto"/>
        </w:rPr>
        <w:t>The Board shall determine all Awards to Nonemployee Directors. The terms and conditions of any grant to any such Nonemployee Director shall be set forth in an Award Agreement.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Equivalents</w:t>
      </w:r>
    </w:p>
    <w:p>
      <w:pPr>
        <w:spacing w:after="0" w:line="121" w:lineRule="exact"/>
        <w:rPr>
          <w:sz w:val="20"/>
          <w:szCs w:val="20"/>
          <w:color w:val="auto"/>
        </w:rPr>
      </w:pPr>
    </w:p>
    <w:p>
      <w:pPr>
        <w:ind w:right="40" w:firstLine="260"/>
        <w:spacing w:after="0" w:line="259" w:lineRule="auto"/>
        <w:rPr>
          <w:sz w:val="20"/>
          <w:szCs w:val="20"/>
          <w:color w:val="auto"/>
        </w:rPr>
      </w:pPr>
      <w:r>
        <w:rPr>
          <w:rFonts w:ascii="Arial" w:cs="Arial" w:eastAsia="Arial" w:hAnsi="Arial"/>
          <w:sz w:val="18"/>
          <w:szCs w:val="18"/>
          <w:color w:val="auto"/>
        </w:rPr>
        <w:t>Any Participant selected by the Committee may be granted dividend equivalents based on the dividends declared on Shares that are subject to any Award, to be credited as of dividend payment dates, during the period between the date the Award is granted and the date the Award is exercised, vests or expires, as determined by the Committee. Such dividend equivalents shall be converted to cash or additional Shares by such formula and at such time and subject to such limitations as may be determined by the Committee.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Beneficiary Designation</w:t>
      </w:r>
    </w:p>
    <w:p>
      <w:pPr>
        <w:spacing w:after="0" w:line="121" w:lineRule="exact"/>
        <w:rPr>
          <w:sz w:val="20"/>
          <w:szCs w:val="20"/>
          <w:color w:val="auto"/>
        </w:rPr>
      </w:pPr>
    </w:p>
    <w:p>
      <w:pPr>
        <w:ind w:firstLine="270"/>
        <w:spacing w:after="0" w:line="297" w:lineRule="auto"/>
        <w:rPr>
          <w:sz w:val="20"/>
          <w:szCs w:val="20"/>
          <w:color w:val="auto"/>
        </w:rPr>
      </w:pPr>
      <w:r>
        <w:rPr>
          <w:rFonts w:ascii="Arial" w:cs="Arial" w:eastAsia="Arial" w:hAnsi="Arial"/>
          <w:sz w:val="16"/>
          <w:szCs w:val="16"/>
          <w:color w:val="auto"/>
        </w:rPr>
        <w:t>Each Participant under this Plan may, from time to time, name any beneficiary or beneficiaries (who may be named contingently or successively) to whom any benefit under this Plan is to be paid in case of his death before he receives any or all of such benefit. Each such designation shall revoke all prior designations by the same Participant, shall be in a form prescribed by the Committee, and will be effective only when filed by the Participant in writing with the Company during the Participant’s lifetime. In the absence of any such beneficiary designation, benefits remaining unpaid or rights remaining unexercised at the Participant’s death shall be paid to or exercised by the Participant’s spouse, executor, administrator, or legal representative.</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of Participants</w:t>
      </w:r>
    </w:p>
    <w:p>
      <w:pPr>
        <w:spacing w:after="0" w:line="121" w:lineRule="exact"/>
        <w:rPr>
          <w:sz w:val="20"/>
          <w:szCs w:val="20"/>
          <w:color w:val="auto"/>
        </w:rPr>
      </w:pPr>
    </w:p>
    <w:p>
      <w:pPr>
        <w:ind w:right="40" w:firstLine="270"/>
        <w:spacing w:after="0" w:line="312"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i w:val="1"/>
          <w:iCs w:val="1"/>
          <w:color w:val="auto"/>
        </w:rPr>
        <w:t>Employment.</w:t>
      </w:r>
      <w:r>
        <w:rPr>
          <w:rFonts w:ascii="Arial" w:cs="Arial" w:eastAsia="Arial" w:hAnsi="Arial"/>
          <w:sz w:val="16"/>
          <w:szCs w:val="16"/>
          <w:color w:val="auto"/>
        </w:rPr>
        <w:t xml:space="preserve"> Nothing in this Plan or an Award Agreement shall interfere with or limit in any way the right of the Company, its Affiliates, and/or its Subsidiaries, to terminate any Participant’s employment or service on the Board or to the Company at any time or for any reason not prohibited by law, nor confer upon any Participant any right to continue his employment or service as a Director or Third Party Service Provider for any specified period of time.</w:t>
      </w:r>
    </w:p>
    <w:p>
      <w:pPr>
        <w:spacing w:after="0" w:line="39"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Neither an Award nor any benefits arising under this Plan shall constitute an employment contract with the Company, its Affiliates, and/or its Subsidiaries and, accordingly, subject to Articles 3 and 18, this Plan and the benefits hereunder may be terminated at any time in the sole and exclusive discretion of the Committee without giving rise to any liability on the part of the Company, its Affiliates, and/or its Subsidiaries.</w:t>
      </w:r>
    </w:p>
    <w:p>
      <w:pPr>
        <w:spacing w:after="0" w:line="73" w:lineRule="exact"/>
        <w:rPr>
          <w:sz w:val="20"/>
          <w:szCs w:val="20"/>
          <w:color w:val="auto"/>
        </w:rPr>
      </w:pPr>
    </w:p>
    <w:p>
      <w:pPr>
        <w:ind w:right="240" w:firstLine="270"/>
        <w:spacing w:after="0" w:line="277"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Participation.</w:t>
      </w:r>
      <w:r>
        <w:rPr>
          <w:rFonts w:ascii="Arial" w:cs="Arial" w:eastAsia="Arial" w:hAnsi="Arial"/>
          <w:sz w:val="18"/>
          <w:szCs w:val="18"/>
          <w:color w:val="auto"/>
        </w:rPr>
        <w:t xml:space="preserve"> No individual shall have the right to be selected to receive an Award under this Plan, or, having been so selected, to be selected to receive a future Award.</w:t>
      </w:r>
    </w:p>
    <w:p>
      <w:pPr>
        <w:spacing w:after="0" w:line="62" w:lineRule="exact"/>
        <w:rPr>
          <w:sz w:val="20"/>
          <w:szCs w:val="20"/>
          <w:color w:val="auto"/>
        </w:rPr>
      </w:pPr>
    </w:p>
    <w:p>
      <w:pPr>
        <w:ind w:right="280" w:firstLine="270"/>
        <w:spacing w:after="0" w:line="277"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i w:val="1"/>
          <w:iCs w:val="1"/>
          <w:color w:val="auto"/>
        </w:rPr>
        <w:t>Rights as a Shareholder.</w:t>
      </w:r>
      <w:r>
        <w:rPr>
          <w:rFonts w:ascii="Arial" w:cs="Arial" w:eastAsia="Arial" w:hAnsi="Arial"/>
          <w:sz w:val="18"/>
          <w:szCs w:val="18"/>
          <w:color w:val="auto"/>
        </w:rPr>
        <w:t xml:space="preserve"> Except as otherwise provided herein, a Participant shall have none of the rights of a shareholder with respect to Shares covered by any Award until the Participant becomes the record holder of such Shares.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ind w:left="5320"/>
        <w:spacing w:after="0"/>
        <w:rPr>
          <w:sz w:val="20"/>
          <w:szCs w:val="20"/>
          <w:color w:val="auto"/>
        </w:rPr>
      </w:pPr>
      <w:r>
        <w:rPr>
          <w:rFonts w:ascii="Arial" w:cs="Arial" w:eastAsia="Arial" w:hAnsi="Arial"/>
          <w:sz w:val="18"/>
          <w:szCs w:val="18"/>
          <w:b w:val="1"/>
          <w:bCs w:val="1"/>
          <w:color w:val="auto"/>
        </w:rPr>
        <w:t>Article 17.</w:t>
      </w:r>
    </w:p>
    <w:p>
      <w:pPr>
        <w:spacing w:after="0" w:line="11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Change of Control</w:t>
      </w:r>
    </w:p>
    <w:p>
      <w:pPr>
        <w:spacing w:after="0" w:line="121"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i w:val="1"/>
          <w:iCs w:val="1"/>
          <w:color w:val="auto"/>
        </w:rPr>
        <w:t xml:space="preserve">Accelerated Vesting and Settlement. </w:t>
      </w:r>
      <w:r>
        <w:rPr>
          <w:rFonts w:ascii="Arial" w:cs="Arial" w:eastAsia="Arial" w:hAnsi="Arial"/>
          <w:sz w:val="16"/>
          <w:szCs w:val="16"/>
          <w:color w:val="auto"/>
        </w:rPr>
        <w:t>Subject to Section 17.2, on the date of any Change in Control:</w:t>
      </w:r>
    </w:p>
    <w:p>
      <w:pPr>
        <w:spacing w:after="0" w:line="117" w:lineRule="exact"/>
        <w:rPr>
          <w:sz w:val="20"/>
          <w:szCs w:val="20"/>
          <w:color w:val="auto"/>
        </w:rPr>
      </w:pPr>
    </w:p>
    <w:p>
      <w:pPr>
        <w:ind w:left="360" w:right="80" w:firstLine="269"/>
        <w:spacing w:after="0" w:line="272" w:lineRule="auto"/>
        <w:tabs>
          <w:tab w:leader="none" w:pos="875" w:val="left"/>
        </w:tabs>
        <w:numPr>
          <w:ilvl w:val="0"/>
          <w:numId w:val="31"/>
        </w:numPr>
        <w:rPr>
          <w:rFonts w:ascii="Arial" w:cs="Arial" w:eastAsia="Arial" w:hAnsi="Arial"/>
          <w:sz w:val="17"/>
          <w:szCs w:val="17"/>
          <w:color w:val="auto"/>
        </w:rPr>
      </w:pPr>
      <w:r>
        <w:rPr>
          <w:rFonts w:ascii="Arial" w:cs="Arial" w:eastAsia="Arial" w:hAnsi="Arial"/>
          <w:sz w:val="17"/>
          <w:szCs w:val="17"/>
          <w:color w:val="auto"/>
        </w:rPr>
        <w:t>Each Option and SAR (other than Options and SARs of Nonemployee Directors) outstanding on the date of a Change in Control (whether or not exercisable) will be cancelled in exchange (i) for cash equal to the excess of the Change in Control Price over the Exercise Price or Grant Price, as applicable, associated with the cancelled Option or SAR or, (ii) at the Committee’s discretion, for whole Shares with a Fair Market Value equal to the excess of the Change in Control Price over the Exercise Price or Grant Price, as applicable, associated with the cancelled Option or SAR and the Fair Market Value of any fractional Share will be distributed in cash. However, the Committee, in its sole discretion, may offer the holders of the Options or SARs to be cancelled a reasonable opportunity (not longer than 15 days beginning on the date of the Change in Control) to exercise all their outstanding Options and SARs (whether or not otherwise then exercisable);</w:t>
      </w:r>
    </w:p>
    <w:p>
      <w:pPr>
        <w:spacing w:after="0" w:line="83" w:lineRule="exact"/>
        <w:rPr>
          <w:rFonts w:ascii="Arial" w:cs="Arial" w:eastAsia="Arial" w:hAnsi="Arial"/>
          <w:sz w:val="17"/>
          <w:szCs w:val="17"/>
          <w:color w:val="auto"/>
        </w:rPr>
      </w:pPr>
    </w:p>
    <w:p>
      <w:pPr>
        <w:jc w:val="both"/>
        <w:ind w:left="360" w:firstLine="269"/>
        <w:spacing w:after="0" w:line="288" w:lineRule="auto"/>
        <w:tabs>
          <w:tab w:leader="none" w:pos="875"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performance goals associated with Awards for which performance goals have been established will be deemed to have been met on the date of the Change in Control, all Performance Periods accelerated to the date of the Change in Control and all outstanding Awards for which performance goals have been established (including those subject to the acceleration described in this subsection) will be distributed in a single lump sum cash</w:t>
      </w:r>
    </w:p>
    <w:p>
      <w:pPr>
        <w:ind w:left="360"/>
        <w:spacing w:after="0"/>
        <w:rPr>
          <w:rFonts w:ascii="Arial" w:cs="Arial" w:eastAsia="Arial" w:hAnsi="Arial"/>
          <w:sz w:val="16"/>
          <w:szCs w:val="16"/>
          <w:color w:val="auto"/>
        </w:rPr>
      </w:pPr>
      <w:r>
        <w:rPr>
          <w:rFonts w:ascii="Arial" w:cs="Arial" w:eastAsia="Arial" w:hAnsi="Arial"/>
          <w:sz w:val="18"/>
          <w:szCs w:val="18"/>
          <w:color w:val="auto"/>
        </w:rPr>
        <w:t>payment; and</w:t>
      </w:r>
    </w:p>
    <w:p>
      <w:pPr>
        <w:spacing w:after="0" w:line="116" w:lineRule="exact"/>
        <w:rPr>
          <w:rFonts w:ascii="Arial" w:cs="Arial" w:eastAsia="Arial" w:hAnsi="Arial"/>
          <w:sz w:val="16"/>
          <w:szCs w:val="16"/>
          <w:color w:val="auto"/>
        </w:rPr>
      </w:pPr>
    </w:p>
    <w:p>
      <w:pPr>
        <w:ind w:left="360" w:right="480" w:firstLine="269"/>
        <w:spacing w:after="0" w:line="302" w:lineRule="auto"/>
        <w:tabs>
          <w:tab w:leader="none" w:pos="865"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other then-outstanding Awards whose exercisability depends merely on the satisfaction of a service obligation by a Participant to the Company, Subsidiary, or Affiliate (“Service Award”) shall vest in full and be free of restrictions related to the vesting of such Awards. All Service Awards whose vesting is so accelerated will be distributed, if not already held by a Participant, (i) in a single lump-sum cash payment based on the Change in Control Price or, (ii) at the Committee’s discretion, in the form of whole Shares based on the Change in Control Price.</w:t>
      </w:r>
    </w:p>
    <w:p>
      <w:pPr>
        <w:spacing w:after="0" w:line="46" w:lineRule="exact"/>
        <w:rPr>
          <w:sz w:val="20"/>
          <w:szCs w:val="20"/>
          <w:color w:val="auto"/>
        </w:rPr>
      </w:pPr>
    </w:p>
    <w:p>
      <w:pPr>
        <w:jc w:val="both"/>
        <w:ind w:right="120" w:firstLine="270"/>
        <w:spacing w:after="0" w:line="286" w:lineRule="auto"/>
        <w:rPr>
          <w:sz w:val="20"/>
          <w:szCs w:val="20"/>
          <w:color w:val="auto"/>
        </w:rPr>
      </w:pPr>
      <w:r>
        <w:rPr>
          <w:rFonts w:ascii="Arial" w:cs="Arial" w:eastAsia="Arial" w:hAnsi="Arial"/>
          <w:sz w:val="17"/>
          <w:szCs w:val="17"/>
          <w:color w:val="auto"/>
        </w:rPr>
        <w:t xml:space="preserve">17.2 </w:t>
      </w:r>
      <w:r>
        <w:rPr>
          <w:rFonts w:ascii="Arial" w:cs="Arial" w:eastAsia="Arial" w:hAnsi="Arial"/>
          <w:sz w:val="17"/>
          <w:szCs w:val="17"/>
          <w:i w:val="1"/>
          <w:iCs w:val="1"/>
          <w:color w:val="auto"/>
        </w:rPr>
        <w:t>Alternative Awards.</w:t>
      </w:r>
      <w:r>
        <w:rPr>
          <w:rFonts w:ascii="Arial" w:cs="Arial" w:eastAsia="Arial" w:hAnsi="Arial"/>
          <w:sz w:val="17"/>
          <w:szCs w:val="17"/>
          <w:color w:val="auto"/>
        </w:rPr>
        <w:t xml:space="preserve"> Section 17.1 will not apply to the extent that the Committee reasonably concludes in good faith before the Change in Control occurs that Awards will be honored or assumed or new rights substituted for the Award (collectively, “Alternative Awards”) by the Employee’s employer (or the parent or a subsidiary of that employer) immediately after the Change in Control, provided that any Alternative Award must:</w:t>
      </w:r>
    </w:p>
    <w:p>
      <w:pPr>
        <w:spacing w:after="0" w:line="57" w:lineRule="exact"/>
        <w:rPr>
          <w:sz w:val="20"/>
          <w:szCs w:val="20"/>
          <w:color w:val="auto"/>
        </w:rPr>
      </w:pPr>
    </w:p>
    <w:p>
      <w:pPr>
        <w:ind w:left="880" w:hanging="251"/>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based on stock that is (or, within 60 days of the Change in Control, will be) traded on an established securities market;</w:t>
      </w:r>
    </w:p>
    <w:p>
      <w:pPr>
        <w:spacing w:after="0" w:line="130" w:lineRule="exact"/>
        <w:rPr>
          <w:rFonts w:ascii="Arial" w:cs="Arial" w:eastAsia="Arial" w:hAnsi="Arial"/>
          <w:sz w:val="18"/>
          <w:szCs w:val="18"/>
          <w:color w:val="auto"/>
        </w:rPr>
      </w:pPr>
    </w:p>
    <w:p>
      <w:pPr>
        <w:ind w:left="360" w:right="20" w:firstLine="269"/>
        <w:spacing w:after="0" w:line="308" w:lineRule="auto"/>
        <w:tabs>
          <w:tab w:leader="none" w:pos="885"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Provide the Employee rights and entitlements substantially equivalent to or better than the rights, terms and conditions of each Award for which it is substituted, including an identical or better exercise or vesting schedule and identical or better timing and methods of payment;</w:t>
      </w:r>
    </w:p>
    <w:p>
      <w:pPr>
        <w:spacing w:after="0" w:line="51" w:lineRule="exact"/>
        <w:rPr>
          <w:rFonts w:ascii="Arial" w:cs="Arial" w:eastAsia="Arial" w:hAnsi="Arial"/>
          <w:sz w:val="17"/>
          <w:szCs w:val="17"/>
          <w:color w:val="auto"/>
        </w:rPr>
      </w:pPr>
    </w:p>
    <w:p>
      <w:pPr>
        <w:ind w:left="880" w:hanging="251"/>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Have substantially equivalent economic value to the Award (determined at the time of the Change in Control) for which it is substituted; and</w:t>
      </w:r>
    </w:p>
    <w:p>
      <w:pPr>
        <w:spacing w:after="0" w:line="142" w:lineRule="exact"/>
        <w:rPr>
          <w:rFonts w:ascii="Arial" w:cs="Arial" w:eastAsia="Arial" w:hAnsi="Arial"/>
          <w:sz w:val="17"/>
          <w:szCs w:val="17"/>
          <w:color w:val="auto"/>
        </w:rPr>
      </w:pPr>
    </w:p>
    <w:p>
      <w:pPr>
        <w:ind w:left="360" w:right="60" w:firstLine="269"/>
        <w:spacing w:after="0" w:line="342" w:lineRule="auto"/>
        <w:tabs>
          <w:tab w:leader="none" w:pos="885"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Provide that, if the Employee’s employment is involuntarily terminated without cause or constructively terminated by the Employee, any conditions on the Employee’s rights under, or any restrictions on transfer or exercisability applicable to, each Alternative Award will be waived or lapse.</w:t>
      </w:r>
    </w:p>
    <w:p>
      <w:pPr>
        <w:spacing w:after="0" w:line="16"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For purposes of this section, a constructive termination means a termination by an Employee following a material reduction in the Employee’s compensation or job responsibilities (when compared to the Employee’s compensation and job responsibilities on the date of the Change in Control) or the relocation of the Employee’s principal place of employment to a location at least fifty (50) miles from his or her principal place of employment on the date of the Change in Control (or other location to which the Employee has been reassigned with his or her written consent), in each case without the Employee’s written consent.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37" w:name="page38"/>
    <w:bookmarkEnd w:id="37"/>
    <w:p>
      <w:pPr>
        <w:ind w:left="280"/>
        <w:spacing w:after="0"/>
        <w:tabs>
          <w:tab w:leader="none" w:pos="80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i w:val="1"/>
          <w:iCs w:val="1"/>
          <w:color w:val="auto"/>
        </w:rPr>
        <w:t xml:space="preserve">Nonemployee Directors’ Awards. </w:t>
      </w:r>
      <w:r>
        <w:rPr>
          <w:rFonts w:ascii="Arial" w:cs="Arial" w:eastAsia="Arial" w:hAnsi="Arial"/>
          <w:sz w:val="16"/>
          <w:szCs w:val="16"/>
          <w:color w:val="auto"/>
        </w:rPr>
        <w:t>Upon a Change in Control, each outstanding:</w:t>
      </w:r>
    </w:p>
    <w:p>
      <w:pPr>
        <w:spacing w:after="0" w:line="117" w:lineRule="exact"/>
        <w:rPr>
          <w:sz w:val="20"/>
          <w:szCs w:val="20"/>
          <w:color w:val="auto"/>
        </w:rPr>
      </w:pPr>
    </w:p>
    <w:p>
      <w:pPr>
        <w:ind w:left="360" w:firstLine="269"/>
        <w:spacing w:after="0" w:line="284" w:lineRule="auto"/>
        <w:tabs>
          <w:tab w:leader="none" w:pos="8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Option or SAR held by a Nonemployee Director will be cancelled unless (a) the Shares continue to be traded on an established securities market after the Change in Control, or (b) the Nonemployee Director continues to be a Board member after the Change in Control. In the situations just described, the Options or SARs held by a Nonemployee Director will be unaffected by a Change in Control. Any Options and SARs held by a Nonemployee Director to be cancelled under the next preceding sentence will be exchanged (c) for cash equal to the excess of the Change in Control Price over the Exercise Price or Grant Price, as applicable, associated with the cancelled Option or SAR held by a Nonemployee Director, or (d) at the Board’s discretion, for whole Shares with a Fair Market Value equal to the excess of the Change in Control Price over the Exercise Price associated with the cancelled Option or SAR held by a Nonemployee Director and the Fair Market Value of any fractional Share will be distributed in cash. However, the Board, in its sole discretion, may offer Nonemployee Directors holding Options or SARs to be cancelled a reasonable opportunity (not longer than</w:t>
      </w:r>
    </w:p>
    <w:p>
      <w:pPr>
        <w:spacing w:after="0" w:line="1"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15 days beginning on the date of the Change in Control) to exercise all their outstanding Options and SARs (whether or not otherwise then exercisable).</w:t>
      </w:r>
    </w:p>
    <w:p>
      <w:pPr>
        <w:spacing w:after="0" w:line="139" w:lineRule="exact"/>
        <w:rPr>
          <w:rFonts w:ascii="Arial" w:cs="Arial" w:eastAsia="Arial" w:hAnsi="Arial"/>
          <w:sz w:val="16"/>
          <w:szCs w:val="16"/>
          <w:color w:val="auto"/>
        </w:rPr>
      </w:pPr>
    </w:p>
    <w:p>
      <w:pPr>
        <w:ind w:left="360" w:right="260" w:firstLine="269"/>
        <w:spacing w:after="0" w:line="277" w:lineRule="auto"/>
        <w:tabs>
          <w:tab w:leader="none" w:pos="8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Restricted Stock or Restricted Stock Unit held by a Nonemployee Director will be settled for a lump sum cash payment equal to the Change in Control Price.</w:t>
      </w:r>
    </w:p>
    <w:p>
      <w:pPr>
        <w:spacing w:after="0" w:line="75" w:lineRule="exact"/>
        <w:rPr>
          <w:rFonts w:ascii="Arial" w:cs="Arial" w:eastAsia="Arial" w:hAnsi="Arial"/>
          <w:sz w:val="18"/>
          <w:szCs w:val="18"/>
          <w:color w:val="auto"/>
        </w:rPr>
      </w:pPr>
    </w:p>
    <w:p>
      <w:pPr>
        <w:ind w:left="360" w:right="140" w:firstLine="269"/>
        <w:spacing w:after="0" w:line="264" w:lineRule="auto"/>
        <w:tabs>
          <w:tab w:leader="none" w:pos="8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other types of Awards held by Nonemployee Directors will be settled for a lump sum cash payment equal to the Change in Control Price less any amount a Nonemployee Director would be required to pay in order for the Award to be exercised or settled, other than any such amount related to taxes.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18.</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Modification, Suspension, and Termination</w:t>
      </w:r>
    </w:p>
    <w:p>
      <w:pPr>
        <w:spacing w:after="0" w:line="121" w:lineRule="exact"/>
        <w:rPr>
          <w:sz w:val="20"/>
          <w:szCs w:val="20"/>
          <w:color w:val="auto"/>
        </w:rPr>
      </w:pPr>
    </w:p>
    <w:p>
      <w:pPr>
        <w:ind w:right="200" w:firstLine="270"/>
        <w:spacing w:after="0" w:line="297" w:lineRule="auto"/>
        <w:rPr>
          <w:sz w:val="20"/>
          <w:szCs w:val="20"/>
          <w:color w:val="auto"/>
        </w:rPr>
      </w:pPr>
      <w:r>
        <w:rPr>
          <w:rFonts w:ascii="Arial" w:cs="Arial" w:eastAsia="Arial" w:hAnsi="Arial"/>
          <w:sz w:val="16"/>
          <w:szCs w:val="16"/>
          <w:color w:val="auto"/>
        </w:rPr>
        <w:t xml:space="preserve">18.1 </w:t>
      </w:r>
      <w:r>
        <w:rPr>
          <w:rFonts w:ascii="Arial" w:cs="Arial" w:eastAsia="Arial" w:hAnsi="Arial"/>
          <w:sz w:val="16"/>
          <w:szCs w:val="16"/>
          <w:i w:val="1"/>
          <w:iCs w:val="1"/>
          <w:color w:val="auto"/>
        </w:rPr>
        <w:t>Amendment, Modification, Suspension, and Termination.</w:t>
      </w:r>
      <w:r>
        <w:rPr>
          <w:rFonts w:ascii="Arial" w:cs="Arial" w:eastAsia="Arial" w:hAnsi="Arial"/>
          <w:sz w:val="16"/>
          <w:szCs w:val="16"/>
          <w:color w:val="auto"/>
        </w:rPr>
        <w:t xml:space="preserve"> Subject to Section 18.3, the Committee may, at any time and from time to time, alter, amend, modify, suspend, or terminate this Plan and any Award Agreement in whole or in part; provided, however, that, without the prior approval of the Company’s shareholders and except as provided in Section 4.4, Options or SARs issued under this Plan will not be repriced, replaced, or regranted through cancellation, or by lowering the Option Price of a previously granted Option or the Grant Price of a previously granted SAR, and no material amendment of this Plan shall be made without shareholder approval if shareholder approval is required by law, regulation, or stock exchange rule.</w:t>
      </w:r>
    </w:p>
    <w:p>
      <w:pPr>
        <w:spacing w:after="0" w:line="50"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i w:val="1"/>
          <w:iCs w:val="1"/>
          <w:color w:val="auto"/>
        </w:rPr>
        <w:t>Adjustment of Awards Upon the Occurrence of Certain Unusual or Nonrecurring Events.</w:t>
      </w:r>
      <w:r>
        <w:rPr>
          <w:rFonts w:ascii="Arial" w:cs="Arial" w:eastAsia="Arial" w:hAnsi="Arial"/>
          <w:sz w:val="18"/>
          <w:szCs w:val="18"/>
          <w:color w:val="auto"/>
        </w:rPr>
        <w:t xml:space="preserve"> The Committee may make adjustments in the terms and conditions of, and the criteria included in, Awards in recognition of unusual or nonrecurring events (including, without limitation, the events described in Section 4.4 hereof) affecting the Company or the financial statements of the Company or of changes in applicable laws, regulations, or accounting principles, whenever the Committee determines that such adjustments are appropriate in order to prevent unintended dilution or enlargement of the benefits or potential benefits intended to be made available under this Plan. The determination of the Committee as to the foregoing adjustments, if any, shall be conclusive and binding on Participants under this Plan.</w:t>
      </w:r>
    </w:p>
    <w:p>
      <w:pPr>
        <w:spacing w:after="0" w:line="85" w:lineRule="exact"/>
        <w:rPr>
          <w:sz w:val="20"/>
          <w:szCs w:val="20"/>
          <w:color w:val="auto"/>
        </w:rPr>
      </w:pPr>
    </w:p>
    <w:p>
      <w:pPr>
        <w:ind w:right="160" w:firstLine="270"/>
        <w:spacing w:after="0" w:line="264"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i w:val="1"/>
          <w:iCs w:val="1"/>
          <w:color w:val="auto"/>
        </w:rPr>
        <w:t>Awards Previously Granted.</w:t>
      </w:r>
      <w:r>
        <w:rPr>
          <w:rFonts w:ascii="Arial" w:cs="Arial" w:eastAsia="Arial" w:hAnsi="Arial"/>
          <w:sz w:val="18"/>
          <w:szCs w:val="18"/>
          <w:color w:val="auto"/>
        </w:rPr>
        <w:t xml:space="preserve"> Notwithstanding any other provision of this Plan to the contrary (other than Section 18.4), no termination, amendment, suspension, or modification of this Plan or an Award Agreement shall adversely affect in any material way any Award previously granted under this Plan, without the written consent of the Participant holding such Award.</w:t>
      </w:r>
    </w:p>
    <w:p>
      <w:pPr>
        <w:spacing w:after="0" w:line="73"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i w:val="1"/>
          <w:iCs w:val="1"/>
          <w:color w:val="auto"/>
        </w:rPr>
        <w:t>Amendment to Conform to Law.</w:t>
      </w:r>
      <w:r>
        <w:rPr>
          <w:rFonts w:ascii="Arial" w:cs="Arial" w:eastAsia="Arial" w:hAnsi="Arial"/>
          <w:sz w:val="18"/>
          <w:szCs w:val="18"/>
          <w:color w:val="auto"/>
        </w:rPr>
        <w:t xml:space="preserve"> Notwithstanding any other provision of this Plan to the contrary, the Board may amend the Plan or an Award Agreement, to take effect retroactively or otherwise, as deemed necessary or advisable for the purpose of conforming the Plan or an Award Agreement to any present or future law relating to plans of this or similar nature (including, but not limited to, Code Section 409A), and to the administrative regulations and rulings promulgated thereunder. By accepting 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ind w:right="320"/>
        <w:spacing w:after="0" w:line="277" w:lineRule="auto"/>
        <w:rPr>
          <w:sz w:val="20"/>
          <w:szCs w:val="20"/>
          <w:color w:val="auto"/>
        </w:rPr>
      </w:pPr>
      <w:r>
        <w:rPr>
          <w:rFonts w:ascii="Arial" w:cs="Arial" w:eastAsia="Arial" w:hAnsi="Arial"/>
          <w:sz w:val="18"/>
          <w:szCs w:val="18"/>
          <w:color w:val="auto"/>
        </w:rPr>
        <w:t>Award under this Plan, each Participant agrees to any amendment made pursuant to this Section 18.4 to any Award granted under the Plan without further consideration or action.</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19.</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Withholding</w:t>
      </w:r>
    </w:p>
    <w:p>
      <w:pPr>
        <w:spacing w:after="0" w:line="121" w:lineRule="exact"/>
        <w:rPr>
          <w:sz w:val="20"/>
          <w:szCs w:val="20"/>
          <w:color w:val="auto"/>
        </w:rPr>
      </w:pPr>
    </w:p>
    <w:p>
      <w:pPr>
        <w:jc w:val="both"/>
        <w:ind w:right="360" w:firstLine="270"/>
        <w:spacing w:after="0" w:line="264"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i w:val="1"/>
          <w:iCs w:val="1"/>
          <w:color w:val="auto"/>
        </w:rPr>
        <w:t>Tax Withholding.</w:t>
      </w:r>
      <w:r>
        <w:rPr>
          <w:rFonts w:ascii="Arial" w:cs="Arial" w:eastAsia="Arial" w:hAnsi="Arial"/>
          <w:sz w:val="18"/>
          <w:szCs w:val="18"/>
          <w:color w:val="auto"/>
        </w:rPr>
        <w:t xml:space="preserve"> The Company shall have the power and the right to deduct or withhold, or require a Participant to remit to the Company, the minimum statutory amount to satisfy federal, state, and local taxes, domestic or foreign, required by law or regulation to be withheld with respect to any taxable event arising as a result of this Plan.</w:t>
      </w:r>
    </w:p>
    <w:p>
      <w:pPr>
        <w:spacing w:after="0" w:line="73" w:lineRule="exact"/>
        <w:rPr>
          <w:sz w:val="20"/>
          <w:szCs w:val="20"/>
          <w:color w:val="auto"/>
        </w:rPr>
      </w:pPr>
    </w:p>
    <w:p>
      <w:pPr>
        <w:ind w:right="100" w:firstLine="270"/>
        <w:spacing w:after="0" w:line="273" w:lineRule="auto"/>
        <w:rPr>
          <w:sz w:val="20"/>
          <w:szCs w:val="20"/>
          <w:color w:val="auto"/>
        </w:rPr>
      </w:pPr>
      <w:r>
        <w:rPr>
          <w:rFonts w:ascii="Arial" w:cs="Arial" w:eastAsia="Arial" w:hAnsi="Arial"/>
          <w:sz w:val="17"/>
          <w:szCs w:val="17"/>
          <w:color w:val="auto"/>
        </w:rPr>
        <w:t xml:space="preserve">19.2 </w:t>
      </w:r>
      <w:r>
        <w:rPr>
          <w:rFonts w:ascii="Arial" w:cs="Arial" w:eastAsia="Arial" w:hAnsi="Arial"/>
          <w:sz w:val="17"/>
          <w:szCs w:val="17"/>
          <w:i w:val="1"/>
          <w:iCs w:val="1"/>
          <w:color w:val="auto"/>
        </w:rPr>
        <w:t>Share Withholding.</w:t>
      </w:r>
      <w:r>
        <w:rPr>
          <w:rFonts w:ascii="Arial" w:cs="Arial" w:eastAsia="Arial" w:hAnsi="Arial"/>
          <w:sz w:val="17"/>
          <w:szCs w:val="17"/>
          <w:color w:val="auto"/>
        </w:rPr>
        <w:t xml:space="preserve"> With respect to withholding required upon the exercise of Options or SARs, upon the lapse of restrictions on Restricted Stock and Restricted Stock Units, or upon the achievement of performance goals related to Performance Shares, or any other taxable event arising as a result of an Award granted hereunder, Participants may elect, subject to the approval of the Committee, to satisfy the withholding requirement, in whole or in part, by having the Company withhold Shares having a Fair Market Value on the date the tax is to be determined equal to the minimum statutory total tax that could be imposed on the transaction. All such elections shall be irrevocable, made in writing, and signed by the Participant, and shall be subject to any restrictions or limitations that the Committee, in its sole discretion, deems appropriate.</w:t>
      </w:r>
    </w:p>
    <w:p>
      <w:pPr>
        <w:spacing w:after="0" w:line="28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Article 20.</w:t>
      </w:r>
    </w:p>
    <w:p>
      <w:pPr>
        <w:spacing w:after="0" w:line="11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Successors</w:t>
      </w:r>
    </w:p>
    <w:p>
      <w:pPr>
        <w:spacing w:after="0" w:line="121" w:lineRule="exact"/>
        <w:rPr>
          <w:sz w:val="20"/>
          <w:szCs w:val="20"/>
          <w:color w:val="auto"/>
        </w:rPr>
      </w:pPr>
    </w:p>
    <w:p>
      <w:pPr>
        <w:jc w:val="both"/>
        <w:ind w:right="120" w:firstLine="260"/>
        <w:spacing w:after="0" w:line="264" w:lineRule="auto"/>
        <w:rPr>
          <w:sz w:val="20"/>
          <w:szCs w:val="20"/>
          <w:color w:val="auto"/>
        </w:rPr>
      </w:pPr>
      <w:r>
        <w:rPr>
          <w:rFonts w:ascii="Arial" w:cs="Arial" w:eastAsia="Arial" w:hAnsi="Arial"/>
          <w:sz w:val="18"/>
          <w:szCs w:val="18"/>
          <w:color w:val="auto"/>
        </w:rPr>
        <w:t>All obligations of the Company under this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21.</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121"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i w:val="1"/>
          <w:iCs w:val="1"/>
          <w:color w:val="auto"/>
        </w:rPr>
        <w:t>Forfeiture Events.</w:t>
      </w:r>
    </w:p>
    <w:p>
      <w:pPr>
        <w:spacing w:after="0" w:line="117" w:lineRule="exact"/>
        <w:rPr>
          <w:sz w:val="20"/>
          <w:szCs w:val="20"/>
          <w:color w:val="auto"/>
        </w:rPr>
      </w:pPr>
    </w:p>
    <w:p>
      <w:pPr>
        <w:ind w:left="360" w:firstLine="269"/>
        <w:spacing w:after="0" w:line="273" w:lineRule="auto"/>
        <w:tabs>
          <w:tab w:leader="none" w:pos="87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Committee may specify in an Award Agreement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but shall not be limited to, termination of employment for cause, termination of the Participant’s provision of services to the Company, Affiliate, and/or Subsidiary, violation of material Company, Affiliate, and/or Subsidiary policies, breach of noncompetition, confidentiality, or other restrictive covenants that may apply to the Participant, or other conduct by the Participant that is detrimental to the business or reputation of the Company, its Affiliates, and/or its Subsidiaries.</w:t>
      </w:r>
    </w:p>
    <w:p>
      <w:pPr>
        <w:spacing w:after="0" w:line="83" w:lineRule="exact"/>
        <w:rPr>
          <w:rFonts w:ascii="Arial" w:cs="Arial" w:eastAsia="Arial" w:hAnsi="Arial"/>
          <w:sz w:val="17"/>
          <w:szCs w:val="17"/>
          <w:color w:val="auto"/>
        </w:rPr>
      </w:pPr>
    </w:p>
    <w:p>
      <w:pPr>
        <w:ind w:left="360" w:right="240" w:firstLine="269"/>
        <w:spacing w:after="0" w:line="293" w:lineRule="auto"/>
        <w:tabs>
          <w:tab w:leader="none" w:pos="885"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the Company is required to prepare an accounting restatement due to the material noncompliance of the Company, as a result of misconduct, with any financial reporting requirement under the securities laws, if the Participant knowingly or grossly negligently engaged in the misconduct, or knowingly or grossly negligently failed to prevent the misconduct, or if the Participant is one of the individuals subject to automatic forfeiture under Section 304 of the Sarbanes-Oxley Act of 2002, the Participant shall reimburse the Company the amount of any payment in settlement of an Award earned or accrued during the twelve- (12-) month period following the first public issuance or filing with the United States Securities and Exchange Commission (whichever just occurred) of the financial document embodying such financial reporting requirement.</w:t>
      </w:r>
    </w:p>
    <w:p>
      <w:pPr>
        <w:spacing w:after="0" w:line="57"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i w:val="1"/>
          <w:iCs w:val="1"/>
          <w:color w:val="auto"/>
        </w:rPr>
        <w:t>Legend.</w:t>
      </w:r>
      <w:r>
        <w:rPr>
          <w:rFonts w:ascii="Arial" w:cs="Arial" w:eastAsia="Arial" w:hAnsi="Arial"/>
          <w:sz w:val="18"/>
          <w:szCs w:val="18"/>
          <w:color w:val="auto"/>
        </w:rPr>
        <w:t xml:space="preserve"> The certificates for Shares may include any legend which the Committee deems appropriate to reflect any restrictions on transfer of such Shares.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9" w:name="page40"/>
    <w:bookmarkEnd w:id="39"/>
    <w:p>
      <w:pPr>
        <w:ind w:right="140" w:firstLine="270"/>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i w:val="1"/>
          <w:iCs w:val="1"/>
          <w:color w:val="auto"/>
        </w:rPr>
        <w:t>Gender and Number.</w:t>
      </w:r>
      <w:r>
        <w:rPr>
          <w:rFonts w:ascii="Arial" w:cs="Arial" w:eastAsia="Arial" w:hAnsi="Arial"/>
          <w:sz w:val="18"/>
          <w:szCs w:val="18"/>
          <w:color w:val="auto"/>
        </w:rPr>
        <w:t xml:space="preserve"> Except where otherwise indicated by the context, any masculine term used herein also shall include the feminine, the plural shall include the singular, and the singular shall include the plural.</w:t>
      </w:r>
    </w:p>
    <w:p>
      <w:pPr>
        <w:spacing w:after="0" w:line="62" w:lineRule="exact"/>
        <w:rPr>
          <w:sz w:val="20"/>
          <w:szCs w:val="20"/>
          <w:color w:val="auto"/>
        </w:rPr>
      </w:pPr>
    </w:p>
    <w:p>
      <w:pPr>
        <w:ind w:right="340" w:firstLine="270"/>
        <w:spacing w:after="0" w:line="308"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i w:val="1"/>
          <w:iCs w:val="1"/>
          <w:color w:val="auto"/>
        </w:rPr>
        <w:t>Severability.</w:t>
      </w:r>
      <w:r>
        <w:rPr>
          <w:rFonts w:ascii="Arial" w:cs="Arial" w:eastAsia="Arial" w:hAnsi="Arial"/>
          <w:sz w:val="17"/>
          <w:szCs w:val="17"/>
          <w:color w:val="auto"/>
        </w:rPr>
        <w:t xml:space="preserve"> In the event any provision of this Plan shall be held illegal or invalid for any reason, the illegality or invalidity shall not affect the remaining parts of this Plan, and this Plan shall be construed and enforced as if the illegal or invalid provision had not been included.</w:t>
      </w:r>
    </w:p>
    <w:p>
      <w:pPr>
        <w:spacing w:after="0" w:line="38" w:lineRule="exact"/>
        <w:rPr>
          <w:sz w:val="20"/>
          <w:szCs w:val="20"/>
          <w:color w:val="auto"/>
        </w:rPr>
      </w:pPr>
    </w:p>
    <w:p>
      <w:pPr>
        <w:ind w:right="700" w:firstLine="270"/>
        <w:spacing w:after="0" w:line="277"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i w:val="1"/>
          <w:iCs w:val="1"/>
          <w:color w:val="auto"/>
        </w:rPr>
        <w:t>Requirements of Law.</w:t>
      </w:r>
      <w:r>
        <w:rPr>
          <w:rFonts w:ascii="Arial" w:cs="Arial" w:eastAsia="Arial" w:hAnsi="Arial"/>
          <w:sz w:val="18"/>
          <w:szCs w:val="18"/>
          <w:color w:val="auto"/>
        </w:rPr>
        <w:t xml:space="preserve"> The granting of Awards and the issuance of Shares under this Plan shall be subject to all applicable laws, rules, and regulations, and to such approvals by any governmental agencies or stock exchange as may be required.</w:t>
      </w:r>
    </w:p>
    <w:p>
      <w:pPr>
        <w:spacing w:after="0" w:line="62"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i w:val="1"/>
          <w:iCs w:val="1"/>
          <w:color w:val="auto"/>
        </w:rPr>
        <w:t xml:space="preserve">Delivery of Title. </w:t>
      </w:r>
      <w:r>
        <w:rPr>
          <w:rFonts w:ascii="Arial" w:cs="Arial" w:eastAsia="Arial" w:hAnsi="Arial"/>
          <w:sz w:val="16"/>
          <w:szCs w:val="16"/>
          <w:color w:val="auto"/>
        </w:rPr>
        <w:t>The Company shall have no obligation to issue or deliver evidence of title for Shares issued under this Plan prior to:</w:t>
      </w:r>
    </w:p>
    <w:p>
      <w:pPr>
        <w:spacing w:after="0" w:line="117" w:lineRule="exact"/>
        <w:rPr>
          <w:sz w:val="20"/>
          <w:szCs w:val="20"/>
          <w:color w:val="auto"/>
        </w:rPr>
      </w:pPr>
    </w:p>
    <w:p>
      <w:pPr>
        <w:ind w:left="880" w:hanging="251"/>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any approvals from governmental agencies that the Company determines are necessary or advisable; and</w:t>
      </w:r>
    </w:p>
    <w:p>
      <w:pPr>
        <w:spacing w:after="0" w:line="130" w:lineRule="exact"/>
        <w:rPr>
          <w:rFonts w:ascii="Arial" w:cs="Arial" w:eastAsia="Arial" w:hAnsi="Arial"/>
          <w:sz w:val="18"/>
          <w:szCs w:val="18"/>
          <w:color w:val="auto"/>
        </w:rPr>
      </w:pPr>
    </w:p>
    <w:p>
      <w:pPr>
        <w:ind w:left="360" w:right="320" w:firstLine="269"/>
        <w:spacing w:after="0" w:line="277" w:lineRule="auto"/>
        <w:tabs>
          <w:tab w:leader="none" w:pos="8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Completion of any registration or other qualification of the Shares under any applicable national or foreign law or ruling of any governmental body that the Company determines to be necessary or advisable.</w:t>
      </w:r>
    </w:p>
    <w:p>
      <w:pPr>
        <w:spacing w:after="0" w:line="62" w:lineRule="exact"/>
        <w:rPr>
          <w:sz w:val="20"/>
          <w:szCs w:val="20"/>
          <w:color w:val="auto"/>
        </w:rPr>
      </w:pPr>
    </w:p>
    <w:p>
      <w:pPr>
        <w:ind w:right="260" w:firstLine="270"/>
        <w:spacing w:after="0" w:line="286"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i w:val="1"/>
          <w:iCs w:val="1"/>
          <w:color w:val="auto"/>
        </w:rPr>
        <w:t>Inability to Obtain Authority.</w:t>
      </w:r>
      <w:r>
        <w:rPr>
          <w:rFonts w:ascii="Arial" w:cs="Arial" w:eastAsia="Arial" w:hAnsi="Arial"/>
          <w:sz w:val="17"/>
          <w:szCs w:val="17"/>
          <w:color w:val="auto"/>
        </w:rPr>
        <w:t xml:space="preserve">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57" w:lineRule="exact"/>
        <w:rPr>
          <w:sz w:val="20"/>
          <w:szCs w:val="20"/>
          <w:color w:val="auto"/>
        </w:rPr>
      </w:pPr>
    </w:p>
    <w:p>
      <w:pPr>
        <w:ind w:right="260" w:firstLine="270"/>
        <w:spacing w:after="0" w:line="342"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i w:val="1"/>
          <w:iCs w:val="1"/>
          <w:color w:val="auto"/>
        </w:rPr>
        <w:t>Investment Representations.</w:t>
      </w:r>
      <w:r>
        <w:rPr>
          <w:rFonts w:ascii="Arial" w:cs="Arial" w:eastAsia="Arial" w:hAnsi="Arial"/>
          <w:sz w:val="16"/>
          <w:szCs w:val="16"/>
          <w:color w:val="auto"/>
        </w:rPr>
        <w:t xml:space="preserve"> The Committee may require any individual receiving Shares pursuant to an Award under this Plan to represent and warrant in writing that the individual is acquiring the Shares for investment and without any present intention to sell or distribute such Shares.</w:t>
      </w:r>
    </w:p>
    <w:p>
      <w:pPr>
        <w:spacing w:after="0" w:line="16" w:lineRule="exact"/>
        <w:rPr>
          <w:sz w:val="20"/>
          <w:szCs w:val="20"/>
          <w:color w:val="auto"/>
        </w:rPr>
      </w:pPr>
    </w:p>
    <w:p>
      <w:pPr>
        <w:ind w:right="380" w:firstLine="270"/>
        <w:spacing w:after="0" w:line="264"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i w:val="1"/>
          <w:iCs w:val="1"/>
          <w:color w:val="auto"/>
        </w:rPr>
        <w:t>Employees Based Outside of the United States.</w:t>
      </w:r>
      <w:r>
        <w:rPr>
          <w:rFonts w:ascii="Arial" w:cs="Arial" w:eastAsia="Arial" w:hAnsi="Arial"/>
          <w:sz w:val="18"/>
          <w:szCs w:val="18"/>
          <w:color w:val="auto"/>
        </w:rPr>
        <w:t xml:space="preserve"> Notwithstanding any provision of this Plan to the contrary, in order to comply with the laws in other countries in which the Company, its Affiliates, and/or its Subsidiaries operate or have Employees, Directors, or Third Party Service Providers, the Committee, in its sole discretion, shall have the power and authority to:</w:t>
      </w:r>
    </w:p>
    <w:p>
      <w:pPr>
        <w:spacing w:after="0" w:line="73" w:lineRule="exact"/>
        <w:rPr>
          <w:sz w:val="20"/>
          <w:szCs w:val="20"/>
          <w:color w:val="auto"/>
        </w:rPr>
      </w:pPr>
    </w:p>
    <w:p>
      <w:pPr>
        <w:ind w:left="880" w:hanging="251"/>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Determine which Affiliates and Subsidiaries shall be covered by this Plan;</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Determine which Employees, Directors, and/or Third Party Service Providers outside the United States are eligible to participate in this Plan;</w:t>
      </w:r>
    </w:p>
    <w:p>
      <w:pPr>
        <w:spacing w:after="0" w:line="153" w:lineRule="exact"/>
        <w:rPr>
          <w:rFonts w:ascii="Arial" w:cs="Arial" w:eastAsia="Arial" w:hAnsi="Arial"/>
          <w:sz w:val="16"/>
          <w:szCs w:val="16"/>
          <w:color w:val="auto"/>
        </w:rPr>
      </w:pPr>
    </w:p>
    <w:p>
      <w:pPr>
        <w:ind w:left="360" w:right="240" w:firstLine="269"/>
        <w:spacing w:after="0" w:line="277" w:lineRule="auto"/>
        <w:tabs>
          <w:tab w:leader="none" w:pos="8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Employees and/or Third Party Service Providers outside the United States to comply with applicable foreign laws;</w:t>
      </w:r>
    </w:p>
    <w:p>
      <w:pPr>
        <w:spacing w:after="0" w:line="75" w:lineRule="exact"/>
        <w:rPr>
          <w:rFonts w:ascii="Arial" w:cs="Arial" w:eastAsia="Arial" w:hAnsi="Arial"/>
          <w:sz w:val="18"/>
          <w:szCs w:val="18"/>
          <w:color w:val="auto"/>
        </w:rPr>
      </w:pPr>
    </w:p>
    <w:p>
      <w:pPr>
        <w:jc w:val="both"/>
        <w:ind w:left="360" w:firstLine="269"/>
        <w:spacing w:after="0" w:line="264" w:lineRule="auto"/>
        <w:tabs>
          <w:tab w:leader="none" w:pos="8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21.9 by the Committee shall be attached to this Plan document as appendices; and</w:t>
      </w:r>
    </w:p>
    <w:p>
      <w:pPr>
        <w:spacing w:after="0" w:line="86" w:lineRule="exact"/>
        <w:rPr>
          <w:rFonts w:ascii="Arial" w:cs="Arial" w:eastAsia="Arial" w:hAnsi="Arial"/>
          <w:sz w:val="18"/>
          <w:szCs w:val="18"/>
          <w:color w:val="auto"/>
        </w:rPr>
      </w:pPr>
    </w:p>
    <w:p>
      <w:pPr>
        <w:ind w:left="360" w:right="360" w:firstLine="269"/>
        <w:spacing w:after="0" w:line="277" w:lineRule="auto"/>
        <w:tabs>
          <w:tab w:leader="none" w:pos="8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Notwithstanding the above, the Committee may not take any actions hereunder, and no Awards shall be granted, that would violate applicable law.</w:t>
      </w:r>
    </w:p>
    <w:p>
      <w:pPr>
        <w:spacing w:after="0" w:line="129"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 xml:space="preserve">21.10 </w:t>
      </w:r>
      <w:r>
        <w:rPr>
          <w:rFonts w:ascii="Arial" w:cs="Arial" w:eastAsia="Arial" w:hAnsi="Arial"/>
          <w:sz w:val="18"/>
          <w:szCs w:val="18"/>
          <w:i w:val="1"/>
          <w:iCs w:val="1"/>
          <w:color w:val="auto"/>
        </w:rPr>
        <w:t>Uncertificated Shares.</w:t>
      </w:r>
      <w:r>
        <w:rPr>
          <w:rFonts w:ascii="Arial" w:cs="Arial" w:eastAsia="Arial" w:hAnsi="Arial"/>
          <w:sz w:val="18"/>
          <w:szCs w:val="18"/>
          <w:color w:val="auto"/>
        </w:rPr>
        <w:t xml:space="preserve"> To the extent that this Plan provides for issuance of certificates to reflect the transfer of Shares, the transfer of such Shares may be effected on a noncertificated basis, to the extent not prohibited by applicable law or the rules of any stock exchange.</w:t>
      </w:r>
    </w:p>
    <w:p>
      <w:pPr>
        <w:spacing w:after="0" w:line="62" w:lineRule="exact"/>
        <w:rPr>
          <w:sz w:val="20"/>
          <w:szCs w:val="20"/>
          <w:color w:val="auto"/>
        </w:rPr>
      </w:pPr>
    </w:p>
    <w:p>
      <w:pPr>
        <w:ind w:right="220" w:firstLine="270"/>
        <w:spacing w:after="0" w:line="342" w:lineRule="auto"/>
        <w:rPr>
          <w:sz w:val="20"/>
          <w:szCs w:val="20"/>
          <w:color w:val="auto"/>
        </w:rPr>
      </w:pPr>
      <w:r>
        <w:rPr>
          <w:rFonts w:ascii="Arial" w:cs="Arial" w:eastAsia="Arial" w:hAnsi="Arial"/>
          <w:sz w:val="16"/>
          <w:szCs w:val="16"/>
          <w:color w:val="auto"/>
        </w:rPr>
        <w:t xml:space="preserve">21.11 </w:t>
      </w:r>
      <w:r>
        <w:rPr>
          <w:rFonts w:ascii="Arial" w:cs="Arial" w:eastAsia="Arial" w:hAnsi="Arial"/>
          <w:sz w:val="16"/>
          <w:szCs w:val="16"/>
          <w:i w:val="1"/>
          <w:iCs w:val="1"/>
          <w:color w:val="auto"/>
        </w:rPr>
        <w:t>Unfunded Plan.</w:t>
      </w:r>
      <w:r>
        <w:rPr>
          <w:rFonts w:ascii="Arial" w:cs="Arial" w:eastAsia="Arial" w:hAnsi="Arial"/>
          <w:sz w:val="16"/>
          <w:szCs w:val="16"/>
          <w:color w:val="auto"/>
        </w:rPr>
        <w:t xml:space="preserve"> Participants shall have no right, title, or interest whatsoever in or to any investments that the Company, and/or its Subsidiaries, and/or its Affiliates may make to aid it in meeting its obligations under this Plan. Nothing contained in this Plan, and no action taken pursuant to its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0" w:name="page41"/>
    <w:bookmarkEnd w:id="40"/>
    <w:p>
      <w:pPr>
        <w:ind w:right="20"/>
        <w:spacing w:after="0" w:line="255" w:lineRule="auto"/>
        <w:rPr>
          <w:sz w:val="20"/>
          <w:szCs w:val="20"/>
          <w:color w:val="auto"/>
        </w:rPr>
      </w:pPr>
      <w:r>
        <w:rPr>
          <w:rFonts w:ascii="Arial" w:cs="Arial" w:eastAsia="Arial" w:hAnsi="Arial"/>
          <w:sz w:val="18"/>
          <w:szCs w:val="18"/>
          <w:color w:val="auto"/>
        </w:rPr>
        <w:t>provisions, shall create or be construed to create a trust of any kind, or a fiduciary relationship between the Company and any Participant, beneficiary, legal representative, or any other individual. To the extent that any individual acquires a right to receive payments from the Company, its Subsidiaries, and/or its Affiliates under this Plan, such right shall be no greater than the right of an unsecured general creditor of the Company, a Subsidiary, or an Affiliate, as the case may be. All payments to be made hereunder shall be paid from the general funds of the Company, a Subsidiary, or an Affiliate, as the case may be and no special or separate fund shall be established and no segregation of assets shall be made to assure payment of such amounts except as expressly set forth in this Plan.</w:t>
      </w:r>
    </w:p>
    <w:p>
      <w:pPr>
        <w:spacing w:after="0" w:line="85" w:lineRule="exact"/>
        <w:rPr>
          <w:sz w:val="20"/>
          <w:szCs w:val="20"/>
          <w:color w:val="auto"/>
        </w:rPr>
      </w:pPr>
    </w:p>
    <w:p>
      <w:pPr>
        <w:ind w:right="380" w:firstLine="270"/>
        <w:spacing w:after="0" w:line="264" w:lineRule="auto"/>
        <w:rPr>
          <w:sz w:val="20"/>
          <w:szCs w:val="20"/>
          <w:color w:val="auto"/>
        </w:rPr>
      </w:pPr>
      <w:r>
        <w:rPr>
          <w:rFonts w:ascii="Arial" w:cs="Arial" w:eastAsia="Arial" w:hAnsi="Arial"/>
          <w:sz w:val="18"/>
          <w:szCs w:val="18"/>
          <w:color w:val="auto"/>
        </w:rPr>
        <w:t xml:space="preserve">21.12 </w:t>
      </w:r>
      <w:r>
        <w:rPr>
          <w:rFonts w:ascii="Arial" w:cs="Arial" w:eastAsia="Arial" w:hAnsi="Arial"/>
          <w:sz w:val="18"/>
          <w:szCs w:val="18"/>
          <w:i w:val="1"/>
          <w:iCs w:val="1"/>
          <w:color w:val="auto"/>
        </w:rPr>
        <w:t>No Fractional Shares.</w:t>
      </w:r>
      <w:r>
        <w:rPr>
          <w:rFonts w:ascii="Arial" w:cs="Arial" w:eastAsia="Arial" w:hAnsi="Arial"/>
          <w:sz w:val="18"/>
          <w:szCs w:val="18"/>
          <w:color w:val="auto"/>
        </w:rPr>
        <w:t xml:space="preserve"> No fractional Shares shall be issued or delivered pursuant to this Plan or any Award. The Committee shall determine whether cash, Awards, or other property shall be issued or paid in lieu of fractional Shares or whether such fractional Shares or any rights thereto shall be forfeited or otherwise eliminated.</w:t>
      </w:r>
    </w:p>
    <w:p>
      <w:pPr>
        <w:spacing w:after="0" w:line="73" w:lineRule="exact"/>
        <w:rPr>
          <w:sz w:val="20"/>
          <w:szCs w:val="20"/>
          <w:color w:val="auto"/>
        </w:rPr>
      </w:pPr>
    </w:p>
    <w:p>
      <w:pPr>
        <w:ind w:right="300" w:firstLine="270"/>
        <w:spacing w:after="0" w:line="259" w:lineRule="auto"/>
        <w:rPr>
          <w:sz w:val="20"/>
          <w:szCs w:val="20"/>
          <w:color w:val="auto"/>
        </w:rPr>
      </w:pPr>
      <w:r>
        <w:rPr>
          <w:rFonts w:ascii="Arial" w:cs="Arial" w:eastAsia="Arial" w:hAnsi="Arial"/>
          <w:sz w:val="18"/>
          <w:szCs w:val="18"/>
          <w:color w:val="auto"/>
        </w:rPr>
        <w:t xml:space="preserve">21.13 </w:t>
      </w:r>
      <w:r>
        <w:rPr>
          <w:rFonts w:ascii="Arial" w:cs="Arial" w:eastAsia="Arial" w:hAnsi="Arial"/>
          <w:sz w:val="18"/>
          <w:szCs w:val="18"/>
          <w:i w:val="1"/>
          <w:iCs w:val="1"/>
          <w:color w:val="auto"/>
        </w:rPr>
        <w:t>Retirement and Welfare Plans.</w:t>
      </w:r>
      <w:r>
        <w:rPr>
          <w:rFonts w:ascii="Arial" w:cs="Arial" w:eastAsia="Arial" w:hAnsi="Arial"/>
          <w:sz w:val="18"/>
          <w:szCs w:val="18"/>
          <w:color w:val="auto"/>
        </w:rPr>
        <w:t xml:space="preserve"> Neither Awards made under this Plan nor Shares or cash paid pursuant to such Awards may be included as “compensation” for purposes of computing the benefits payable to any Participant under the Company’s or any Subsidiary’s or Affiliate’s retirement plans (both qualified and non-qualified) or welfare benefit plans unless such other plan expressly provides that such compensation shall be taken into account in computing a Participant’s benefit.</w:t>
      </w:r>
    </w:p>
    <w:p>
      <w:pPr>
        <w:spacing w:after="0" w:line="79" w:lineRule="exact"/>
        <w:rPr>
          <w:sz w:val="20"/>
          <w:szCs w:val="20"/>
          <w:color w:val="auto"/>
        </w:rPr>
      </w:pPr>
    </w:p>
    <w:p>
      <w:pPr>
        <w:ind w:right="180" w:firstLine="270"/>
        <w:spacing w:after="0" w:line="272" w:lineRule="auto"/>
        <w:rPr>
          <w:sz w:val="20"/>
          <w:szCs w:val="20"/>
          <w:color w:val="auto"/>
        </w:rPr>
      </w:pPr>
      <w:r>
        <w:rPr>
          <w:rFonts w:ascii="Arial" w:cs="Arial" w:eastAsia="Arial" w:hAnsi="Arial"/>
          <w:sz w:val="17"/>
          <w:szCs w:val="17"/>
          <w:color w:val="auto"/>
        </w:rPr>
        <w:t xml:space="preserve">21.14 </w:t>
      </w:r>
      <w:r>
        <w:rPr>
          <w:rFonts w:ascii="Arial" w:cs="Arial" w:eastAsia="Arial" w:hAnsi="Arial"/>
          <w:sz w:val="17"/>
          <w:szCs w:val="17"/>
          <w:i w:val="1"/>
          <w:iCs w:val="1"/>
          <w:color w:val="auto"/>
        </w:rPr>
        <w:t>Deferred Compensation.</w:t>
      </w:r>
      <w:r>
        <w:rPr>
          <w:rFonts w:ascii="Arial" w:cs="Arial" w:eastAsia="Arial" w:hAnsi="Arial"/>
          <w:sz w:val="17"/>
          <w:szCs w:val="17"/>
          <w:color w:val="auto"/>
        </w:rPr>
        <w:t xml:space="preserve"> No deferral of compensation (as defined under Code Section 409A or guidance thereto) is intended under this Plan. Notwithstanding this intent, if any Award would be considered deferred compensation as defined under Code Section 409A and if this Plan fails to meet the requirements of Code Section 409A with respect to such Award, then such Award shall be null and void. However, the Committee may permit deferrals of compensation pursuant to the terms of a Participant’s Award Agreement, a separate plan or a subplan which meets the requirements of Code Section 409A and any related guidance. Additionally, to the extent any Award is subject to Code Section 409A, notwithstanding any provision herein to the contrary, the Plan does not permit the acceleration or delay of the time or schedule of any distribution related to such Award, except as permitted by Code Section 409A, the regulations thereunder, and/or the Secretary of the United States Treasury.</w:t>
      </w:r>
    </w:p>
    <w:p>
      <w:pPr>
        <w:spacing w:after="0" w:line="70"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 xml:space="preserve">21.15 </w:t>
      </w:r>
      <w:r>
        <w:rPr>
          <w:rFonts w:ascii="Arial" w:cs="Arial" w:eastAsia="Arial" w:hAnsi="Arial"/>
          <w:sz w:val="18"/>
          <w:szCs w:val="18"/>
          <w:i w:val="1"/>
          <w:iCs w:val="1"/>
          <w:color w:val="auto"/>
        </w:rPr>
        <w:t>Nonexclusivity of this Plan.</w:t>
      </w:r>
      <w:r>
        <w:rPr>
          <w:rFonts w:ascii="Arial" w:cs="Arial" w:eastAsia="Arial" w:hAnsi="Arial"/>
          <w:sz w:val="18"/>
          <w:szCs w:val="18"/>
          <w:color w:val="auto"/>
        </w:rPr>
        <w:t xml:space="preserve"> The adoption of this Plan shall not be construed as creating any limitations on the power of the Board or Committee to adopt such other compensation arrangements as it may deem desirable for any Participant.</w:t>
      </w:r>
    </w:p>
    <w:p>
      <w:pPr>
        <w:spacing w:after="0" w:line="62"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 xml:space="preserve">21.16 </w:t>
      </w:r>
      <w:r>
        <w:rPr>
          <w:rFonts w:ascii="Arial" w:cs="Arial" w:eastAsia="Arial" w:hAnsi="Arial"/>
          <w:sz w:val="18"/>
          <w:szCs w:val="18"/>
          <w:i w:val="1"/>
          <w:iCs w:val="1"/>
          <w:color w:val="auto"/>
        </w:rPr>
        <w:t>No Constraint on Corporate Action.</w:t>
      </w:r>
      <w:r>
        <w:rPr>
          <w:rFonts w:ascii="Arial" w:cs="Arial" w:eastAsia="Arial" w:hAnsi="Arial"/>
          <w:sz w:val="18"/>
          <w:szCs w:val="18"/>
          <w:color w:val="auto"/>
        </w:rPr>
        <w:t xml:space="preserve"> Nothing in this Plan shall be construed to: (i) limit, impair, or otherwise affect the Company’s or a Subsidiary’s or an Affiliate’s right or power to make adjustments, reclassifications, reorganizations, or changes of its capital or business structure, or to merge or consolidate, or dissolve, liquidate, sell, or transfer all or any part of its business or assets; or, (ii) limit the right or power of the Company or a Subsidiary or an Affiliate to take any action which such entity deems to be necessary or appropriate.</w:t>
      </w:r>
    </w:p>
    <w:p>
      <w:pPr>
        <w:spacing w:after="0" w:line="79" w:lineRule="exact"/>
        <w:rPr>
          <w:sz w:val="20"/>
          <w:szCs w:val="20"/>
          <w:color w:val="auto"/>
        </w:rPr>
      </w:pPr>
    </w:p>
    <w:p>
      <w:pPr>
        <w:ind w:firstLine="270"/>
        <w:spacing w:after="0" w:line="279" w:lineRule="auto"/>
        <w:rPr>
          <w:sz w:val="20"/>
          <w:szCs w:val="20"/>
          <w:color w:val="auto"/>
        </w:rPr>
      </w:pPr>
      <w:r>
        <w:rPr>
          <w:rFonts w:ascii="Arial" w:cs="Arial" w:eastAsia="Arial" w:hAnsi="Arial"/>
          <w:sz w:val="17"/>
          <w:szCs w:val="17"/>
          <w:color w:val="auto"/>
        </w:rPr>
        <w:t xml:space="preserve">21.17 </w:t>
      </w:r>
      <w:r>
        <w:rPr>
          <w:rFonts w:ascii="Arial" w:cs="Arial" w:eastAsia="Arial" w:hAnsi="Arial"/>
          <w:sz w:val="17"/>
          <w:szCs w:val="17"/>
          <w:i w:val="1"/>
          <w:iCs w:val="1"/>
          <w:color w:val="auto"/>
        </w:rPr>
        <w:t>Governing Law.</w:t>
      </w:r>
      <w:r>
        <w:rPr>
          <w:rFonts w:ascii="Arial" w:cs="Arial" w:eastAsia="Arial" w:hAnsi="Arial"/>
          <w:sz w:val="17"/>
          <w:szCs w:val="17"/>
          <w:color w:val="auto"/>
        </w:rPr>
        <w:t xml:space="preserve"> The Plan and each Award Agreement shall be governed by the laws of the State of Ohio, excluding any conflicts or choice of law rule or principle that might otherwise refer construction or interpretation of this Plan to the substantive law of another jurisdiction. Unless otherwise provided in the Award Agreement, recipients of an Award under this Plan are deemed to submit to the exclusive jurisdiction and venue of the federal or state courts of Ohio, to resolve any and all issues that may arise out of or relate to this Plan or any related Award Agreement.</w:t>
      </w:r>
    </w:p>
    <w:p>
      <w:pPr>
        <w:spacing w:after="0" w:line="63"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 xml:space="preserve">21.18 </w:t>
      </w:r>
      <w:r>
        <w:rPr>
          <w:rFonts w:ascii="Arial" w:cs="Arial" w:eastAsia="Arial" w:hAnsi="Arial"/>
          <w:sz w:val="18"/>
          <w:szCs w:val="18"/>
          <w:i w:val="1"/>
          <w:iCs w:val="1"/>
          <w:color w:val="auto"/>
        </w:rPr>
        <w:t>Indemnification.</w:t>
      </w:r>
      <w:r>
        <w:rPr>
          <w:rFonts w:ascii="Arial" w:cs="Arial" w:eastAsia="Arial" w:hAnsi="Arial"/>
          <w:sz w:val="18"/>
          <w:szCs w:val="18"/>
          <w:color w:val="auto"/>
        </w:rPr>
        <w:t xml:space="preserve"> Subject to requirements of Ohio law, each individual who is or shall have been a member of the Board, or a Committee appointed by the Board, or an officer of the Company to whom authority was delegated in accordance with Article 3,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this Plan and against and from any and all amounts paid by him or her in settlement thereof, with the Company’s approval, or paid by him or her in satisfaction of any judgment in any such action,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1" w:name="page42"/>
    <w:bookmarkEnd w:id="41"/>
    <w:p>
      <w:pPr>
        <w:ind w:right="40"/>
        <w:spacing w:after="0" w:line="264" w:lineRule="auto"/>
        <w:rPr>
          <w:sz w:val="20"/>
          <w:szCs w:val="20"/>
          <w:color w:val="auto"/>
        </w:rPr>
      </w:pPr>
      <w:r>
        <w:rPr>
          <w:rFonts w:ascii="Arial" w:cs="Arial" w:eastAsia="Arial" w:hAnsi="Arial"/>
          <w:sz w:val="18"/>
          <w:szCs w:val="18"/>
          <w:color w:val="auto"/>
        </w:rPr>
        <w:t>suit, or proceeding against him or her, provided he or she shall give the Company an opportunity, at its own expense, to handle and defend the same before he or she undertakes to handle and defend it on his/her own behalf, unless such loss, cost, liability, or expense is a result of his/her own willful misconduct or except as expressly provided by statute.</w:t>
      </w:r>
    </w:p>
    <w:p>
      <w:pPr>
        <w:spacing w:after="0" w:line="73" w:lineRule="exact"/>
        <w:rPr>
          <w:sz w:val="20"/>
          <w:szCs w:val="20"/>
          <w:color w:val="auto"/>
        </w:rPr>
      </w:pPr>
    </w:p>
    <w:p>
      <w:pPr>
        <w:ind w:firstLine="267"/>
        <w:spacing w:after="0" w:line="264" w:lineRule="auto"/>
        <w:rPr>
          <w:sz w:val="20"/>
          <w:szCs w:val="20"/>
          <w:color w:val="auto"/>
        </w:rPr>
      </w:pPr>
      <w:r>
        <w:rPr>
          <w:rFonts w:ascii="Arial" w:cs="Arial" w:eastAsia="Arial" w:hAnsi="Arial"/>
          <w:sz w:val="18"/>
          <w:szCs w:val="18"/>
          <w:color w:val="auto"/>
        </w:rPr>
        <w:t>The foregoing right of indemnification shall not be exclusive of any other rights of indemnification to which such individuals may be entitled under the Company’s Articles of Incorporation or Code of Regulations, as a matter of law, or otherwise, or any power that the Company may have to indemnify them or hold them harmless.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935" w:right="2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reports dated December 14, 2005, relating to the financial statements and financial statement schedule of The Scotts Miracle-Gro Company, and management’s report on the effectiveness of internal control over financial reporting appearing in the Annual Report on Form 10-K of The Scotts Miracle-Gro Company for the year ended September 30, 2005.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30, 2006</w:t>
      </w:r>
    </w:p>
    <w:p>
      <w:pPr>
        <w:sectPr>
          <w:pgSz w:w="11900" w:h="16838" w:orient="portrait"/>
          <w:cols w:equalWidth="0" w:num="1">
            <w:col w:w="11420"/>
          </w:cols>
          <w:pgMar w:left="240" w:top="93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23.2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17"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reports dated November 22, 2004 relating to the financial statements and financial statement schedule of The Scotts Miracle-Gro Company, which appear in The Scotts Miracle-Gro Company’s Annual Report on Form 10-K for the year ended September 30, 2005.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2006</w:t>
      </w:r>
    </w:p>
    <w:p>
      <w:pPr>
        <w:sectPr>
          <w:pgSz w:w="11900" w:h="16838" w:orient="portrait"/>
          <w:cols w:equalWidth="0" w:num="1">
            <w:col w:w="11420"/>
          </w:cols>
          <w:pgMar w:left="240" w:top="932" w:right="23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8"/>
          <w:szCs w:val="18"/>
          <w:u w:val="single" w:color="auto"/>
          <w:color w:val="auto"/>
        </w:rPr>
        <w:t>EXHIBIT 24.1</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POWERS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421640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Registration Statement on Form S-8 </w:t>
      </w:r>
      <w:r>
        <w:rPr>
          <w:rFonts w:ascii="Arial" w:cs="Arial" w:eastAsia="Arial" w:hAnsi="Arial"/>
          <w:sz w:val="17"/>
          <w:szCs w:val="17"/>
          <w:color w:val="auto"/>
        </w:rPr>
        <w:t>for the registration of certain of its common shares for offering and sale pursuant to</w:t>
      </w:r>
      <w:r>
        <w:rPr>
          <w:rFonts w:ascii="Arial" w:cs="Arial" w:eastAsia="Arial" w:hAnsi="Arial"/>
          <w:sz w:val="17"/>
          <w:szCs w:val="17"/>
          <w:b w:val="1"/>
          <w:bCs w:val="1"/>
          <w:color w:val="auto"/>
        </w:rPr>
        <w:t xml:space="preserve"> The Scotts Miracle-Gro Company 2006 Long-Term Incentive Plan</w:t>
      </w:r>
      <w:r>
        <w:rPr>
          <w:rFonts w:ascii="Arial" w:cs="Arial" w:eastAsia="Arial" w:hAnsi="Arial"/>
          <w:sz w:val="17"/>
          <w:szCs w:val="17"/>
          <w:color w:val="auto"/>
        </w:rPr>
        <w:t>, hereby constitutes and appoints</w:t>
      </w:r>
      <w:r>
        <w:rPr>
          <w:rFonts w:ascii="Arial" w:cs="Arial" w:eastAsia="Arial" w:hAnsi="Arial"/>
          <w:sz w:val="17"/>
          <w:szCs w:val="17"/>
          <w:b w:val="1"/>
          <w:bCs w:val="1"/>
          <w:color w:val="auto"/>
        </w:rPr>
        <w:t xml:space="preserve"> James Hagedorn, David M. Aronowitz </w:t>
      </w:r>
      <w:r>
        <w:rPr>
          <w:rFonts w:ascii="Arial" w:cs="Arial" w:eastAsia="Arial" w:hAnsi="Arial"/>
          <w:sz w:val="17"/>
          <w:szCs w:val="17"/>
          <w:color w:val="auto"/>
        </w:rPr>
        <w:t>and</w:t>
      </w:r>
      <w:r>
        <w:rPr>
          <w:rFonts w:ascii="Arial" w:cs="Arial" w:eastAsia="Arial" w:hAnsi="Arial"/>
          <w:sz w:val="17"/>
          <w:szCs w:val="17"/>
          <w:b w:val="1"/>
          <w:bCs w:val="1"/>
          <w:color w:val="auto"/>
        </w:rPr>
        <w:t xml:space="preserve"> Christopher L. Nagel</w:t>
      </w:r>
      <w:r>
        <w:rPr>
          <w:rFonts w:ascii="Arial" w:cs="Arial" w:eastAsia="Arial" w:hAnsi="Arial"/>
          <w:sz w:val="17"/>
          <w:szCs w:val="17"/>
          <w:color w:val="auto"/>
        </w:rPr>
        <w:t>, and each</w:t>
      </w:r>
      <w:r>
        <w:rPr>
          <w:rFonts w:ascii="Arial" w:cs="Arial" w:eastAsia="Arial" w:hAnsi="Arial"/>
          <w:sz w:val="17"/>
          <w:szCs w:val="17"/>
          <w:b w:val="1"/>
          <w:bCs w:val="1"/>
          <w:color w:val="auto"/>
        </w:rPr>
        <w:t xml:space="preserve"> </w:t>
      </w:r>
      <w:r>
        <w:rPr>
          <w:rFonts w:ascii="Arial" w:cs="Arial" w:eastAsia="Arial" w:hAnsi="Arial"/>
          <w:sz w:val="17"/>
          <w:szCs w:val="17"/>
          <w:color w:val="auto"/>
        </w:rPr>
        <w:t>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26</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2006.</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Mark R.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R.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Registration Statement on Form S-8 </w:t>
      </w:r>
      <w:r>
        <w:rPr>
          <w:rFonts w:ascii="Arial" w:cs="Arial" w:eastAsia="Arial" w:hAnsi="Arial"/>
          <w:sz w:val="17"/>
          <w:szCs w:val="17"/>
          <w:color w:val="auto"/>
        </w:rPr>
        <w:t>for the registration of certain of its common shares for offering and sale pursuant to</w:t>
      </w:r>
      <w:r>
        <w:rPr>
          <w:rFonts w:ascii="Arial" w:cs="Arial" w:eastAsia="Arial" w:hAnsi="Arial"/>
          <w:sz w:val="17"/>
          <w:szCs w:val="17"/>
          <w:b w:val="1"/>
          <w:bCs w:val="1"/>
          <w:color w:val="auto"/>
        </w:rPr>
        <w:t xml:space="preserve"> The Scotts Miracle-Gro Company 2006 Long-Term Incentive Plan</w:t>
      </w:r>
      <w:r>
        <w:rPr>
          <w:rFonts w:ascii="Arial" w:cs="Arial" w:eastAsia="Arial" w:hAnsi="Arial"/>
          <w:sz w:val="17"/>
          <w:szCs w:val="17"/>
          <w:color w:val="auto"/>
        </w:rPr>
        <w:t>, hereby constitutes and appoints</w:t>
      </w:r>
      <w:r>
        <w:rPr>
          <w:rFonts w:ascii="Arial" w:cs="Arial" w:eastAsia="Arial" w:hAnsi="Arial"/>
          <w:sz w:val="17"/>
          <w:szCs w:val="17"/>
          <w:b w:val="1"/>
          <w:bCs w:val="1"/>
          <w:color w:val="auto"/>
        </w:rPr>
        <w:t xml:space="preserve"> James Hagedorn, David M. Aronowitz </w:t>
      </w:r>
      <w:r>
        <w:rPr>
          <w:rFonts w:ascii="Arial" w:cs="Arial" w:eastAsia="Arial" w:hAnsi="Arial"/>
          <w:sz w:val="17"/>
          <w:szCs w:val="17"/>
          <w:color w:val="auto"/>
        </w:rPr>
        <w:t>and</w:t>
      </w:r>
      <w:r>
        <w:rPr>
          <w:rFonts w:ascii="Arial" w:cs="Arial" w:eastAsia="Arial" w:hAnsi="Arial"/>
          <w:sz w:val="17"/>
          <w:szCs w:val="17"/>
          <w:b w:val="1"/>
          <w:bCs w:val="1"/>
          <w:color w:val="auto"/>
        </w:rPr>
        <w:t xml:space="preserve"> Christopher L. Nagel</w:t>
      </w:r>
      <w:r>
        <w:rPr>
          <w:rFonts w:ascii="Arial" w:cs="Arial" w:eastAsia="Arial" w:hAnsi="Arial"/>
          <w:sz w:val="17"/>
          <w:szCs w:val="17"/>
          <w:color w:val="auto"/>
        </w:rPr>
        <w:t>, and each</w:t>
      </w:r>
      <w:r>
        <w:rPr>
          <w:rFonts w:ascii="Arial" w:cs="Arial" w:eastAsia="Arial" w:hAnsi="Arial"/>
          <w:sz w:val="17"/>
          <w:szCs w:val="17"/>
          <w:b w:val="1"/>
          <w:bCs w:val="1"/>
          <w:color w:val="auto"/>
        </w:rPr>
        <w:t xml:space="preserve"> </w:t>
      </w:r>
      <w:r>
        <w:rPr>
          <w:rFonts w:ascii="Arial" w:cs="Arial" w:eastAsia="Arial" w:hAnsi="Arial"/>
          <w:sz w:val="17"/>
          <w:szCs w:val="17"/>
          <w:color w:val="auto"/>
        </w:rPr>
        <w:t>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26th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2006.</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Gordon F. Brunner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Gordon F. Brunner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Registration Statement on Form S-8 </w:t>
      </w:r>
      <w:r>
        <w:rPr>
          <w:rFonts w:ascii="Arial" w:cs="Arial" w:eastAsia="Arial" w:hAnsi="Arial"/>
          <w:sz w:val="17"/>
          <w:szCs w:val="17"/>
          <w:color w:val="auto"/>
        </w:rPr>
        <w:t>for the registration of certain of its common shares for offering and sale pursuant to</w:t>
      </w:r>
      <w:r>
        <w:rPr>
          <w:rFonts w:ascii="Arial" w:cs="Arial" w:eastAsia="Arial" w:hAnsi="Arial"/>
          <w:sz w:val="17"/>
          <w:szCs w:val="17"/>
          <w:b w:val="1"/>
          <w:bCs w:val="1"/>
          <w:color w:val="auto"/>
        </w:rPr>
        <w:t xml:space="preserve"> The Scotts Miracle-Gro Company 2006 Long-Term Incentive Plan</w:t>
      </w:r>
      <w:r>
        <w:rPr>
          <w:rFonts w:ascii="Arial" w:cs="Arial" w:eastAsia="Arial" w:hAnsi="Arial"/>
          <w:sz w:val="17"/>
          <w:szCs w:val="17"/>
          <w:color w:val="auto"/>
        </w:rPr>
        <w:t>, hereby constitutes and appoints</w:t>
      </w:r>
      <w:r>
        <w:rPr>
          <w:rFonts w:ascii="Arial" w:cs="Arial" w:eastAsia="Arial" w:hAnsi="Arial"/>
          <w:sz w:val="17"/>
          <w:szCs w:val="17"/>
          <w:b w:val="1"/>
          <w:bCs w:val="1"/>
          <w:color w:val="auto"/>
        </w:rPr>
        <w:t xml:space="preserve"> James Hagedorn, David M. Aronowitz </w:t>
      </w:r>
      <w:r>
        <w:rPr>
          <w:rFonts w:ascii="Arial" w:cs="Arial" w:eastAsia="Arial" w:hAnsi="Arial"/>
          <w:sz w:val="17"/>
          <w:szCs w:val="17"/>
          <w:color w:val="auto"/>
        </w:rPr>
        <w:t>and</w:t>
      </w:r>
      <w:r>
        <w:rPr>
          <w:rFonts w:ascii="Arial" w:cs="Arial" w:eastAsia="Arial" w:hAnsi="Arial"/>
          <w:sz w:val="17"/>
          <w:szCs w:val="17"/>
          <w:b w:val="1"/>
          <w:bCs w:val="1"/>
          <w:color w:val="auto"/>
        </w:rPr>
        <w:t xml:space="preserve"> Christopher L. Nagel</w:t>
      </w:r>
      <w:r>
        <w:rPr>
          <w:rFonts w:ascii="Arial" w:cs="Arial" w:eastAsia="Arial" w:hAnsi="Arial"/>
          <w:sz w:val="17"/>
          <w:szCs w:val="17"/>
          <w:color w:val="auto"/>
        </w:rPr>
        <w:t>, and each</w:t>
      </w:r>
      <w:r>
        <w:rPr>
          <w:rFonts w:ascii="Arial" w:cs="Arial" w:eastAsia="Arial" w:hAnsi="Arial"/>
          <w:sz w:val="17"/>
          <w:szCs w:val="17"/>
          <w:b w:val="1"/>
          <w:bCs w:val="1"/>
          <w:color w:val="auto"/>
        </w:rPr>
        <w:t xml:space="preserve"> </w:t>
      </w:r>
      <w:r>
        <w:rPr>
          <w:rFonts w:ascii="Arial" w:cs="Arial" w:eastAsia="Arial" w:hAnsi="Arial"/>
          <w:sz w:val="17"/>
          <w:szCs w:val="17"/>
          <w:color w:val="auto"/>
        </w:rPr>
        <w:t>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26</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2006.</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Arnold W.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Arnold W.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Registration Statement on Form S-8 </w:t>
      </w:r>
      <w:r>
        <w:rPr>
          <w:rFonts w:ascii="Arial" w:cs="Arial" w:eastAsia="Arial" w:hAnsi="Arial"/>
          <w:sz w:val="17"/>
          <w:szCs w:val="17"/>
          <w:color w:val="auto"/>
        </w:rPr>
        <w:t>for the registration of certain of its common shares for offering and sale pursuant to</w:t>
      </w:r>
      <w:r>
        <w:rPr>
          <w:rFonts w:ascii="Arial" w:cs="Arial" w:eastAsia="Arial" w:hAnsi="Arial"/>
          <w:sz w:val="17"/>
          <w:szCs w:val="17"/>
          <w:b w:val="1"/>
          <w:bCs w:val="1"/>
          <w:color w:val="auto"/>
        </w:rPr>
        <w:t xml:space="preserve"> The Scotts Miracle-Gro Company 2006 Long-Term Incentive Plan</w:t>
      </w:r>
      <w:r>
        <w:rPr>
          <w:rFonts w:ascii="Arial" w:cs="Arial" w:eastAsia="Arial" w:hAnsi="Arial"/>
          <w:sz w:val="17"/>
          <w:szCs w:val="17"/>
          <w:color w:val="auto"/>
        </w:rPr>
        <w:t>, hereby constitutes and appoints</w:t>
      </w:r>
      <w:r>
        <w:rPr>
          <w:rFonts w:ascii="Arial" w:cs="Arial" w:eastAsia="Arial" w:hAnsi="Arial"/>
          <w:sz w:val="17"/>
          <w:szCs w:val="17"/>
          <w:b w:val="1"/>
          <w:bCs w:val="1"/>
          <w:color w:val="auto"/>
        </w:rPr>
        <w:t xml:space="preserve"> James Hagedorn, David M. Aronowitz </w:t>
      </w:r>
      <w:r>
        <w:rPr>
          <w:rFonts w:ascii="Arial" w:cs="Arial" w:eastAsia="Arial" w:hAnsi="Arial"/>
          <w:sz w:val="17"/>
          <w:szCs w:val="17"/>
          <w:color w:val="auto"/>
        </w:rPr>
        <w:t>and</w:t>
      </w:r>
      <w:r>
        <w:rPr>
          <w:rFonts w:ascii="Arial" w:cs="Arial" w:eastAsia="Arial" w:hAnsi="Arial"/>
          <w:sz w:val="17"/>
          <w:szCs w:val="17"/>
          <w:b w:val="1"/>
          <w:bCs w:val="1"/>
          <w:color w:val="auto"/>
        </w:rPr>
        <w:t xml:space="preserve"> Christopher L. Nagel</w:t>
      </w:r>
      <w:r>
        <w:rPr>
          <w:rFonts w:ascii="Arial" w:cs="Arial" w:eastAsia="Arial" w:hAnsi="Arial"/>
          <w:sz w:val="17"/>
          <w:szCs w:val="17"/>
          <w:color w:val="auto"/>
        </w:rPr>
        <w:t>, and each</w:t>
      </w:r>
      <w:r>
        <w:rPr>
          <w:rFonts w:ascii="Arial" w:cs="Arial" w:eastAsia="Arial" w:hAnsi="Arial"/>
          <w:sz w:val="17"/>
          <w:szCs w:val="17"/>
          <w:b w:val="1"/>
          <w:bCs w:val="1"/>
          <w:color w:val="auto"/>
        </w:rPr>
        <w:t xml:space="preserve"> </w:t>
      </w:r>
      <w:r>
        <w:rPr>
          <w:rFonts w:ascii="Arial" w:cs="Arial" w:eastAsia="Arial" w:hAnsi="Arial"/>
          <w:sz w:val="17"/>
          <w:szCs w:val="17"/>
          <w:color w:val="auto"/>
        </w:rPr>
        <w:t>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26</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2006.</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Registration Statement on Form S-8 </w:t>
      </w:r>
      <w:r>
        <w:rPr>
          <w:rFonts w:ascii="Arial" w:cs="Arial" w:eastAsia="Arial" w:hAnsi="Arial"/>
          <w:sz w:val="17"/>
          <w:szCs w:val="17"/>
          <w:color w:val="auto"/>
        </w:rPr>
        <w:t>for the registration of certain of its common shares for offering and sale pursuant to</w:t>
      </w:r>
      <w:r>
        <w:rPr>
          <w:rFonts w:ascii="Arial" w:cs="Arial" w:eastAsia="Arial" w:hAnsi="Arial"/>
          <w:sz w:val="17"/>
          <w:szCs w:val="17"/>
          <w:b w:val="1"/>
          <w:bCs w:val="1"/>
          <w:color w:val="auto"/>
        </w:rPr>
        <w:t xml:space="preserve"> The Scotts Miracle-Gro Company 2006 Long-Term Incentive Plan</w:t>
      </w:r>
      <w:r>
        <w:rPr>
          <w:rFonts w:ascii="Arial" w:cs="Arial" w:eastAsia="Arial" w:hAnsi="Arial"/>
          <w:sz w:val="17"/>
          <w:szCs w:val="17"/>
          <w:color w:val="auto"/>
        </w:rPr>
        <w:t>, hereby constitutes and appoints</w:t>
      </w:r>
      <w:r>
        <w:rPr>
          <w:rFonts w:ascii="Arial" w:cs="Arial" w:eastAsia="Arial" w:hAnsi="Arial"/>
          <w:sz w:val="17"/>
          <w:szCs w:val="17"/>
          <w:b w:val="1"/>
          <w:bCs w:val="1"/>
          <w:color w:val="auto"/>
        </w:rPr>
        <w:t xml:space="preserve"> James Hagedorn, David M. Aronowitz </w:t>
      </w:r>
      <w:r>
        <w:rPr>
          <w:rFonts w:ascii="Arial" w:cs="Arial" w:eastAsia="Arial" w:hAnsi="Arial"/>
          <w:sz w:val="17"/>
          <w:szCs w:val="17"/>
          <w:color w:val="auto"/>
        </w:rPr>
        <w:t>and</w:t>
      </w:r>
      <w:r>
        <w:rPr>
          <w:rFonts w:ascii="Arial" w:cs="Arial" w:eastAsia="Arial" w:hAnsi="Arial"/>
          <w:sz w:val="17"/>
          <w:szCs w:val="17"/>
          <w:b w:val="1"/>
          <w:bCs w:val="1"/>
          <w:color w:val="auto"/>
        </w:rPr>
        <w:t xml:space="preserve"> Christopher L. Nagel</w:t>
      </w:r>
      <w:r>
        <w:rPr>
          <w:rFonts w:ascii="Arial" w:cs="Arial" w:eastAsia="Arial" w:hAnsi="Arial"/>
          <w:sz w:val="17"/>
          <w:szCs w:val="17"/>
          <w:color w:val="auto"/>
        </w:rPr>
        <w:t>, and each</w:t>
      </w:r>
      <w:r>
        <w:rPr>
          <w:rFonts w:ascii="Arial" w:cs="Arial" w:eastAsia="Arial" w:hAnsi="Arial"/>
          <w:sz w:val="17"/>
          <w:szCs w:val="17"/>
          <w:b w:val="1"/>
          <w:bCs w:val="1"/>
          <w:color w:val="auto"/>
        </w:rPr>
        <w:t xml:space="preserve"> </w:t>
      </w:r>
      <w:r>
        <w:rPr>
          <w:rFonts w:ascii="Arial" w:cs="Arial" w:eastAsia="Arial" w:hAnsi="Arial"/>
          <w:sz w:val="17"/>
          <w:szCs w:val="17"/>
          <w:color w:val="auto"/>
        </w:rPr>
        <w:t>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26</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2006.</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Mindy F.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Mindy F.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50" w:name="page51"/>
    <w:bookmarkEnd w:id="50"/>
    <w:p>
      <w:pPr>
        <w:jc w:val="center"/>
        <w:ind w:right="-7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officer and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corporation, 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Registration Statement on Form S-8</w:t>
      </w:r>
      <w:r>
        <w:rPr>
          <w:rFonts w:ascii="Arial" w:cs="Arial" w:eastAsia="Arial" w:hAnsi="Arial"/>
          <w:sz w:val="17"/>
          <w:szCs w:val="17"/>
          <w:color w:val="auto"/>
        </w:rPr>
        <w:t xml:space="preserve"> for the registration of certain of its common shares for offering and sale pursuant to </w:t>
      </w:r>
      <w:r>
        <w:rPr>
          <w:rFonts w:ascii="Arial" w:cs="Arial" w:eastAsia="Arial" w:hAnsi="Arial"/>
          <w:sz w:val="17"/>
          <w:szCs w:val="17"/>
          <w:b w:val="1"/>
          <w:bCs w:val="1"/>
          <w:color w:val="auto"/>
        </w:rPr>
        <w:t>The Scotts Miracle-Gro Company 2006 Long-Term Incentive Plan</w:t>
      </w:r>
      <w:r>
        <w:rPr>
          <w:rFonts w:ascii="Arial" w:cs="Arial" w:eastAsia="Arial" w:hAnsi="Arial"/>
          <w:sz w:val="17"/>
          <w:szCs w:val="17"/>
          <w:color w:val="auto"/>
        </w:rPr>
        <w:t>, hereby constitutes and appoints</w:t>
      </w:r>
      <w:r>
        <w:rPr>
          <w:rFonts w:ascii="Arial" w:cs="Arial" w:eastAsia="Arial" w:hAnsi="Arial"/>
          <w:sz w:val="17"/>
          <w:szCs w:val="17"/>
          <w:b w:val="1"/>
          <w:bCs w:val="1"/>
          <w:color w:val="auto"/>
        </w:rPr>
        <w:t xml:space="preserve"> David M. Aronowitz </w:t>
      </w:r>
      <w:r>
        <w:rPr>
          <w:rFonts w:ascii="Arial" w:cs="Arial" w:eastAsia="Arial" w:hAnsi="Arial"/>
          <w:sz w:val="17"/>
          <w:szCs w:val="17"/>
          <w:color w:val="auto"/>
        </w:rPr>
        <w:t>and</w:t>
      </w:r>
      <w:r>
        <w:rPr>
          <w:rFonts w:ascii="Arial" w:cs="Arial" w:eastAsia="Arial" w:hAnsi="Arial"/>
          <w:sz w:val="17"/>
          <w:szCs w:val="17"/>
          <w:b w:val="1"/>
          <w:bCs w:val="1"/>
          <w:color w:val="auto"/>
        </w:rPr>
        <w:t xml:space="preserve"> Christopher L. Nagel</w:t>
      </w:r>
      <w:r>
        <w:rPr>
          <w:rFonts w:ascii="Arial" w:cs="Arial" w:eastAsia="Arial" w:hAnsi="Arial"/>
          <w:sz w:val="17"/>
          <w:szCs w:val="17"/>
          <w:color w:val="auto"/>
        </w:rPr>
        <w:t>, and each of them, as his</w:t>
      </w:r>
      <w:r>
        <w:rPr>
          <w:rFonts w:ascii="Arial" w:cs="Arial" w:eastAsia="Arial" w:hAnsi="Arial"/>
          <w:sz w:val="17"/>
          <w:szCs w:val="17"/>
          <w:b w:val="1"/>
          <w:bCs w:val="1"/>
          <w:color w:val="auto"/>
        </w:rPr>
        <w:t xml:space="preserve"> </w:t>
      </w:r>
      <w:r>
        <w:rPr>
          <w:rFonts w:ascii="Arial" w:cs="Arial" w:eastAsia="Arial" w:hAnsi="Arial"/>
          <w:sz w:val="17"/>
          <w:szCs w:val="17"/>
          <w:color w:val="auto"/>
        </w:rPr>
        <w:t>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27</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2006.</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9" w:right="29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Registration Statement on Form S-8 </w:t>
      </w:r>
      <w:r>
        <w:rPr>
          <w:rFonts w:ascii="Arial" w:cs="Arial" w:eastAsia="Arial" w:hAnsi="Arial"/>
          <w:sz w:val="17"/>
          <w:szCs w:val="17"/>
          <w:color w:val="auto"/>
        </w:rPr>
        <w:t>for the registration of certain of its common shares for offering and sale pursuant to</w:t>
      </w:r>
      <w:r>
        <w:rPr>
          <w:rFonts w:ascii="Arial" w:cs="Arial" w:eastAsia="Arial" w:hAnsi="Arial"/>
          <w:sz w:val="17"/>
          <w:szCs w:val="17"/>
          <w:b w:val="1"/>
          <w:bCs w:val="1"/>
          <w:color w:val="auto"/>
        </w:rPr>
        <w:t xml:space="preserve"> The Scotts Miracle-Gro Company 2006 Long-Term Incentive Plan</w:t>
      </w:r>
      <w:r>
        <w:rPr>
          <w:rFonts w:ascii="Arial" w:cs="Arial" w:eastAsia="Arial" w:hAnsi="Arial"/>
          <w:sz w:val="17"/>
          <w:szCs w:val="17"/>
          <w:color w:val="auto"/>
        </w:rPr>
        <w:t>, hereby constitutes and appoints</w:t>
      </w:r>
      <w:r>
        <w:rPr>
          <w:rFonts w:ascii="Arial" w:cs="Arial" w:eastAsia="Arial" w:hAnsi="Arial"/>
          <w:sz w:val="17"/>
          <w:szCs w:val="17"/>
          <w:b w:val="1"/>
          <w:bCs w:val="1"/>
          <w:color w:val="auto"/>
        </w:rPr>
        <w:t xml:space="preserve"> James Hagedorn, David M. Aronowitz </w:t>
      </w:r>
      <w:r>
        <w:rPr>
          <w:rFonts w:ascii="Arial" w:cs="Arial" w:eastAsia="Arial" w:hAnsi="Arial"/>
          <w:sz w:val="17"/>
          <w:szCs w:val="17"/>
          <w:color w:val="auto"/>
        </w:rPr>
        <w:t>and</w:t>
      </w:r>
      <w:r>
        <w:rPr>
          <w:rFonts w:ascii="Arial" w:cs="Arial" w:eastAsia="Arial" w:hAnsi="Arial"/>
          <w:sz w:val="17"/>
          <w:szCs w:val="17"/>
          <w:b w:val="1"/>
          <w:bCs w:val="1"/>
          <w:color w:val="auto"/>
        </w:rPr>
        <w:t xml:space="preserve"> Christopher L. Nagel</w:t>
      </w:r>
      <w:r>
        <w:rPr>
          <w:rFonts w:ascii="Arial" w:cs="Arial" w:eastAsia="Arial" w:hAnsi="Arial"/>
          <w:sz w:val="17"/>
          <w:szCs w:val="17"/>
          <w:color w:val="auto"/>
        </w:rPr>
        <w:t>, and each</w:t>
      </w:r>
      <w:r>
        <w:rPr>
          <w:rFonts w:ascii="Arial" w:cs="Arial" w:eastAsia="Arial" w:hAnsi="Arial"/>
          <w:sz w:val="17"/>
          <w:szCs w:val="17"/>
          <w:b w:val="1"/>
          <w:bCs w:val="1"/>
          <w:color w:val="auto"/>
        </w:rPr>
        <w:t xml:space="preserve"> </w:t>
      </w:r>
      <w:r>
        <w:rPr>
          <w:rFonts w:ascii="Arial" w:cs="Arial" w:eastAsia="Arial" w:hAnsi="Arial"/>
          <w:sz w:val="17"/>
          <w:szCs w:val="17"/>
          <w:color w:val="auto"/>
        </w:rPr>
        <w:t>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26</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2006.</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Registration Statement on Form S-8 </w:t>
      </w:r>
      <w:r>
        <w:rPr>
          <w:rFonts w:ascii="Arial" w:cs="Arial" w:eastAsia="Arial" w:hAnsi="Arial"/>
          <w:sz w:val="17"/>
          <w:szCs w:val="17"/>
          <w:color w:val="auto"/>
        </w:rPr>
        <w:t>for the registration of certain of its common shares for offering and sale pursuant to</w:t>
      </w:r>
      <w:r>
        <w:rPr>
          <w:rFonts w:ascii="Arial" w:cs="Arial" w:eastAsia="Arial" w:hAnsi="Arial"/>
          <w:sz w:val="17"/>
          <w:szCs w:val="17"/>
          <w:b w:val="1"/>
          <w:bCs w:val="1"/>
          <w:color w:val="auto"/>
        </w:rPr>
        <w:t xml:space="preserve"> The Scotts Miracle-Gro Company 2006 Long-Term Incentive Plan</w:t>
      </w:r>
      <w:r>
        <w:rPr>
          <w:rFonts w:ascii="Arial" w:cs="Arial" w:eastAsia="Arial" w:hAnsi="Arial"/>
          <w:sz w:val="17"/>
          <w:szCs w:val="17"/>
          <w:color w:val="auto"/>
        </w:rPr>
        <w:t>, hereby constitutes and appoints</w:t>
      </w:r>
      <w:r>
        <w:rPr>
          <w:rFonts w:ascii="Arial" w:cs="Arial" w:eastAsia="Arial" w:hAnsi="Arial"/>
          <w:sz w:val="17"/>
          <w:szCs w:val="17"/>
          <w:b w:val="1"/>
          <w:bCs w:val="1"/>
          <w:color w:val="auto"/>
        </w:rPr>
        <w:t xml:space="preserve"> James Hagedorn, David M. Aronowitz </w:t>
      </w:r>
      <w:r>
        <w:rPr>
          <w:rFonts w:ascii="Arial" w:cs="Arial" w:eastAsia="Arial" w:hAnsi="Arial"/>
          <w:sz w:val="17"/>
          <w:szCs w:val="17"/>
          <w:color w:val="auto"/>
        </w:rPr>
        <w:t>and</w:t>
      </w:r>
      <w:r>
        <w:rPr>
          <w:rFonts w:ascii="Arial" w:cs="Arial" w:eastAsia="Arial" w:hAnsi="Arial"/>
          <w:sz w:val="17"/>
          <w:szCs w:val="17"/>
          <w:b w:val="1"/>
          <w:bCs w:val="1"/>
          <w:color w:val="auto"/>
        </w:rPr>
        <w:t xml:space="preserve"> Christopher L. Nagel</w:t>
      </w:r>
      <w:r>
        <w:rPr>
          <w:rFonts w:ascii="Arial" w:cs="Arial" w:eastAsia="Arial" w:hAnsi="Arial"/>
          <w:sz w:val="17"/>
          <w:szCs w:val="17"/>
          <w:color w:val="auto"/>
        </w:rPr>
        <w:t>, and each</w:t>
      </w:r>
      <w:r>
        <w:rPr>
          <w:rFonts w:ascii="Arial" w:cs="Arial" w:eastAsia="Arial" w:hAnsi="Arial"/>
          <w:sz w:val="17"/>
          <w:szCs w:val="17"/>
          <w:b w:val="1"/>
          <w:bCs w:val="1"/>
          <w:color w:val="auto"/>
        </w:rPr>
        <w:t xml:space="preserve"> </w:t>
      </w:r>
      <w:r>
        <w:rPr>
          <w:rFonts w:ascii="Arial" w:cs="Arial" w:eastAsia="Arial" w:hAnsi="Arial"/>
          <w:sz w:val="17"/>
          <w:szCs w:val="17"/>
          <w:color w:val="auto"/>
        </w:rPr>
        <w:t>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26</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2006.</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Karen G.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Karen G.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officer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Registration Statement on Form S-8 </w:t>
      </w:r>
      <w:r>
        <w:rPr>
          <w:rFonts w:ascii="Arial" w:cs="Arial" w:eastAsia="Arial" w:hAnsi="Arial"/>
          <w:sz w:val="17"/>
          <w:szCs w:val="17"/>
          <w:color w:val="auto"/>
        </w:rPr>
        <w:t>for the registration of certain of its common shares for offering and sale pursuant to</w:t>
      </w:r>
      <w:r>
        <w:rPr>
          <w:rFonts w:ascii="Arial" w:cs="Arial" w:eastAsia="Arial" w:hAnsi="Arial"/>
          <w:sz w:val="17"/>
          <w:szCs w:val="17"/>
          <w:b w:val="1"/>
          <w:bCs w:val="1"/>
          <w:color w:val="auto"/>
        </w:rPr>
        <w:t xml:space="preserve"> The Scotts Miracle-Gro Company 2006 Long-Term Incentive Plan</w:t>
      </w:r>
      <w:r>
        <w:rPr>
          <w:rFonts w:ascii="Arial" w:cs="Arial" w:eastAsia="Arial" w:hAnsi="Arial"/>
          <w:sz w:val="17"/>
          <w:szCs w:val="17"/>
          <w:color w:val="auto"/>
        </w:rPr>
        <w:t>, hereby constitutes and appoints</w:t>
      </w:r>
      <w:r>
        <w:rPr>
          <w:rFonts w:ascii="Arial" w:cs="Arial" w:eastAsia="Arial" w:hAnsi="Arial"/>
          <w:sz w:val="17"/>
          <w:szCs w:val="17"/>
          <w:b w:val="1"/>
          <w:bCs w:val="1"/>
          <w:color w:val="auto"/>
        </w:rPr>
        <w:t xml:space="preserve"> James Hagedorn </w:t>
      </w:r>
      <w:r>
        <w:rPr>
          <w:rFonts w:ascii="Arial" w:cs="Arial" w:eastAsia="Arial" w:hAnsi="Arial"/>
          <w:sz w:val="17"/>
          <w:szCs w:val="17"/>
          <w:color w:val="auto"/>
        </w:rPr>
        <w:t>and</w:t>
      </w:r>
      <w:r>
        <w:rPr>
          <w:rFonts w:ascii="Arial" w:cs="Arial" w:eastAsia="Arial" w:hAnsi="Arial"/>
          <w:sz w:val="17"/>
          <w:szCs w:val="17"/>
          <w:b w:val="1"/>
          <w:bCs w:val="1"/>
          <w:color w:val="auto"/>
        </w:rPr>
        <w:t xml:space="preserve"> David M. Aronowitz</w:t>
      </w:r>
      <w:r>
        <w:rPr>
          <w:rFonts w:ascii="Arial" w:cs="Arial" w:eastAsia="Arial" w:hAnsi="Arial"/>
          <w:sz w:val="17"/>
          <w:szCs w:val="17"/>
          <w:color w:val="auto"/>
        </w:rPr>
        <w:t>, and each of them, as his true and</w:t>
      </w:r>
      <w:r>
        <w:rPr>
          <w:rFonts w:ascii="Arial" w:cs="Arial" w:eastAsia="Arial" w:hAnsi="Arial"/>
          <w:sz w:val="17"/>
          <w:szCs w:val="17"/>
          <w:b w:val="1"/>
          <w:bCs w:val="1"/>
          <w:color w:val="auto"/>
        </w:rPr>
        <w:t xml:space="preserve"> </w:t>
      </w:r>
      <w:r>
        <w:rPr>
          <w:rFonts w:ascii="Arial" w:cs="Arial" w:eastAsia="Arial" w:hAnsi="Arial"/>
          <w:sz w:val="17"/>
          <w:szCs w:val="17"/>
          <w:color w:val="auto"/>
        </w:rPr>
        <w:t>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27</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2006.</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Registration Statement on Form S-8 </w:t>
      </w:r>
      <w:r>
        <w:rPr>
          <w:rFonts w:ascii="Arial" w:cs="Arial" w:eastAsia="Arial" w:hAnsi="Arial"/>
          <w:sz w:val="17"/>
          <w:szCs w:val="17"/>
          <w:color w:val="auto"/>
        </w:rPr>
        <w:t>for the registration of certain of its common shares for offering and sale pursuant to</w:t>
      </w:r>
      <w:r>
        <w:rPr>
          <w:rFonts w:ascii="Arial" w:cs="Arial" w:eastAsia="Arial" w:hAnsi="Arial"/>
          <w:sz w:val="17"/>
          <w:szCs w:val="17"/>
          <w:b w:val="1"/>
          <w:bCs w:val="1"/>
          <w:color w:val="auto"/>
        </w:rPr>
        <w:t xml:space="preserve"> The Scotts Miracle-Gro Company 2006 Long-Term Incentive Plan</w:t>
      </w:r>
      <w:r>
        <w:rPr>
          <w:rFonts w:ascii="Arial" w:cs="Arial" w:eastAsia="Arial" w:hAnsi="Arial"/>
          <w:sz w:val="17"/>
          <w:szCs w:val="17"/>
          <w:color w:val="auto"/>
        </w:rPr>
        <w:t>, hereby constitutes and appoints</w:t>
      </w:r>
      <w:r>
        <w:rPr>
          <w:rFonts w:ascii="Arial" w:cs="Arial" w:eastAsia="Arial" w:hAnsi="Arial"/>
          <w:sz w:val="17"/>
          <w:szCs w:val="17"/>
          <w:b w:val="1"/>
          <w:bCs w:val="1"/>
          <w:color w:val="auto"/>
        </w:rPr>
        <w:t xml:space="preserve"> James Hagedorn, David M. Aronowitz </w:t>
      </w:r>
      <w:r>
        <w:rPr>
          <w:rFonts w:ascii="Arial" w:cs="Arial" w:eastAsia="Arial" w:hAnsi="Arial"/>
          <w:sz w:val="17"/>
          <w:szCs w:val="17"/>
          <w:color w:val="auto"/>
        </w:rPr>
        <w:t>and</w:t>
      </w:r>
      <w:r>
        <w:rPr>
          <w:rFonts w:ascii="Arial" w:cs="Arial" w:eastAsia="Arial" w:hAnsi="Arial"/>
          <w:sz w:val="17"/>
          <w:szCs w:val="17"/>
          <w:b w:val="1"/>
          <w:bCs w:val="1"/>
          <w:color w:val="auto"/>
        </w:rPr>
        <w:t xml:space="preserve"> Christopher L. Nagel</w:t>
      </w:r>
      <w:r>
        <w:rPr>
          <w:rFonts w:ascii="Arial" w:cs="Arial" w:eastAsia="Arial" w:hAnsi="Arial"/>
          <w:sz w:val="17"/>
          <w:szCs w:val="17"/>
          <w:color w:val="auto"/>
        </w:rPr>
        <w:t>, and each</w:t>
      </w:r>
      <w:r>
        <w:rPr>
          <w:rFonts w:ascii="Arial" w:cs="Arial" w:eastAsia="Arial" w:hAnsi="Arial"/>
          <w:sz w:val="17"/>
          <w:szCs w:val="17"/>
          <w:b w:val="1"/>
          <w:bCs w:val="1"/>
          <w:color w:val="auto"/>
        </w:rPr>
        <w:t xml:space="preserve"> </w:t>
      </w:r>
      <w:r>
        <w:rPr>
          <w:rFonts w:ascii="Arial" w:cs="Arial" w:eastAsia="Arial" w:hAnsi="Arial"/>
          <w:sz w:val="17"/>
          <w:szCs w:val="17"/>
          <w:color w:val="auto"/>
        </w:rPr>
        <w:t>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26</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2006.</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Patrick J.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Patrick J. Norton</w:t>
      </w:r>
    </w:p>
    <w:sectPr>
      <w:pgSz w:w="11900" w:h="16838" w:orient="portrait"/>
      <w:cols w:equalWidth="0" w:num="1">
        <w:col w:w="11400"/>
      </w:cols>
      <w:pgMar w:left="240" w:top="95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upperLetter"/>
      <w:start w:val="1"/>
    </w:lvl>
  </w:abstractNum>
  <w:abstractNum w:abstractNumId="3">
    <w:nsid w:val="62BBD95A"/>
    <w:multiLevelType w:val="hybridMultilevel"/>
    <w:lvl w:ilvl="0">
      <w:lvlJc w:val="left"/>
      <w:lvlText w:val="(%1)"/>
      <w:numFmt w:val="upperLetter"/>
      <w:start w:val="3"/>
    </w:lvl>
  </w:abstractNum>
  <w:abstractNum w:abstractNumId="4">
    <w:nsid w:val="436C6125"/>
    <w:multiLevelType w:val="hybridMultilevel"/>
    <w:lvl w:ilvl="0">
      <w:lvlJc w:val="left"/>
      <w:lvlText w:val="(%1)"/>
      <w:numFmt w:val="upperLetter"/>
      <w:start w:val="1"/>
    </w:lvl>
  </w:abstractNum>
  <w:abstractNum w:abstractNumId="5">
    <w:nsid w:val="628C895D"/>
    <w:multiLevelType w:val="hybridMultilevel"/>
    <w:lvl w:ilvl="0">
      <w:lvlJc w:val="left"/>
      <w:lvlText w:val="(%1)"/>
      <w:numFmt w:val="upperLetter"/>
      <w:start w:val="1"/>
    </w:lvl>
  </w:abstractNum>
  <w:abstractNum w:abstractNumId="6">
    <w:nsid w:val="333AB105"/>
    <w:multiLevelType w:val="hybridMultilevel"/>
    <w:lvl w:ilvl="0">
      <w:lvlJc w:val="left"/>
      <w:lvlText w:val="(%1)"/>
      <w:numFmt w:val="decimal"/>
      <w:start w:val="2"/>
    </w:lvl>
  </w:abstractNum>
  <w:abstractNum w:abstractNumId="7">
    <w:nsid w:val="721DA317"/>
    <w:multiLevelType w:val="hybridMultilevel"/>
    <w:lvl w:ilvl="0">
      <w:lvlJc w:val="left"/>
      <w:lvlText w:val="(%1)"/>
      <w:numFmt w:val="lowerLetter"/>
      <w:start w:val="1"/>
    </w:lvl>
  </w:abstractNum>
  <w:abstractNum w:abstractNumId="8">
    <w:nsid w:val="2443A858"/>
    <w:multiLevelType w:val="hybridMultilevel"/>
    <w:lvl w:ilvl="0">
      <w:lvlJc w:val="left"/>
      <w:lvlText w:val="(%1)"/>
      <w:numFmt w:val="decimal"/>
      <w:start w:val="3"/>
    </w:lvl>
  </w:abstractNum>
  <w:abstractNum w:abstractNumId="9">
    <w:nsid w:val="2D1D5AE9"/>
    <w:multiLevelType w:val="hybridMultilevel"/>
    <w:lvl w:ilvl="0">
      <w:lvlJc w:val="left"/>
      <w:lvlText w:val="(%1)"/>
      <w:numFmt w:val="lowerLetter"/>
      <w:start w:val="1"/>
    </w:lvl>
  </w:abstractNum>
  <w:abstractNum w:abstractNumId="10">
    <w:nsid w:val="6763845E"/>
    <w:multiLevelType w:val="hybridMultilevel"/>
    <w:lvl w:ilvl="0">
      <w:lvlJc w:val="left"/>
      <w:lvlText w:val="(%1)"/>
      <w:numFmt w:val="lowerRoman"/>
      <w:start w:val="1"/>
    </w:lvl>
  </w:abstractNum>
  <w:abstractNum w:abstractNumId="11">
    <w:nsid w:val="75A2A8D4"/>
    <w:multiLevelType w:val="hybridMultilevel"/>
    <w:lvl w:ilvl="0">
      <w:lvlJc w:val="left"/>
      <w:lvlText w:val="(%1)"/>
      <w:numFmt w:val="lowerLetter"/>
      <w:start w:val="2"/>
    </w:lvl>
  </w:abstractNum>
  <w:abstractNum w:abstractNumId="12">
    <w:nsid w:val="8EDBDAB"/>
    <w:multiLevelType w:val="hybridMultilevel"/>
    <w:lvl w:ilvl="0">
      <w:lvlJc w:val="left"/>
      <w:lvlText w:val="(%1)"/>
      <w:numFmt w:val="decimal"/>
      <w:start w:val="6"/>
    </w:lvl>
  </w:abstractNum>
  <w:abstractNum w:abstractNumId="13">
    <w:nsid w:val="79838CB2"/>
    <w:multiLevelType w:val="hybridMultilevel"/>
    <w:lvl w:ilvl="0">
      <w:lvlJc w:val="left"/>
      <w:lvlText w:val="(%1)"/>
      <w:numFmt w:val="decimal"/>
      <w:start w:val="7"/>
    </w:lvl>
  </w:abstractNum>
  <w:abstractNum w:abstractNumId="14">
    <w:nsid w:val="4353D0CD"/>
    <w:multiLevelType w:val="hybridMultilevel"/>
    <w:lvl w:ilvl="0">
      <w:lvlJc w:val="left"/>
      <w:lvlText w:val="%1."/>
      <w:numFmt w:val="upperLetter"/>
      <w:start w:val="1"/>
    </w:lvl>
    <w:lvl w:ilvl="1">
      <w:lvlJc w:val="left"/>
      <w:lvlText w:val="(%2)"/>
      <w:numFmt w:val="lowerLetter"/>
      <w:start w:val="12"/>
    </w:lvl>
    <w:lvl w:ilvl="2">
      <w:lvlJc w:val="left"/>
      <w:lvlText w:val="(%3)"/>
      <w:numFmt w:val="lowerRoman"/>
      <w:start w:val="1"/>
    </w:lvl>
  </w:abstractNum>
  <w:abstractNum w:abstractNumId="15">
    <w:nsid w:val="B03E0C6"/>
    <w:multiLevelType w:val="hybridMultilevel"/>
    <w:lvl w:ilvl="0">
      <w:lvlJc w:val="left"/>
      <w:lvlText w:val="(%1)"/>
      <w:numFmt w:val="decimal"/>
      <w:start w:val="2"/>
    </w:lvl>
  </w:abstractNum>
  <w:abstractNum w:abstractNumId="16">
    <w:nsid w:val="189A769B"/>
    <w:multiLevelType w:val="hybridMultilevel"/>
    <w:lvl w:ilvl="0">
      <w:lvlJc w:val="left"/>
      <w:lvlText w:val="(%1)"/>
      <w:numFmt w:val="upperLetter"/>
      <w:start w:val="1"/>
    </w:lvl>
  </w:abstractNum>
  <w:abstractNum w:abstractNumId="17">
    <w:nsid w:val="54E49EB4"/>
    <w:multiLevelType w:val="hybridMultilevel"/>
    <w:lvl w:ilvl="0">
      <w:lvlJc w:val="left"/>
      <w:lvlText w:val="%1"/>
      <w:numFmt w:val="decimal"/>
      <w:start w:val="1"/>
    </w:lvl>
    <w:lvl w:ilvl="1">
      <w:lvlJc w:val="left"/>
      <w:lvlText w:val="(%2)"/>
      <w:numFmt w:val="lowerRoman"/>
      <w:start w:val="2"/>
    </w:lvl>
  </w:abstractNum>
  <w:abstractNum w:abstractNumId="18">
    <w:nsid w:val="71F32454"/>
    <w:multiLevelType w:val="hybridMultilevel"/>
    <w:lvl w:ilvl="0">
      <w:lvlJc w:val="left"/>
      <w:lvlText w:val="(%1)"/>
      <w:numFmt w:val="decimal"/>
      <w:start w:val="5"/>
    </w:lvl>
    <w:lvl w:ilvl="1">
      <w:lvlJc w:val="left"/>
      <w:lvlText w:val="%2"/>
      <w:numFmt w:val="lowerRoman"/>
      <w:start w:val="1"/>
    </w:lvl>
  </w:abstractNum>
  <w:abstractNum w:abstractNumId="19">
    <w:nsid w:val="2CA88611"/>
    <w:multiLevelType w:val="hybridMultilevel"/>
    <w:lvl w:ilvl="0">
      <w:lvlJc w:val="left"/>
      <w:lvlText w:val="%1"/>
      <w:numFmt w:val="upperLetter"/>
      <w:start w:val="1"/>
    </w:lvl>
    <w:lvl w:ilvl="1">
      <w:lvlJc w:val="left"/>
      <w:lvlText w:val="(%2)"/>
      <w:numFmt w:val="lowerRoman"/>
      <w:start w:val="1"/>
    </w:lvl>
  </w:abstractNum>
  <w:abstractNum w:abstractNumId="20">
    <w:nsid w:val="836C40E"/>
    <w:multiLevelType w:val="hybridMultilevel"/>
    <w:lvl w:ilvl="0">
      <w:lvlJc w:val="left"/>
      <w:lvlText w:val="%1."/>
      <w:numFmt w:val="upperLetter"/>
      <w:start w:val="2"/>
    </w:lvl>
    <w:lvl w:ilvl="1">
      <w:lvlJc w:val="left"/>
      <w:lvlText w:val="%2"/>
      <w:numFmt w:val="lowerRoman"/>
      <w:start w:val="1"/>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lowerRoman"/>
      <w:start w:val="1"/>
    </w:lvl>
  </w:abstractNum>
  <w:abstractNum w:abstractNumId="24">
    <w:nsid w:val="1E7FF521"/>
    <w:multiLevelType w:val="hybridMultilevel"/>
    <w:lvl w:ilvl="0">
      <w:lvlJc w:val="left"/>
      <w:lvlText w:val="(%1)"/>
      <w:numFmt w:val="lowerLetter"/>
      <w:start w:val="1"/>
    </w:lvl>
    <w:lvl w:ilvl="1">
      <w:lvlJc w:val="left"/>
      <w:lvlText w:val="(%2)"/>
      <w:numFmt w:val="lowerRoman"/>
      <w:start w:val="1"/>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lowerLetter"/>
      <w:start w:val="5"/>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lowerLetter"/>
      <w:start w:val="7"/>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2019-12-20T06:27:45Z</dcterms:created>
  <dcterms:modified xsi:type="dcterms:W3CDTF">2019-12-20T06:27:45Z</dcterms:modified>
</cp:coreProperties>
</file>