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7" w:lineRule="exact"/>
        <w:rPr>
          <w:sz w:val="24"/>
          <w:szCs w:val="24"/>
          <w:color w:val="auto"/>
        </w:rPr>
      </w:pP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2)*</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THE SCOTTS MIRACLE GRO COMPANY</w:t>
      </w:r>
    </w:p>
    <w:p>
      <w:pPr>
        <w:spacing w:after="0" w:line="21" w:lineRule="exact"/>
        <w:rPr>
          <w:sz w:val="24"/>
          <w:szCs w:val="24"/>
          <w:color w:val="auto"/>
        </w:rPr>
      </w:pPr>
    </w:p>
    <w:p>
      <w:pPr>
        <w:ind w:left="2800"/>
        <w:spacing w:after="0"/>
        <w:rPr>
          <w:sz w:val="20"/>
          <w:szCs w:val="20"/>
          <w:color w:val="auto"/>
        </w:rPr>
      </w:pPr>
      <w:r>
        <w:rPr>
          <w:rFonts w:ascii="Arial" w:cs="Arial" w:eastAsia="Arial" w:hAnsi="Arial"/>
          <w:sz w:val="20"/>
          <w:szCs w:val="20"/>
          <w:color w:val="auto"/>
        </w:rPr>
        <w:t>___________________________________________________________</w:t>
      </w: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CLASS A COMMON STOCK</w:t>
      </w:r>
    </w:p>
    <w:p>
      <w:pPr>
        <w:spacing w:after="0" w:line="7"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___________________________________________________________</w:t>
      </w: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810186106</w:t>
      </w:r>
    </w:p>
    <w:p>
      <w:pPr>
        <w:spacing w:after="0" w:line="24"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December 31, 2008</w:t>
      </w:r>
    </w:p>
    <w:p>
      <w:pPr>
        <w:spacing w:after="0" w:line="21" w:lineRule="exact"/>
        <w:rPr>
          <w:sz w:val="24"/>
          <w:szCs w:val="24"/>
          <w:color w:val="auto"/>
        </w:rPr>
      </w:pPr>
    </w:p>
    <w:p>
      <w:pPr>
        <w:ind w:left="2800"/>
        <w:spacing w:after="0"/>
        <w:rPr>
          <w:sz w:val="20"/>
          <w:szCs w:val="20"/>
          <w:color w:val="auto"/>
        </w:rPr>
      </w:pPr>
      <w:r>
        <w:rPr>
          <w:rFonts w:ascii="Arial" w:cs="Arial" w:eastAsia="Arial" w:hAnsi="Arial"/>
          <w:sz w:val="20"/>
          <w:szCs w:val="20"/>
          <w:color w:val="auto"/>
        </w:rPr>
        <w:t>___________________________________________________________</w:t>
      </w: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4880" w:right="4820" w:hanging="51"/>
        <w:spacing w:after="0" w:line="291" w:lineRule="auto"/>
        <w:tabs>
          <w:tab w:leader="none" w:pos="5356"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 – 1(b) [ ] Rule 13d – 1(c) [ ] Rule 13d – 1(d)</w:t>
      </w:r>
    </w:p>
    <w:p>
      <w:pPr>
        <w:spacing w:after="0" w:line="165" w:lineRule="exact"/>
        <w:rPr>
          <w:rFonts w:ascii="Arial" w:cs="Arial" w:eastAsia="Arial" w:hAnsi="Arial"/>
          <w:sz w:val="18"/>
          <w:szCs w:val="18"/>
          <w:color w:val="auto"/>
        </w:rPr>
      </w:pPr>
    </w:p>
    <w:p>
      <w:pPr>
        <w:spacing w:after="0" w:line="287" w:lineRule="auto"/>
        <w:rPr>
          <w:rFonts w:ascii="Arial" w:cs="Arial" w:eastAsia="Arial" w:hAnsi="Arial"/>
          <w:sz w:val="18"/>
          <w:szCs w:val="18"/>
          <w:color w:val="auto"/>
        </w:rPr>
      </w:pPr>
      <w:r>
        <w:rPr>
          <w:rFonts w:ascii="Arial" w:cs="Arial" w:eastAsia="Arial" w:hAnsi="Arial"/>
          <w:sz w:val="19"/>
          <w:szCs w:val="19"/>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jc w:val="both"/>
        <w:ind w:firstLine="486"/>
        <w:spacing w:after="0" w:line="257" w:lineRule="auto"/>
        <w:rPr>
          <w:sz w:val="20"/>
          <w:szCs w:val="20"/>
          <w:color w:val="auto"/>
        </w:rPr>
      </w:pPr>
      <w:r>
        <w:rPr>
          <w:rFonts w:ascii="Arial" w:cs="Arial" w:eastAsia="Arial" w:hAnsi="Arial"/>
          <w:sz w:val="20"/>
          <w:szCs w:val="20"/>
          <w:color w:val="auto"/>
        </w:rPr>
        <w:t xml:space="preserve">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0"/>
          <w:szCs w:val="20"/>
          <w:i w:val="1"/>
          <w:iCs w:val="1"/>
          <w:color w:val="auto"/>
        </w:rPr>
        <w:t>see</w:t>
      </w:r>
      <w:r>
        <w:rPr>
          <w:rFonts w:ascii="Arial" w:cs="Arial" w:eastAsia="Arial" w:hAnsi="Arial"/>
          <w:sz w:val="20"/>
          <w:szCs w:val="20"/>
          <w:color w:val="auto"/>
        </w:rPr>
        <w:t xml:space="preserve">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3780" w:type="dxa"/>
            <w:vAlign w:val="bottom"/>
          </w:tcPr>
          <w:p>
            <w:pPr>
              <w:spacing w:after="0"/>
              <w:rPr>
                <w:sz w:val="20"/>
                <w:szCs w:val="20"/>
                <w:color w:val="auto"/>
              </w:rPr>
            </w:pPr>
            <w:r>
              <w:rPr>
                <w:rFonts w:ascii="Arial" w:cs="Arial" w:eastAsia="Arial" w:hAnsi="Arial"/>
                <w:sz w:val="18"/>
                <w:szCs w:val="18"/>
                <w:color w:val="auto"/>
              </w:rPr>
              <w:t>CUSIP No 810186106</w:t>
            </w:r>
          </w:p>
        </w:tc>
        <w:tc>
          <w:tcPr>
            <w:tcW w:w="3420" w:type="dxa"/>
            <w:vAlign w:val="bottom"/>
          </w:tcPr>
          <w:p>
            <w:pPr>
              <w:ind w:left="2140"/>
              <w:spacing w:after="0"/>
              <w:rPr>
                <w:sz w:val="20"/>
                <w:szCs w:val="20"/>
                <w:color w:val="auto"/>
              </w:rPr>
            </w:pPr>
            <w:r>
              <w:rPr>
                <w:rFonts w:ascii="Arial" w:cs="Arial" w:eastAsia="Arial" w:hAnsi="Arial"/>
                <w:sz w:val="18"/>
                <w:szCs w:val="18"/>
                <w:color w:val="auto"/>
                <w:w w:val="85"/>
              </w:rPr>
              <w:t>Page 2 of 6 Pages</w:t>
            </w:r>
          </w:p>
        </w:tc>
      </w:tr>
    </w:tbl>
    <w:p>
      <w:pPr>
        <w:ind w:left="38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5095875" cy="4565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95875" cy="456565"/>
                    </a:xfrm>
                    <a:prstGeom prst="rect">
                      <a:avLst/>
                    </a:prstGeom>
                    <a:noFill/>
                  </pic:spPr>
                </pic:pic>
              </a:graphicData>
            </a:graphic>
          </wp:anchor>
        </w:drawing>
        <w:t>13G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00" w:hanging="655"/>
        <w:spacing w:after="0"/>
        <w:tabs>
          <w:tab w:leader="none" w:pos="100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000"/>
        <w:spacing w:after="0"/>
        <w:rPr>
          <w:rFonts w:ascii="Arial" w:cs="Arial" w:eastAsia="Arial" w:hAnsi="Arial"/>
          <w:sz w:val="20"/>
          <w:szCs w:val="20"/>
          <w:b w:val="1"/>
          <w:bCs w:val="1"/>
          <w:color w:val="auto"/>
        </w:rPr>
      </w:pPr>
      <w:r>
        <w:rPr>
          <w:rFonts w:ascii="Arial" w:cs="Arial" w:eastAsia="Arial" w:hAnsi="Arial"/>
          <w:sz w:val="20"/>
          <w:szCs w:val="20"/>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-300990</wp:posOffset>
            </wp:positionV>
            <wp:extent cx="5147310" cy="5061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7310" cy="5061585"/>
                    </a:xfrm>
                    <a:prstGeom prst="rect">
                      <a:avLst/>
                    </a:prstGeom>
                    <a:noFill/>
                  </pic:spPr>
                </pic:pic>
              </a:graphicData>
            </a:graphic>
          </wp:anchor>
        </w:drawing>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46"/>
        </w:trPr>
        <w:tc>
          <w:tcPr>
            <w:tcW w:w="3960" w:type="dxa"/>
            <w:vAlign w:val="bottom"/>
          </w:tcPr>
          <w:p>
            <w:pPr>
              <w:spacing w:after="0"/>
              <w:rPr>
                <w:sz w:val="20"/>
                <w:szCs w:val="20"/>
                <w:color w:val="auto"/>
              </w:rPr>
            </w:pPr>
            <w:r>
              <w:rPr>
                <w:rFonts w:ascii="Arial" w:cs="Arial" w:eastAsia="Arial" w:hAnsi="Arial"/>
                <w:sz w:val="20"/>
                <w:szCs w:val="20"/>
                <w:color w:val="auto"/>
              </w:rPr>
              <w:t>Columbia Wanger Asset Management, L.P.</w:t>
            </w:r>
          </w:p>
        </w:tc>
        <w:tc>
          <w:tcPr>
            <w:tcW w:w="1500" w:type="dxa"/>
            <w:vAlign w:val="bottom"/>
          </w:tcPr>
          <w:p>
            <w:pPr>
              <w:jc w:val="right"/>
              <w:spacing w:after="0"/>
              <w:rPr>
                <w:sz w:val="20"/>
                <w:szCs w:val="20"/>
                <w:color w:val="auto"/>
              </w:rPr>
            </w:pPr>
            <w:r>
              <w:rPr>
                <w:rFonts w:ascii="Arial" w:cs="Arial" w:eastAsia="Arial" w:hAnsi="Arial"/>
                <w:sz w:val="20"/>
                <w:szCs w:val="20"/>
                <w:color w:val="auto"/>
              </w:rPr>
              <w:t>04-3519872</w:t>
            </w:r>
          </w:p>
        </w:tc>
      </w:tr>
    </w:tbl>
    <w:p>
      <w:pPr>
        <w:ind w:left="1000" w:hanging="655"/>
        <w:spacing w:after="0"/>
        <w:tabs>
          <w:tab w:leader="none" w:pos="100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w:t>
      </w:r>
    </w:p>
    <w:p>
      <w:pPr>
        <w:ind w:left="1000"/>
        <w:spacing w:after="0"/>
        <w:tabs>
          <w:tab w:leader="none" w:pos="3960" w:val="left"/>
        </w:tabs>
        <w:rPr>
          <w:sz w:val="20"/>
          <w:szCs w:val="20"/>
          <w:color w:val="auto"/>
        </w:rPr>
      </w:pPr>
      <w:r>
        <w:rPr>
          <w:rFonts w:ascii="Arial" w:cs="Arial" w:eastAsia="Arial" w:hAnsi="Arial"/>
          <w:sz w:val="20"/>
          <w:szCs w:val="20"/>
          <w:color w:val="auto"/>
        </w:rPr>
        <w:t>Instructions)</w:t>
      </w:r>
      <w:r>
        <w:rPr>
          <w:sz w:val="20"/>
          <w:szCs w:val="20"/>
          <w:color w:val="auto"/>
        </w:rPr>
        <w:tab/>
      </w:r>
      <w:r>
        <w:rPr>
          <w:rFonts w:ascii="Arial" w:cs="Arial" w:eastAsia="Arial" w:hAnsi="Arial"/>
          <w:sz w:val="20"/>
          <w:szCs w:val="20"/>
          <w:color w:val="auto"/>
        </w:rPr>
        <w:t>(a) [ ]</w:t>
      </w:r>
    </w:p>
    <w:p>
      <w:pPr>
        <w:ind w:left="2980"/>
        <w:spacing w:after="0"/>
        <w:rPr>
          <w:sz w:val="20"/>
          <w:szCs w:val="20"/>
          <w:color w:val="auto"/>
        </w:rPr>
      </w:pPr>
      <w:r>
        <w:rPr>
          <w:rFonts w:ascii="Arial" w:cs="Arial" w:eastAsia="Arial" w:hAnsi="Arial"/>
          <w:sz w:val="20"/>
          <w:szCs w:val="20"/>
          <w:color w:val="auto"/>
        </w:rPr>
        <w:t>(b) [ ]</w:t>
      </w:r>
    </w:p>
    <w:p>
      <w:pPr>
        <w:spacing w:after="0" w:line="4" w:lineRule="exact"/>
        <w:rPr>
          <w:sz w:val="20"/>
          <w:szCs w:val="20"/>
          <w:color w:val="auto"/>
        </w:rPr>
      </w:pPr>
    </w:p>
    <w:p>
      <w:pPr>
        <w:ind w:left="1000" w:hanging="655"/>
        <w:spacing w:after="0"/>
        <w:tabs>
          <w:tab w:leader="none" w:pos="100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2" w:lineRule="exact"/>
        <w:rPr>
          <w:sz w:val="20"/>
          <w:szCs w:val="20"/>
          <w:color w:val="auto"/>
        </w:rPr>
      </w:pPr>
    </w:p>
    <w:p>
      <w:pPr>
        <w:ind w:left="1000" w:hanging="655"/>
        <w:spacing w:after="0"/>
        <w:tabs>
          <w:tab w:leader="none" w:pos="100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16" w:lineRule="exact"/>
        <w:rPr>
          <w:sz w:val="20"/>
          <w:szCs w:val="20"/>
          <w:color w:val="auto"/>
        </w:rPr>
      </w:pPr>
    </w:p>
    <w:p>
      <w:pPr>
        <w:jc w:val="right"/>
        <w:ind w:right="2199"/>
        <w:spacing w:after="0"/>
        <w:rPr>
          <w:sz w:val="20"/>
          <w:szCs w:val="20"/>
          <w:color w:val="auto"/>
        </w:rPr>
      </w:pPr>
      <w:r>
        <w:rPr>
          <w:rFonts w:ascii="Arial" w:cs="Arial" w:eastAsia="Arial" w:hAnsi="Arial"/>
          <w:sz w:val="20"/>
          <w:szCs w:val="20"/>
          <w:color w:val="auto"/>
        </w:rPr>
        <w:t>Delaware</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20"/>
          <w:szCs w:val="20"/>
          <w:b w:val="1"/>
          <w:bCs w:val="1"/>
          <w:color w:val="auto"/>
        </w:rPr>
        <w:t xml:space="preserve">5 </w:t>
      </w:r>
      <w:r>
        <w:rPr>
          <w:rFonts w:ascii="Arial" w:cs="Arial" w:eastAsia="Arial" w:hAnsi="Arial"/>
          <w:sz w:val="20"/>
          <w:szCs w:val="20"/>
          <w:color w:val="auto"/>
        </w:rPr>
        <w:t>SOLE VOTING POWER</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NUMBER OF</w:t>
      </w:r>
    </w:p>
    <w:p>
      <w:pPr>
        <w:spacing w:after="0" w:line="15"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20"/>
          <w:szCs w:val="20"/>
          <w:color w:val="auto"/>
        </w:rPr>
        <w:t>SHARES</w:t>
      </w:r>
      <w:r>
        <w:rPr>
          <w:sz w:val="20"/>
          <w:szCs w:val="20"/>
          <w:color w:val="auto"/>
        </w:rPr>
        <w:tab/>
      </w:r>
      <w:r>
        <w:rPr>
          <w:rFonts w:ascii="Arial" w:cs="Arial" w:eastAsia="Arial" w:hAnsi="Arial"/>
          <w:sz w:val="20"/>
          <w:szCs w:val="20"/>
          <w:b w:val="1"/>
          <w:bCs w:val="1"/>
          <w:color w:val="auto"/>
        </w:rPr>
        <w:t xml:space="preserve">6 </w:t>
      </w:r>
      <w:r>
        <w:rPr>
          <w:rFonts w:ascii="Arial" w:cs="Arial" w:eastAsia="Arial" w:hAnsi="Arial"/>
          <w:sz w:val="20"/>
          <w:szCs w:val="20"/>
          <w:color w:val="auto"/>
        </w:rPr>
        <w:t>SHARED VOTING POWER</w:t>
      </w:r>
    </w:p>
    <w:p>
      <w:pPr>
        <w:jc w:val="center"/>
        <w:ind w:right="8559"/>
        <w:spacing w:after="0"/>
        <w:rPr>
          <w:sz w:val="20"/>
          <w:szCs w:val="20"/>
          <w:color w:val="auto"/>
        </w:rPr>
      </w:pPr>
      <w:r>
        <w:rPr>
          <w:rFonts w:ascii="Arial" w:cs="Arial" w:eastAsia="Arial" w:hAnsi="Arial"/>
          <w:sz w:val="20"/>
          <w:szCs w:val="20"/>
          <w:color w:val="auto"/>
        </w:rPr>
        <w:t>BENEFICIALLY</w:t>
      </w:r>
    </w:p>
    <w:p>
      <w:pPr>
        <w:jc w:val="center"/>
        <w:ind w:right="8559"/>
        <w:spacing w:after="0" w:line="187" w:lineRule="auto"/>
        <w:rPr>
          <w:sz w:val="20"/>
          <w:szCs w:val="20"/>
          <w:color w:val="auto"/>
        </w:rPr>
      </w:pPr>
      <w:r>
        <w:rPr>
          <w:rFonts w:ascii="Arial" w:cs="Arial" w:eastAsia="Arial" w:hAnsi="Arial"/>
          <w:sz w:val="15"/>
          <w:szCs w:val="15"/>
          <w:color w:val="auto"/>
        </w:rPr>
        <w:t>OWNED BY</w:t>
      </w:r>
    </w:p>
    <w:p>
      <w:pPr>
        <w:ind w:left="500"/>
        <w:spacing w:after="0" w:line="181" w:lineRule="auto"/>
        <w:tabs>
          <w:tab w:leader="none" w:pos="1720" w:val="left"/>
        </w:tabs>
        <w:rPr>
          <w:sz w:val="20"/>
          <w:szCs w:val="20"/>
          <w:color w:val="auto"/>
        </w:rPr>
      </w:pPr>
      <w:r>
        <w:rPr>
          <w:rFonts w:ascii="Arial" w:cs="Arial" w:eastAsia="Arial" w:hAnsi="Arial"/>
          <w:sz w:val="27"/>
          <w:szCs w:val="27"/>
          <w:color w:val="auto"/>
          <w:vertAlign w:val="subscript"/>
        </w:rPr>
        <w:t>EACH</w:t>
      </w:r>
      <w:r>
        <w:rPr>
          <w:sz w:val="20"/>
          <w:szCs w:val="20"/>
          <w:color w:val="auto"/>
        </w:rPr>
        <w:tab/>
      </w:r>
      <w:r>
        <w:rPr>
          <w:rFonts w:ascii="Arial" w:cs="Arial" w:eastAsia="Arial" w:hAnsi="Arial"/>
          <w:sz w:val="15"/>
          <w:szCs w:val="15"/>
          <w:b w:val="1"/>
          <w:bCs w:val="1"/>
          <w:color w:val="auto"/>
        </w:rPr>
        <w:t xml:space="preserve">7 </w:t>
      </w:r>
      <w:r>
        <w:rPr>
          <w:rFonts w:ascii="Arial" w:cs="Arial" w:eastAsia="Arial" w:hAnsi="Arial"/>
          <w:sz w:val="15"/>
          <w:szCs w:val="15"/>
          <w:color w:val="auto"/>
        </w:rPr>
        <w:t>SOLE DISPOSITIVE POWER</w:t>
      </w:r>
    </w:p>
    <w:p>
      <w:pPr>
        <w:spacing w:after="0" w:line="90" w:lineRule="exact"/>
        <w:rPr>
          <w:sz w:val="20"/>
          <w:szCs w:val="20"/>
          <w:color w:val="auto"/>
        </w:rPr>
      </w:pPr>
    </w:p>
    <w:p>
      <w:pPr>
        <w:jc w:val="center"/>
        <w:ind w:right="8559"/>
        <w:spacing w:after="0"/>
        <w:rPr>
          <w:sz w:val="20"/>
          <w:szCs w:val="20"/>
          <w:color w:val="auto"/>
        </w:rPr>
      </w:pPr>
      <w:r>
        <w:rPr>
          <w:rFonts w:ascii="Arial" w:cs="Arial" w:eastAsia="Arial" w:hAnsi="Arial"/>
          <w:sz w:val="20"/>
          <w:szCs w:val="20"/>
          <w:color w:val="auto"/>
        </w:rPr>
        <w:t>REPORTING</w:t>
      </w:r>
    </w:p>
    <w:p>
      <w:pPr>
        <w:jc w:val="center"/>
        <w:ind w:right="8559"/>
        <w:spacing w:after="0" w:line="211" w:lineRule="auto"/>
        <w:rPr>
          <w:sz w:val="20"/>
          <w:szCs w:val="20"/>
          <w:color w:val="auto"/>
        </w:rPr>
      </w:pPr>
      <w:r>
        <w:rPr>
          <w:rFonts w:ascii="Arial" w:cs="Arial" w:eastAsia="Arial" w:hAnsi="Arial"/>
          <w:sz w:val="20"/>
          <w:szCs w:val="20"/>
          <w:color w:val="auto"/>
        </w:rPr>
        <w:t>PERSON WITH</w:t>
      </w:r>
    </w:p>
    <w:p>
      <w:pPr>
        <w:ind w:left="1740"/>
        <w:spacing w:after="0"/>
        <w:rPr>
          <w:sz w:val="20"/>
          <w:szCs w:val="20"/>
          <w:color w:val="auto"/>
        </w:rPr>
      </w:pPr>
      <w:r>
        <w:rPr>
          <w:rFonts w:ascii="Arial" w:cs="Arial" w:eastAsia="Arial" w:hAnsi="Arial"/>
          <w:sz w:val="20"/>
          <w:szCs w:val="20"/>
          <w:b w:val="1"/>
          <w:bCs w:val="1"/>
          <w:color w:val="auto"/>
        </w:rPr>
        <w:t xml:space="preserve">8 </w:t>
      </w:r>
      <w:r>
        <w:rPr>
          <w:rFonts w:ascii="Arial" w:cs="Arial" w:eastAsia="Arial" w:hAnsi="Arial"/>
          <w:sz w:val="20"/>
          <w:szCs w:val="20"/>
          <w:color w:val="auto"/>
        </w:rPr>
        <w:t>SHARED DISPOSITIVE POWER</w:t>
      </w:r>
    </w:p>
    <w:p>
      <w:pPr>
        <w:spacing w:after="0" w:line="173" w:lineRule="exact"/>
        <w:rPr>
          <w:sz w:val="20"/>
          <w:szCs w:val="20"/>
          <w:color w:val="auto"/>
        </w:rPr>
      </w:pPr>
    </w:p>
    <w:p>
      <w:pPr>
        <w:ind w:left="1000" w:right="2219" w:hanging="655"/>
        <w:spacing w:after="0" w:line="250" w:lineRule="auto"/>
        <w:tabs>
          <w:tab w:leader="none" w:pos="100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1" w:lineRule="exact"/>
        <w:rPr>
          <w:sz w:val="20"/>
          <w:szCs w:val="20"/>
          <w:color w:val="auto"/>
        </w:rPr>
      </w:pPr>
    </w:p>
    <w:p>
      <w:pPr>
        <w:ind w:left="1000" w:right="2219" w:hanging="704"/>
        <w:spacing w:after="0" w:line="244" w:lineRule="auto"/>
        <w:tabs>
          <w:tab w:leader="none" w:pos="1000"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 (See Instructions)</w:t>
      </w:r>
    </w:p>
    <w:p>
      <w:pPr>
        <w:jc w:val="right"/>
        <w:ind w:right="2199"/>
        <w:spacing w:after="0"/>
        <w:rPr>
          <w:sz w:val="20"/>
          <w:szCs w:val="20"/>
          <w:color w:val="auto"/>
        </w:rPr>
      </w:pPr>
      <w:r>
        <w:rPr>
          <w:rFonts w:ascii="Arial" w:cs="Arial" w:eastAsia="Arial" w:hAnsi="Arial"/>
          <w:sz w:val="20"/>
          <w:szCs w:val="20"/>
          <w:color w:val="auto"/>
        </w:rPr>
        <w:t>[ ]</w:t>
      </w:r>
    </w:p>
    <w:p>
      <w:pPr>
        <w:spacing w:after="0" w:line="4" w:lineRule="exact"/>
        <w:rPr>
          <w:sz w:val="20"/>
          <w:szCs w:val="20"/>
          <w:color w:val="auto"/>
        </w:rPr>
      </w:pPr>
    </w:p>
    <w:p>
      <w:pPr>
        <w:ind w:left="1000" w:hanging="699"/>
        <w:spacing w:after="0"/>
        <w:tabs>
          <w:tab w:leader="none" w:pos="1000"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2" w:lineRule="exact"/>
        <w:rPr>
          <w:sz w:val="20"/>
          <w:szCs w:val="20"/>
          <w:color w:val="auto"/>
        </w:rPr>
      </w:pPr>
    </w:p>
    <w:p>
      <w:pPr>
        <w:jc w:val="right"/>
        <w:ind w:right="2199"/>
        <w:spacing w:after="0"/>
        <w:rPr>
          <w:sz w:val="20"/>
          <w:szCs w:val="20"/>
          <w:color w:val="auto"/>
        </w:rPr>
      </w:pPr>
      <w:r>
        <w:rPr>
          <w:rFonts w:ascii="Arial" w:cs="Arial" w:eastAsia="Arial" w:hAnsi="Arial"/>
          <w:sz w:val="20"/>
          <w:szCs w:val="20"/>
          <w:color w:val="auto"/>
        </w:rPr>
        <w:t>Less than 5% (closing filing)</w:t>
      </w:r>
    </w:p>
    <w:p>
      <w:pPr>
        <w:spacing w:after="0" w:line="20" w:lineRule="exact"/>
        <w:rPr>
          <w:sz w:val="20"/>
          <w:szCs w:val="20"/>
          <w:color w:val="auto"/>
        </w:rPr>
      </w:pPr>
    </w:p>
    <w:p>
      <w:pPr>
        <w:ind w:left="1000" w:hanging="704"/>
        <w:spacing w:after="0"/>
        <w:tabs>
          <w:tab w:leader="none" w:pos="1000" w:val="left"/>
        </w:tabs>
        <w:numPr>
          <w:ilvl w:val="0"/>
          <w:numId w:val="9"/>
        </w:numPr>
        <w:rPr>
          <w:rFonts w:ascii="Arial" w:cs="Arial" w:eastAsia="Arial" w:hAnsi="Arial"/>
          <w:sz w:val="20"/>
          <w:szCs w:val="20"/>
          <w:b w:val="1"/>
          <w:bCs w:val="1"/>
          <w:color w:val="auto"/>
        </w:rPr>
      </w:pPr>
      <w:r>
        <w:rPr>
          <w:rFonts w:ascii="Arial" w:cs="Arial" w:eastAsia="Arial" w:hAnsi="Arial"/>
          <w:sz w:val="20"/>
          <w:szCs w:val="20"/>
          <w:color w:val="auto"/>
        </w:rPr>
        <w:t xml:space="preserve">TYPE OF REPORTING PERSON </w:t>
      </w:r>
      <w:r>
        <w:rPr>
          <w:rFonts w:ascii="Arial" w:cs="Arial" w:eastAsia="Arial" w:hAnsi="Arial"/>
          <w:sz w:val="21"/>
          <w:szCs w:val="21"/>
          <w:color w:val="auto"/>
        </w:rPr>
        <w:t>(See Instructions)</w:t>
      </w:r>
    </w:p>
    <w:p>
      <w:pPr>
        <w:spacing w:after="0" w:line="206" w:lineRule="exact"/>
        <w:rPr>
          <w:sz w:val="20"/>
          <w:szCs w:val="20"/>
          <w:color w:val="auto"/>
        </w:rPr>
      </w:pPr>
    </w:p>
    <w:p>
      <w:pPr>
        <w:jc w:val="right"/>
        <w:ind w:right="2199"/>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586105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099"/>
          </w:cols>
          <w:pgMar w:left="360" w:top="382" w:right="1440" w:bottom="1440" w:gutter="0" w:footer="0" w:header="0"/>
        </w:sectPr>
      </w:pPr>
    </w:p>
    <w:bookmarkStart w:id="2" w:name="page3"/>
    <w:bookmarkEnd w:id="2"/>
    <w:p>
      <w:pPr>
        <w:spacing w:after="0"/>
        <w:tabs>
          <w:tab w:leader="none" w:pos="116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13" w:lineRule="exact"/>
        <w:rPr>
          <w:sz w:val="20"/>
          <w:szCs w:val="20"/>
          <w:color w:val="auto"/>
        </w:rPr>
      </w:pPr>
    </w:p>
    <w:p>
      <w:pPr>
        <w:jc w:val="center"/>
        <w:ind w:right="4699"/>
        <w:spacing w:after="0"/>
        <w:rPr>
          <w:sz w:val="20"/>
          <w:szCs w:val="20"/>
          <w:color w:val="auto"/>
        </w:rPr>
      </w:pPr>
      <w:r>
        <w:rPr>
          <w:rFonts w:ascii="Arial" w:cs="Arial" w:eastAsia="Arial" w:hAnsi="Arial"/>
          <w:sz w:val="22"/>
          <w:szCs w:val="22"/>
          <w:color w:val="auto"/>
        </w:rPr>
        <w:t>The Scotts Miracle Gro Company</w:t>
      </w:r>
    </w:p>
    <w:p>
      <w:pPr>
        <w:spacing w:after="0" w:line="200" w:lineRule="exact"/>
        <w:rPr>
          <w:sz w:val="20"/>
          <w:szCs w:val="20"/>
          <w:color w:val="auto"/>
        </w:rPr>
      </w:pPr>
    </w:p>
    <w:p>
      <w:pPr>
        <w:jc w:val="center"/>
        <w:ind w:right="4659"/>
        <w:spacing w:after="0"/>
        <w:tabs>
          <w:tab w:leader="none" w:pos="24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14111 Scottslawn Road</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Marysville, OH 43041</w:t>
      </w:r>
    </w:p>
    <w:p>
      <w:pPr>
        <w:spacing w:after="0" w:line="182"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Columbia Wanger Asset Management, L.P.</w:t>
      </w:r>
    </w:p>
    <w:p>
      <w:pPr>
        <w:spacing w:after="0" w:line="200"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227 West Monroe Street, Suite 3000, Chicago, IL 60606.</w:t>
      </w:r>
    </w:p>
    <w:p>
      <w:pPr>
        <w:spacing w:after="0" w:line="21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2(c).</w:t>
      </w:r>
      <w:r>
        <w:rPr>
          <w:sz w:val="20"/>
          <w:szCs w:val="20"/>
          <w:color w:val="auto"/>
        </w:rPr>
        <w:tab/>
      </w:r>
      <w:r>
        <w:rPr>
          <w:rFonts w:ascii="Arial" w:cs="Arial" w:eastAsia="Arial" w:hAnsi="Arial"/>
          <w:sz w:val="19"/>
          <w:szCs w:val="19"/>
          <w:b w:val="1"/>
          <w:bCs w:val="1"/>
          <w:color w:val="auto"/>
        </w:rPr>
        <w:t>Citizenship:</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Delaware</w:t>
      </w:r>
    </w:p>
    <w:p>
      <w:pPr>
        <w:spacing w:after="0" w:line="200"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2(d).</w:t>
      </w:r>
      <w:r>
        <w:rPr>
          <w:sz w:val="20"/>
          <w:szCs w:val="20"/>
          <w:color w:val="auto"/>
        </w:rPr>
        <w:tab/>
      </w:r>
      <w:r>
        <w:rPr>
          <w:rFonts w:ascii="Arial" w:cs="Arial" w:eastAsia="Arial" w:hAnsi="Arial"/>
          <w:sz w:val="19"/>
          <w:szCs w:val="19"/>
          <w:b w:val="1"/>
          <w:bCs w:val="1"/>
          <w:color w:val="auto"/>
        </w:rPr>
        <w:t>Title of Class of Securities: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3" w:name="page4"/>
    <w:bookmarkEnd w:id="3"/>
    <w:p>
      <w:pPr>
        <w:spacing w:after="0"/>
        <w:tabs>
          <w:tab w:leader="none" w:pos="1140" w:val="left"/>
        </w:tabs>
        <w:rPr>
          <w:sz w:val="20"/>
          <w:szCs w:val="20"/>
          <w:color w:val="auto"/>
        </w:rPr>
      </w:pPr>
      <w:r>
        <w:rPr>
          <w:rFonts w:ascii="Arial" w:cs="Arial" w:eastAsia="Arial" w:hAnsi="Arial"/>
          <w:sz w:val="22"/>
          <w:szCs w:val="22"/>
          <w:b w:val="1"/>
          <w:bCs w:val="1"/>
          <w:color w:val="auto"/>
        </w:rPr>
        <w:t>Item 2(e).</w:t>
      </w:r>
      <w:r>
        <w:rPr>
          <w:sz w:val="20"/>
          <w:szCs w:val="20"/>
          <w:color w:val="auto"/>
        </w:rPr>
        <w:tab/>
      </w:r>
      <w:r>
        <w:rPr>
          <w:rFonts w:ascii="Arial" w:cs="Arial" w:eastAsia="Arial" w:hAnsi="Arial"/>
          <w:sz w:val="19"/>
          <w:szCs w:val="19"/>
          <w:b w:val="1"/>
          <w:bCs w:val="1"/>
          <w:color w:val="auto"/>
        </w:rPr>
        <w:t>CUSIP Number:</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810186106</w:t>
      </w:r>
    </w:p>
    <w:p>
      <w:pPr>
        <w:spacing w:after="0" w:line="200"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w:t>
      </w:r>
    </w:p>
    <w:p>
      <w:pPr>
        <w:spacing w:after="0" w:line="1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Check Whether the Person Filing is a:</w:t>
      </w:r>
    </w:p>
    <w:p>
      <w:pPr>
        <w:spacing w:after="0" w:line="229" w:lineRule="exact"/>
        <w:rPr>
          <w:sz w:val="20"/>
          <w:szCs w:val="20"/>
          <w:color w:val="auto"/>
        </w:rPr>
      </w:pPr>
    </w:p>
    <w:p>
      <w:pPr>
        <w:ind w:left="1960" w:hanging="561"/>
        <w:spacing w:after="0"/>
        <w:tabs>
          <w:tab w:leader="none" w:pos="19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Exchange Act.</w:t>
      </w:r>
    </w:p>
    <w:p>
      <w:pPr>
        <w:spacing w:after="0" w:line="314" w:lineRule="exact"/>
        <w:rPr>
          <w:rFonts w:ascii="Arial" w:cs="Arial" w:eastAsia="Arial" w:hAnsi="Arial"/>
          <w:sz w:val="22"/>
          <w:szCs w:val="22"/>
          <w:color w:val="auto"/>
        </w:rPr>
      </w:pPr>
    </w:p>
    <w:p>
      <w:pPr>
        <w:ind w:left="1980" w:hanging="581"/>
        <w:spacing w:after="0"/>
        <w:tabs>
          <w:tab w:leader="none" w:pos="19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Exchange Act.</w:t>
      </w:r>
    </w:p>
    <w:p>
      <w:pPr>
        <w:spacing w:after="0" w:line="314" w:lineRule="exact"/>
        <w:rPr>
          <w:rFonts w:ascii="Arial" w:cs="Arial" w:eastAsia="Arial" w:hAnsi="Arial"/>
          <w:sz w:val="22"/>
          <w:szCs w:val="22"/>
          <w:color w:val="auto"/>
        </w:rPr>
      </w:pPr>
    </w:p>
    <w:p>
      <w:pPr>
        <w:ind w:left="1960" w:hanging="561"/>
        <w:spacing w:after="0"/>
        <w:tabs>
          <w:tab w:leader="none" w:pos="19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Exchange Act.</w:t>
      </w:r>
    </w:p>
    <w:p>
      <w:pPr>
        <w:spacing w:after="0" w:line="314" w:lineRule="exact"/>
        <w:rPr>
          <w:rFonts w:ascii="Arial" w:cs="Arial" w:eastAsia="Arial" w:hAnsi="Arial"/>
          <w:sz w:val="22"/>
          <w:szCs w:val="22"/>
          <w:color w:val="auto"/>
        </w:rPr>
      </w:pPr>
    </w:p>
    <w:p>
      <w:pPr>
        <w:ind w:left="1980" w:hanging="581"/>
        <w:spacing w:after="0"/>
        <w:tabs>
          <w:tab w:leader="none" w:pos="19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w:t>
      </w:r>
    </w:p>
    <w:p>
      <w:pPr>
        <w:spacing w:after="0" w:line="314" w:lineRule="exact"/>
        <w:rPr>
          <w:rFonts w:ascii="Arial" w:cs="Arial" w:eastAsia="Arial" w:hAnsi="Arial"/>
          <w:sz w:val="22"/>
          <w:szCs w:val="22"/>
          <w:color w:val="auto"/>
        </w:rPr>
      </w:pPr>
    </w:p>
    <w:p>
      <w:pPr>
        <w:ind w:left="1960" w:hanging="561"/>
        <w:spacing w:after="0"/>
        <w:tabs>
          <w:tab w:leader="none" w:pos="19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 ] An investment adviser in accordance with Rule 13d-1(b)(1)(ii)(E).</w:t>
      </w:r>
    </w:p>
    <w:p>
      <w:pPr>
        <w:spacing w:after="0" w:line="314" w:lineRule="exact"/>
        <w:rPr>
          <w:rFonts w:ascii="Arial" w:cs="Arial" w:eastAsia="Arial" w:hAnsi="Arial"/>
          <w:sz w:val="22"/>
          <w:szCs w:val="22"/>
          <w:color w:val="auto"/>
        </w:rPr>
      </w:pPr>
    </w:p>
    <w:p>
      <w:pPr>
        <w:ind w:left="1940" w:hanging="541"/>
        <w:spacing w:after="0"/>
        <w:tabs>
          <w:tab w:leader="none" w:pos="19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13d-1(b)(1)(ii)(F).</w:t>
      </w:r>
    </w:p>
    <w:p>
      <w:pPr>
        <w:spacing w:after="0" w:line="314" w:lineRule="exact"/>
        <w:rPr>
          <w:rFonts w:ascii="Arial" w:cs="Arial" w:eastAsia="Arial" w:hAnsi="Arial"/>
          <w:sz w:val="22"/>
          <w:szCs w:val="22"/>
          <w:color w:val="auto"/>
        </w:rPr>
      </w:pPr>
    </w:p>
    <w:p>
      <w:pPr>
        <w:ind w:left="1980" w:hanging="581"/>
        <w:spacing w:after="0"/>
        <w:tabs>
          <w:tab w:leader="none" w:pos="19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13d-1(b)(1)(ii)(G).</w:t>
      </w:r>
    </w:p>
    <w:p>
      <w:pPr>
        <w:spacing w:after="0" w:line="314" w:lineRule="exact"/>
        <w:rPr>
          <w:rFonts w:ascii="Arial" w:cs="Arial" w:eastAsia="Arial" w:hAnsi="Arial"/>
          <w:sz w:val="22"/>
          <w:szCs w:val="22"/>
          <w:color w:val="auto"/>
        </w:rPr>
      </w:pPr>
    </w:p>
    <w:p>
      <w:pPr>
        <w:ind w:left="1980" w:hanging="581"/>
        <w:spacing w:after="0"/>
        <w:tabs>
          <w:tab w:leader="none" w:pos="19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w:t>
      </w:r>
    </w:p>
    <w:p>
      <w:pPr>
        <w:spacing w:after="0" w:line="314" w:lineRule="exact"/>
        <w:rPr>
          <w:rFonts w:ascii="Arial" w:cs="Arial" w:eastAsia="Arial" w:hAnsi="Arial"/>
          <w:sz w:val="22"/>
          <w:szCs w:val="22"/>
          <w:color w:val="auto"/>
        </w:rPr>
      </w:pPr>
    </w:p>
    <w:p>
      <w:pPr>
        <w:ind w:left="1940" w:right="60" w:hanging="541"/>
        <w:spacing w:after="0" w:line="251" w:lineRule="auto"/>
        <w:tabs>
          <w:tab w:leader="none" w:pos="19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w:t>
      </w:r>
    </w:p>
    <w:p>
      <w:pPr>
        <w:spacing w:after="0" w:line="281" w:lineRule="exact"/>
        <w:rPr>
          <w:rFonts w:ascii="Arial" w:cs="Arial" w:eastAsia="Arial" w:hAnsi="Arial"/>
          <w:sz w:val="22"/>
          <w:szCs w:val="22"/>
          <w:color w:val="auto"/>
        </w:rPr>
      </w:pPr>
    </w:p>
    <w:p>
      <w:pPr>
        <w:ind w:left="1940" w:hanging="541"/>
        <w:spacing w:after="0"/>
        <w:tabs>
          <w:tab w:leader="none" w:pos="19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Group, in accordance with Rule 13d-1(b)(1)(ii)(J).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this statement is filed pursuant to Rule 13d-1(c), check this box. [ ]</w:t>
      </w:r>
    </w:p>
    <w:p>
      <w:pPr>
        <w:spacing w:after="0" w:line="200"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2" w:lineRule="exact"/>
        <w:rPr>
          <w:sz w:val="20"/>
          <w:szCs w:val="20"/>
          <w:color w:val="auto"/>
        </w:rPr>
      </w:pPr>
    </w:p>
    <w:p>
      <w:pPr>
        <w:ind w:left="1300" w:right="20"/>
        <w:spacing w:after="0" w:line="251" w:lineRule="auto"/>
        <w:rPr>
          <w:sz w:val="20"/>
          <w:szCs w:val="20"/>
          <w:color w:val="auto"/>
        </w:rPr>
      </w:pPr>
      <w:r>
        <w:rPr>
          <w:rFonts w:ascii="Arial" w:cs="Arial" w:eastAsia="Arial" w:hAnsi="Arial"/>
          <w:sz w:val="22"/>
          <w:szCs w:val="22"/>
          <w:color w:val="auto"/>
        </w:rPr>
        <w:t>With respect to the beneficial ownership of the reporting person, see Items 5 through 11 of the cover pages to this Schedule 13G, which are incorporated herein by reference.</w:t>
      </w:r>
    </w:p>
    <w:p>
      <w:pPr>
        <w:spacing w:after="0" w:line="16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5 Percent or Less of a Class:</w:t>
      </w:r>
    </w:p>
    <w:p>
      <w:pPr>
        <w:spacing w:after="0" w:line="212" w:lineRule="exact"/>
        <w:rPr>
          <w:sz w:val="20"/>
          <w:szCs w:val="20"/>
          <w:color w:val="auto"/>
        </w:rPr>
      </w:pPr>
    </w:p>
    <w:p>
      <w:pPr>
        <w:ind w:left="1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145"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or More than Five Percent on Behalf of Another Person:</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tabs>
          <w:tab w:leader="none" w:pos="118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Identification and Classification of the Subsidiary Which Acquired the</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Security Being Reported on by the Parent Holding Company or Control Person:</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jc w:val="center"/>
        <w:ind w:right="6239"/>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5" w:name="page6"/>
    <w:bookmarkEnd w:id="5"/>
    <w:p>
      <w:pPr>
        <w:spacing w:after="0"/>
        <w:tabs>
          <w:tab w:leader="none" w:pos="10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13" w:lineRule="exact"/>
        <w:rPr>
          <w:sz w:val="20"/>
          <w:szCs w:val="20"/>
          <w:color w:val="auto"/>
        </w:rPr>
      </w:pPr>
    </w:p>
    <w:p>
      <w:pPr>
        <w:jc w:val="both"/>
        <w:ind w:left="1300"/>
        <w:spacing w:after="0" w:line="236" w:lineRule="auto"/>
        <w:rPr>
          <w:sz w:val="20"/>
          <w:szCs w:val="20"/>
          <w:color w:val="auto"/>
        </w:rPr>
      </w:pPr>
      <w:r>
        <w:rPr>
          <w:rFonts w:ascii="Arial" w:cs="Arial" w:eastAsia="Arial" w:hAnsi="Arial"/>
          <w:sz w:val="22"/>
          <w:szCs w:val="22"/>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182" w:lineRule="exact"/>
        <w:rPr>
          <w:sz w:val="20"/>
          <w:szCs w:val="20"/>
          <w:color w:val="auto"/>
        </w:rPr>
      </w:pPr>
    </w:p>
    <w:p>
      <w:pPr>
        <w:jc w:val="center"/>
        <w:ind w:left="400"/>
        <w:spacing w:after="0"/>
        <w:rPr>
          <w:sz w:val="20"/>
          <w:szCs w:val="20"/>
          <w:color w:val="auto"/>
        </w:rPr>
      </w:pPr>
      <w:r>
        <w:rPr>
          <w:rFonts w:ascii="Arial" w:cs="Arial" w:eastAsia="Arial" w:hAnsi="Arial"/>
          <w:sz w:val="22"/>
          <w:szCs w:val="22"/>
          <w:b w:val="1"/>
          <w:bCs w:val="1"/>
          <w:color w:val="auto"/>
        </w:rPr>
        <w:t>SIGNATURE</w:t>
      </w:r>
    </w:p>
    <w:p>
      <w:pPr>
        <w:spacing w:after="0" w:line="320"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Dated:</w:t>
        <w:tab/>
        <w:t>January 15, 2009</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Columbia Wanger Asset Management, L.P.</w:t>
      </w:r>
    </w:p>
    <w:p>
      <w:pPr>
        <w:spacing w:after="0" w:line="212"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By:</w:t>
        <w:tab/>
        <w:t>/s/ Bruce H. Lauer</w:t>
      </w:r>
    </w:p>
    <w:p>
      <w:pPr>
        <w:ind w:left="280"/>
        <w:spacing w:after="0" w:line="238" w:lineRule="auto"/>
        <w:rPr>
          <w:sz w:val="20"/>
          <w:szCs w:val="20"/>
          <w:color w:val="auto"/>
        </w:rPr>
      </w:pPr>
      <w:r>
        <w:rPr>
          <w:rFonts w:ascii="Arial" w:cs="Arial" w:eastAsia="Arial" w:hAnsi="Arial"/>
          <w:sz w:val="22"/>
          <w:szCs w:val="22"/>
          <w:color w:val="auto"/>
        </w:rPr>
        <w:t>_____________________</w:t>
      </w:r>
    </w:p>
    <w:p>
      <w:pPr>
        <w:ind w:left="660"/>
        <w:spacing w:after="0" w:line="230" w:lineRule="auto"/>
        <w:rPr>
          <w:sz w:val="20"/>
          <w:szCs w:val="20"/>
          <w:color w:val="auto"/>
        </w:rPr>
      </w:pPr>
      <w:r>
        <w:rPr>
          <w:rFonts w:ascii="Arial" w:cs="Arial" w:eastAsia="Arial" w:hAnsi="Arial"/>
          <w:sz w:val="22"/>
          <w:szCs w:val="22"/>
          <w:color w:val="auto"/>
        </w:rPr>
        <w:t>Bruce H. Lauer</w:t>
      </w:r>
    </w:p>
    <w:p>
      <w:pPr>
        <w:ind w:left="660"/>
        <w:spacing w:after="0" w:line="231" w:lineRule="auto"/>
        <w:rPr>
          <w:sz w:val="20"/>
          <w:szCs w:val="20"/>
          <w:color w:val="auto"/>
        </w:rPr>
      </w:pPr>
      <w:r>
        <w:rPr>
          <w:rFonts w:ascii="Arial" w:cs="Arial" w:eastAsia="Arial" w:hAnsi="Arial"/>
          <w:sz w:val="22"/>
          <w:szCs w:val="22"/>
          <w:color w:val="auto"/>
        </w:rPr>
        <w:t>Senior Vice President and Secretary,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WAM Acquisition GP, Inc., General Partner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decimal"/>
      <w:start w:val="11"/>
    </w:lvl>
  </w:abstractNum>
  <w:abstractNum w:abstractNumId="8">
    <w:nsid w:val="12200854"/>
    <w:multiLevelType w:val="hybridMultilevel"/>
    <w:lvl w:ilvl="0">
      <w:lvlJc w:val="left"/>
      <w:lvlText w:val="%1"/>
      <w:numFmt w:val="decimal"/>
      <w:start w:val="12"/>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2019-12-10T07:26:38Z</dcterms:created>
  <dcterms:modified xsi:type="dcterms:W3CDTF">2019-12-10T07:26:38Z</dcterms:modified>
</cp:coreProperties>
</file>