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04/02/2012</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04/02/2012</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w w:val="86"/>
              </w:rPr>
              <w:t>40.7581</w:t>
            </w:r>
          </w:p>
        </w:tc>
        <w:tc>
          <w:tcPr>
            <w:tcW w:w="460" w:type="dxa"/>
            <w:vAlign w:val="bottom"/>
            <w:vMerge w:val="restart"/>
          </w:tcPr>
          <w:p>
            <w:pPr>
              <w:ind w:left="34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2"/>
                <w:szCs w:val="22"/>
                <w:color w:val="auto"/>
              </w:rPr>
            </w:pPr>
          </w:p>
        </w:tc>
        <w:tc>
          <w:tcPr>
            <w:tcW w:w="64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49.07</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4,809.7017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105,510.281</w:t>
            </w:r>
          </w:p>
        </w:tc>
        <w:tc>
          <w:tcPr>
            <w:tcW w:w="9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32,496.323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2,677,726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HPLP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acquired under The Scotts Miracle-Gro Company Discounted Stock Purchase Plan (DSPP).</w:t>
      </w:r>
    </w:p>
    <w:p>
      <w:pPr>
        <w:spacing w:after="0" w:line="41"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Exchange Act Rule 16a-1(a)(1), the reporting person may be deemed, solely for purposes of determining whether he is a beneficial owner of more than 10% of the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ectPr>
          <w:pgSz w:w="11900" w:h="16838" w:orient="portrait"/>
          <w:cols w:equalWidth="0" w:num="1">
            <w:col w:w="11420"/>
          </w:cols>
          <w:pgMar w:left="240" w:top="226" w:right="239" w:bottom="144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0000FF"/>
        </w:rPr>
        <w:t>04/03/2012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April, 2009.</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2019-12-17T17:31:56Z</dcterms:created>
  <dcterms:modified xsi:type="dcterms:W3CDTF">2019-12-17T17:31:56Z</dcterms:modified>
</cp:coreProperties>
</file>