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5"/>
        <w:spacing w:after="0"/>
        <w:rPr>
          <w:sz w:val="20"/>
          <w:szCs w:val="20"/>
          <w:color w:val="auto"/>
        </w:rPr>
      </w:pPr>
      <w:r>
        <w:rPr>
          <w:rFonts w:ascii="Courier New" w:cs="Courier New" w:eastAsia="Courier New" w:hAnsi="Courier New"/>
          <w:sz w:val="16"/>
          <w:szCs w:val="16"/>
          <w:color w:val="auto"/>
        </w:rPr>
        <w:t>1</w:t>
      </w:r>
    </w:p>
    <w:p>
      <w:pPr>
        <w:spacing w:after="0" w:line="177" w:lineRule="exact"/>
        <w:rPr>
          <w:sz w:val="24"/>
          <w:szCs w:val="24"/>
          <w:color w:val="auto"/>
        </w:rPr>
      </w:pPr>
    </w:p>
    <w:p>
      <w:pPr>
        <w:ind w:left="185" w:hanging="185"/>
        <w:spacing w:after="0"/>
        <w:tabs>
          <w:tab w:leader="none" w:pos="18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85" w:hanging="185"/>
        <w:spacing w:after="0" w:line="237" w:lineRule="auto"/>
        <w:tabs>
          <w:tab w:leader="none" w:pos="18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77" w:lineRule="exact"/>
        <w:rPr>
          <w:sz w:val="24"/>
          <w:szCs w:val="24"/>
          <w:color w:val="auto"/>
        </w:rPr>
      </w:pPr>
    </w:p>
    <w:p>
      <w:pPr>
        <w:ind w:left="3165"/>
        <w:spacing w:after="0"/>
        <w:rPr>
          <w:sz w:val="20"/>
          <w:szCs w:val="20"/>
          <w:color w:val="auto"/>
        </w:rPr>
      </w:pPr>
      <w:r>
        <w:rPr>
          <w:rFonts w:ascii="Courier New" w:cs="Courier New" w:eastAsia="Courier New" w:hAnsi="Courier New"/>
          <w:sz w:val="16"/>
          <w:szCs w:val="16"/>
          <w:color w:val="auto"/>
        </w:rPr>
        <w:t>SCHEDULE 14A</w:t>
      </w:r>
    </w:p>
    <w:p>
      <w:pPr>
        <w:ind w:left="3065"/>
        <w:spacing w:after="0" w:line="237" w:lineRule="auto"/>
        <w:rPr>
          <w:sz w:val="20"/>
          <w:szCs w:val="20"/>
          <w:color w:val="auto"/>
        </w:rPr>
      </w:pPr>
      <w:r>
        <w:rPr>
          <w:rFonts w:ascii="Courier New" w:cs="Courier New" w:eastAsia="Courier New" w:hAnsi="Courier New"/>
          <w:sz w:val="16"/>
          <w:szCs w:val="16"/>
          <w:color w:val="auto"/>
        </w:rPr>
        <w:t>(RULE 14A-101)</w:t>
      </w:r>
    </w:p>
    <w:p>
      <w:pPr>
        <w:ind w:left="1865"/>
        <w:spacing w:after="0" w:line="237" w:lineRule="auto"/>
        <w:rPr>
          <w:sz w:val="20"/>
          <w:szCs w:val="20"/>
          <w:color w:val="auto"/>
        </w:rPr>
      </w:pPr>
      <w:r>
        <w:rPr>
          <w:rFonts w:ascii="Courier New" w:cs="Courier New" w:eastAsia="Courier New" w:hAnsi="Courier New"/>
          <w:sz w:val="16"/>
          <w:szCs w:val="16"/>
          <w:color w:val="auto"/>
        </w:rPr>
        <w:t>INFORMATION REQUIRED IN PROXY STATEMENT</w:t>
      </w:r>
    </w:p>
    <w:p>
      <w:pPr>
        <w:ind w:left="2605"/>
        <w:spacing w:after="0" w:line="237" w:lineRule="auto"/>
        <w:rPr>
          <w:sz w:val="20"/>
          <w:szCs w:val="20"/>
          <w:color w:val="auto"/>
        </w:rPr>
      </w:pPr>
      <w:r>
        <w:rPr>
          <w:rFonts w:ascii="Courier New" w:cs="Courier New" w:eastAsia="Courier New" w:hAnsi="Courier New"/>
          <w:sz w:val="16"/>
          <w:szCs w:val="16"/>
          <w:color w:val="auto"/>
        </w:rPr>
        <w:t>SCHEDULE 14A INFORMATION</w:t>
      </w:r>
    </w:p>
    <w:p>
      <w:pPr>
        <w:ind w:left="925"/>
        <w:spacing w:after="0" w:line="237" w:lineRule="auto"/>
        <w:rPr>
          <w:sz w:val="20"/>
          <w:szCs w:val="20"/>
          <w:color w:val="auto"/>
        </w:rPr>
      </w:pPr>
      <w:r>
        <w:rPr>
          <w:rFonts w:ascii="Courier New" w:cs="Courier New" w:eastAsia="Courier New" w:hAnsi="Courier New"/>
          <w:sz w:val="16"/>
          <w:szCs w:val="16"/>
          <w:color w:val="auto"/>
        </w:rPr>
        <w:t>PROXY STATEMENT PURSUANT TO SECTION 14(a) OF THE SECURITIES</w:t>
      </w:r>
    </w:p>
    <w:p>
      <w:pPr>
        <w:ind w:left="2785"/>
        <w:spacing w:after="0" w:line="237" w:lineRule="auto"/>
        <w:rPr>
          <w:sz w:val="20"/>
          <w:szCs w:val="20"/>
          <w:color w:val="auto"/>
        </w:rPr>
      </w:pPr>
      <w:r>
        <w:rPr>
          <w:rFonts w:ascii="Courier New" w:cs="Courier New" w:eastAsia="Courier New" w:hAnsi="Courier New"/>
          <w:sz w:val="16"/>
          <w:szCs w:val="16"/>
          <w:color w:val="auto"/>
        </w:rPr>
        <w:t>EXCHANGE ACT OF 1934</w:t>
      </w:r>
    </w:p>
    <w:p>
      <w:pPr>
        <w:ind w:left="2705"/>
        <w:spacing w:after="0" w:line="237" w:lineRule="auto"/>
        <w:tabs>
          <w:tab w:leader="none" w:pos="4544" w:val="left"/>
        </w:tabs>
        <w:rPr>
          <w:sz w:val="20"/>
          <w:szCs w:val="20"/>
          <w:color w:val="auto"/>
        </w:rPr>
      </w:pPr>
      <w:r>
        <w:rPr>
          <w:rFonts w:ascii="Courier New" w:cs="Courier New" w:eastAsia="Courier New" w:hAnsi="Courier New"/>
          <w:sz w:val="16"/>
          <w:szCs w:val="16"/>
          <w:color w:val="auto"/>
        </w:rPr>
        <w:t>(AMENDMENT NO.</w:t>
      </w:r>
      <w:r>
        <w:rPr>
          <w:sz w:val="20"/>
          <w:szCs w:val="20"/>
          <w:color w:val="auto"/>
        </w:rPr>
        <w:tab/>
      </w:r>
      <w:r>
        <w:rPr>
          <w:rFonts w:ascii="Courier New" w:cs="Courier New" w:eastAsia="Courier New" w:hAnsi="Courier New"/>
          <w:sz w:val="16"/>
          <w:szCs w:val="16"/>
          <w:color w:val="auto"/>
        </w:rPr>
        <w:t>)</w:t>
      </w:r>
    </w:p>
    <w:p>
      <w:pPr>
        <w:spacing w:after="0" w:line="177" w:lineRule="exact"/>
        <w:rPr>
          <w:sz w:val="24"/>
          <w:szCs w:val="24"/>
          <w:color w:val="auto"/>
        </w:rPr>
      </w:pPr>
    </w:p>
    <w:tbl>
      <w:tblPr>
        <w:tblLayout w:type="fixed"/>
        <w:tblInd w:w="5" w:type="dxa"/>
        <w:tblCellMar>
          <w:top w:w="0" w:type="dxa"/>
          <w:left w:w="0" w:type="dxa"/>
          <w:bottom w:w="0" w:type="dxa"/>
          <w:right w:w="0" w:type="dxa"/>
        </w:tblCellMar>
      </w:tblPr>
      <w:tr>
        <w:trPr>
          <w:trHeight w:val="181"/>
        </w:trPr>
        <w:tc>
          <w:tcPr>
            <w:tcW w:w="4000" w:type="dxa"/>
            <w:vAlign w:val="bottom"/>
            <w:gridSpan w:val="2"/>
          </w:tcPr>
          <w:p>
            <w:pPr>
              <w:spacing w:after="0"/>
              <w:rPr>
                <w:sz w:val="20"/>
                <w:szCs w:val="20"/>
                <w:color w:val="auto"/>
              </w:rPr>
            </w:pPr>
            <w:r>
              <w:rPr>
                <w:rFonts w:ascii="Courier New" w:cs="Courier New" w:eastAsia="Courier New" w:hAnsi="Courier New"/>
                <w:sz w:val="16"/>
                <w:szCs w:val="16"/>
                <w:color w:val="auto"/>
              </w:rPr>
              <w:t>Filed by the Registrant  [X]</w:t>
            </w:r>
          </w:p>
        </w:tc>
        <w:tc>
          <w:tcPr>
            <w:tcW w:w="80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358"/>
        </w:trPr>
        <w:tc>
          <w:tcPr>
            <w:tcW w:w="4000" w:type="dxa"/>
            <w:vAlign w:val="bottom"/>
            <w:gridSpan w:val="2"/>
          </w:tcPr>
          <w:p>
            <w:pPr>
              <w:spacing w:after="0"/>
              <w:rPr>
                <w:sz w:val="20"/>
                <w:szCs w:val="20"/>
                <w:color w:val="auto"/>
              </w:rPr>
            </w:pPr>
            <w:r>
              <w:rPr>
                <w:rFonts w:ascii="Courier New" w:cs="Courier New" w:eastAsia="Courier New" w:hAnsi="Courier New"/>
                <w:sz w:val="16"/>
                <w:szCs w:val="16"/>
                <w:color w:val="auto"/>
                <w:w w:val="98"/>
              </w:rPr>
              <w:t>Filed by a Party other than the Registrant</w:t>
            </w:r>
          </w:p>
        </w:tc>
        <w:tc>
          <w:tcPr>
            <w:tcW w:w="8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w:t>
            </w:r>
          </w:p>
        </w:tc>
        <w:tc>
          <w:tcPr>
            <w:tcW w:w="3660" w:type="dxa"/>
            <w:vAlign w:val="bottom"/>
          </w:tcPr>
          <w:p>
            <w:pPr>
              <w:spacing w:after="0"/>
              <w:rPr>
                <w:sz w:val="24"/>
                <w:szCs w:val="24"/>
                <w:color w:val="auto"/>
              </w:rPr>
            </w:pPr>
          </w:p>
        </w:tc>
      </w:tr>
      <w:tr>
        <w:trPr>
          <w:trHeight w:val="358"/>
        </w:trPr>
        <w:tc>
          <w:tcPr>
            <w:tcW w:w="4000" w:type="dxa"/>
            <w:vAlign w:val="bottom"/>
            <w:gridSpan w:val="2"/>
          </w:tcPr>
          <w:p>
            <w:pPr>
              <w:spacing w:after="0"/>
              <w:rPr>
                <w:sz w:val="20"/>
                <w:szCs w:val="20"/>
                <w:color w:val="auto"/>
              </w:rPr>
            </w:pPr>
            <w:r>
              <w:rPr>
                <w:rFonts w:ascii="Courier New" w:cs="Courier New" w:eastAsia="Courier New" w:hAnsi="Courier New"/>
                <w:sz w:val="16"/>
                <w:szCs w:val="16"/>
                <w:color w:val="auto"/>
              </w:rPr>
              <w:t>Check the appropriate box:</w:t>
            </w:r>
          </w:p>
        </w:tc>
        <w:tc>
          <w:tcPr>
            <w:tcW w:w="8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716"/>
        </w:trPr>
        <w:tc>
          <w:tcPr>
            <w:tcW w:w="3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640" w:type="dxa"/>
            <w:vAlign w:val="bottom"/>
          </w:tcPr>
          <w:p>
            <w:pPr>
              <w:ind w:left="100"/>
              <w:spacing w:after="0"/>
              <w:rPr>
                <w:sz w:val="20"/>
                <w:szCs w:val="20"/>
                <w:color w:val="auto"/>
              </w:rPr>
            </w:pPr>
            <w:r>
              <w:rPr>
                <w:rFonts w:ascii="Courier New" w:cs="Courier New" w:eastAsia="Courier New" w:hAnsi="Courier New"/>
                <w:sz w:val="16"/>
                <w:szCs w:val="16"/>
                <w:color w:val="auto"/>
              </w:rPr>
              <w:t>Preliminary Proxy Statement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w:t>
            </w:r>
          </w:p>
        </w:tc>
        <w:tc>
          <w:tcPr>
            <w:tcW w:w="3660" w:type="dxa"/>
            <w:vAlign w:val="bottom"/>
          </w:tcPr>
          <w:p>
            <w:pPr>
              <w:ind w:left="40"/>
              <w:spacing w:after="0"/>
              <w:rPr>
                <w:sz w:val="20"/>
                <w:szCs w:val="20"/>
                <w:color w:val="auto"/>
              </w:rPr>
            </w:pPr>
            <w:r>
              <w:rPr>
                <w:rFonts w:ascii="Courier New" w:cs="Courier New" w:eastAsia="Courier New" w:hAnsi="Courier New"/>
                <w:sz w:val="16"/>
                <w:szCs w:val="16"/>
                <w:color w:val="auto"/>
                <w:w w:val="96"/>
              </w:rPr>
              <w:t>CONFIDENTIAL, FOR USE OF THE COMMISSION</w:t>
            </w:r>
          </w:p>
        </w:tc>
      </w:tr>
      <w:tr>
        <w:trPr>
          <w:trHeight w:val="179"/>
        </w:trPr>
        <w:tc>
          <w:tcPr>
            <w:tcW w:w="3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ONLY</w:t>
            </w:r>
          </w:p>
        </w:tc>
        <w:tc>
          <w:tcPr>
            <w:tcW w:w="36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(AS PERMITTED BY RULE 14a-6(e)(2))</w:t>
            </w:r>
          </w:p>
        </w:tc>
      </w:tr>
      <w:tr>
        <w:trPr>
          <w:trHeight w:val="179"/>
        </w:trPr>
        <w:tc>
          <w:tcPr>
            <w:tcW w:w="360" w:type="dxa"/>
            <w:vAlign w:val="bottom"/>
          </w:tcPr>
          <w:p>
            <w:pPr>
              <w:spacing w:after="0" w:line="179" w:lineRule="exact"/>
              <w:rPr>
                <w:sz w:val="20"/>
                <w:szCs w:val="20"/>
                <w:color w:val="auto"/>
              </w:rPr>
            </w:pPr>
            <w:r>
              <w:rPr>
                <w:rFonts w:ascii="Courier New" w:cs="Courier New" w:eastAsia="Courier New" w:hAnsi="Courier New"/>
                <w:sz w:val="16"/>
                <w:szCs w:val="16"/>
                <w:color w:val="auto"/>
              </w:rPr>
              <w:t>[X]</w:t>
            </w:r>
          </w:p>
        </w:tc>
        <w:tc>
          <w:tcPr>
            <w:tcW w:w="3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Definitive Proxy Statement</w:t>
            </w:r>
          </w:p>
        </w:tc>
        <w:tc>
          <w:tcPr>
            <w:tcW w:w="80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79"/>
        </w:trPr>
        <w:tc>
          <w:tcPr>
            <w:tcW w:w="36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36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Definitive Additional Materials</w:t>
            </w:r>
          </w:p>
        </w:tc>
        <w:tc>
          <w:tcPr>
            <w:tcW w:w="80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79"/>
        </w:trPr>
        <w:tc>
          <w:tcPr>
            <w:tcW w:w="36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444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w w:val="97"/>
              </w:rPr>
              <w:t>Soliciting Material Pursuant to Rule 14a-11(c)</w:t>
            </w:r>
          </w:p>
        </w:tc>
        <w:tc>
          <w:tcPr>
            <w:tcW w:w="36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or Rule 14a-12.</w:t>
            </w:r>
          </w:p>
        </w:tc>
      </w:tr>
      <w:tr>
        <w:trPr>
          <w:trHeight w:val="537"/>
        </w:trPr>
        <w:tc>
          <w:tcPr>
            <w:tcW w:w="360" w:type="dxa"/>
            <w:vAlign w:val="bottom"/>
          </w:tcPr>
          <w:p>
            <w:pPr>
              <w:spacing w:after="0"/>
              <w:rPr>
                <w:sz w:val="24"/>
                <w:szCs w:val="24"/>
                <w:color w:val="auto"/>
              </w:rPr>
            </w:pPr>
          </w:p>
        </w:tc>
        <w:tc>
          <w:tcPr>
            <w:tcW w:w="4440" w:type="dxa"/>
            <w:vAlign w:val="bottom"/>
            <w:gridSpan w:val="2"/>
          </w:tcPr>
          <w:p>
            <w:pPr>
              <w:ind w:left="2520"/>
              <w:spacing w:after="0"/>
              <w:rPr>
                <w:sz w:val="20"/>
                <w:szCs w:val="20"/>
                <w:color w:val="auto"/>
              </w:rPr>
            </w:pPr>
            <w:r>
              <w:rPr>
                <w:rFonts w:ascii="Courier New" w:cs="Courier New" w:eastAsia="Courier New" w:hAnsi="Courier New"/>
                <w:sz w:val="16"/>
                <w:szCs w:val="16"/>
                <w:color w:val="auto"/>
              </w:rPr>
              <w:t>THE SCOTTS COMPANY</w:t>
            </w:r>
          </w:p>
        </w:tc>
        <w:tc>
          <w:tcPr>
            <w:tcW w:w="3660" w:type="dxa"/>
            <w:vAlign w:val="bottom"/>
          </w:tcPr>
          <w:p>
            <w:pPr>
              <w:spacing w:after="0"/>
              <w:rPr>
                <w:sz w:val="24"/>
                <w:szCs w:val="24"/>
                <w:color w:val="auto"/>
              </w:rPr>
            </w:pPr>
          </w:p>
        </w:tc>
      </w:tr>
      <w:tr>
        <w:trPr>
          <w:trHeight w:val="179"/>
        </w:trPr>
        <w:tc>
          <w:tcPr>
            <w:tcW w:w="360" w:type="dxa"/>
            <w:vAlign w:val="bottom"/>
          </w:tcPr>
          <w:p>
            <w:pPr>
              <w:spacing w:after="0"/>
              <w:rPr>
                <w:sz w:val="15"/>
                <w:szCs w:val="15"/>
                <w:color w:val="auto"/>
              </w:rPr>
            </w:pPr>
          </w:p>
        </w:tc>
        <w:tc>
          <w:tcPr>
            <w:tcW w:w="44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(NAME OF REGISTRANT AS SPECIFIED IN</w:t>
            </w:r>
          </w:p>
        </w:tc>
        <w:tc>
          <w:tcPr>
            <w:tcW w:w="36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ITS CHARTER)</w:t>
            </w:r>
          </w:p>
        </w:tc>
      </w:tr>
    </w:tbl>
    <w:p>
      <w:pPr>
        <w:spacing w:after="0" w:line="177" w:lineRule="exact"/>
        <w:rPr>
          <w:sz w:val="24"/>
          <w:szCs w:val="24"/>
          <w:color w:val="auto"/>
        </w:rPr>
      </w:pPr>
    </w:p>
    <w:p>
      <w:pPr>
        <w:jc w:val="center"/>
        <w:ind w:right="2695"/>
        <w:spacing w:after="0"/>
        <w:rPr>
          <w:sz w:val="20"/>
          <w:szCs w:val="20"/>
          <w:color w:val="auto"/>
        </w:rPr>
      </w:pPr>
      <w:r>
        <w:rPr>
          <w:rFonts w:ascii="Courier New" w:cs="Courier New" w:eastAsia="Courier New" w:hAnsi="Courier New"/>
          <w:sz w:val="16"/>
          <w:szCs w:val="16"/>
          <w:color w:val="auto"/>
        </w:rPr>
        <w:t>XXXXXXXXXXXXXXXX</w:t>
      </w:r>
    </w:p>
    <w:p>
      <w:pPr>
        <w:jc w:val="center"/>
        <w:ind w:right="2695"/>
        <w:spacing w:after="0" w:line="237" w:lineRule="auto"/>
        <w:rPr>
          <w:sz w:val="20"/>
          <w:szCs w:val="20"/>
          <w:color w:val="auto"/>
        </w:rPr>
      </w:pPr>
      <w:r>
        <w:rPr>
          <w:rFonts w:ascii="Courier New" w:cs="Courier New" w:eastAsia="Courier New" w:hAnsi="Courier New"/>
          <w:sz w:val="16"/>
          <w:szCs w:val="16"/>
          <w:color w:val="auto"/>
        </w:rPr>
        <w:t>(NAME OF PERSON(S) FILING PROXY STATEMENT, IF OTHER THAN THE REGISTRANT)</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Payment of Filing Fee (Check the appropriate box):</w:t>
      </w:r>
    </w:p>
    <w:p>
      <w:pPr>
        <w:ind w:left="465" w:hanging="465"/>
        <w:spacing w:after="0" w:line="237" w:lineRule="auto"/>
        <w:tabs>
          <w:tab w:leader="none" w:pos="46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ind w:left="185" w:hanging="185"/>
        <w:spacing w:after="0" w:line="237" w:lineRule="auto"/>
        <w:tabs>
          <w:tab w:leader="none" w:pos="18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14a-6(i)(1) and 0-11.</w:t>
      </w:r>
    </w:p>
    <w:p>
      <w:pPr>
        <w:spacing w:after="0" w:line="177" w:lineRule="exact"/>
        <w:rPr>
          <w:rFonts w:ascii="Courier New" w:cs="Courier New" w:eastAsia="Courier New" w:hAnsi="Courier New"/>
          <w:sz w:val="16"/>
          <w:szCs w:val="16"/>
          <w:color w:val="auto"/>
        </w:rPr>
      </w:pPr>
    </w:p>
    <w:p>
      <w:pPr>
        <w:ind w:left="845" w:hanging="379"/>
        <w:spacing w:after="0"/>
        <w:tabs>
          <w:tab w:leader="none" w:pos="845"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 .......</w:t>
      </w:r>
    </w:p>
    <w:p>
      <w:pPr>
        <w:spacing w:after="0" w:line="176" w:lineRule="exact"/>
        <w:rPr>
          <w:rFonts w:ascii="Courier New" w:cs="Courier New" w:eastAsia="Courier New" w:hAnsi="Courier New"/>
          <w:sz w:val="16"/>
          <w:szCs w:val="16"/>
          <w:color w:val="auto"/>
        </w:rPr>
      </w:pPr>
    </w:p>
    <w:p>
      <w:pPr>
        <w:ind w:left="845" w:hanging="379"/>
        <w:spacing w:after="0"/>
        <w:tabs>
          <w:tab w:leader="none" w:pos="845"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 ..........</w:t>
      </w:r>
    </w:p>
    <w:p>
      <w:pPr>
        <w:spacing w:after="0" w:line="182" w:lineRule="exact"/>
        <w:rPr>
          <w:rFonts w:ascii="Courier New" w:cs="Courier New" w:eastAsia="Courier New" w:hAnsi="Courier New"/>
          <w:sz w:val="16"/>
          <w:szCs w:val="16"/>
          <w:color w:val="auto"/>
        </w:rPr>
      </w:pPr>
    </w:p>
    <w:p>
      <w:pPr>
        <w:ind w:left="845" w:right="2699" w:hanging="379"/>
        <w:spacing w:after="0" w:line="283" w:lineRule="auto"/>
        <w:tabs>
          <w:tab w:leader="none" w:pos="845"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 ............</w:t>
      </w:r>
    </w:p>
    <w:p>
      <w:pPr>
        <w:spacing w:after="0" w:line="149" w:lineRule="exact"/>
        <w:rPr>
          <w:rFonts w:ascii="Courier New" w:cs="Courier New" w:eastAsia="Courier New" w:hAnsi="Courier New"/>
          <w:sz w:val="14"/>
          <w:szCs w:val="14"/>
          <w:color w:val="auto"/>
        </w:rPr>
      </w:pPr>
    </w:p>
    <w:p>
      <w:pPr>
        <w:ind w:left="845" w:hanging="379"/>
        <w:spacing w:after="0"/>
        <w:tabs>
          <w:tab w:leader="none" w:pos="845"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 ......................</w:t>
      </w:r>
    </w:p>
    <w:p>
      <w:pPr>
        <w:spacing w:after="0" w:line="176" w:lineRule="exact"/>
        <w:rPr>
          <w:rFonts w:ascii="Courier New" w:cs="Courier New" w:eastAsia="Courier New" w:hAnsi="Courier New"/>
          <w:sz w:val="16"/>
          <w:szCs w:val="16"/>
          <w:color w:val="auto"/>
        </w:rPr>
      </w:pPr>
    </w:p>
    <w:p>
      <w:pPr>
        <w:ind w:left="845" w:hanging="379"/>
        <w:spacing w:after="0"/>
        <w:tabs>
          <w:tab w:leader="none" w:pos="845"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 .......................................................</w:t>
      </w:r>
    </w:p>
    <w:p>
      <w:pPr>
        <w:spacing w:after="0" w:line="177" w:lineRule="exact"/>
        <w:rPr>
          <w:sz w:val="24"/>
          <w:szCs w:val="24"/>
          <w:color w:val="auto"/>
        </w:rPr>
      </w:pPr>
    </w:p>
    <w:p>
      <w:pPr>
        <w:ind w:left="5"/>
        <w:spacing w:after="0"/>
        <w:tabs>
          <w:tab w:leader="none" w:pos="444"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177" w:lineRule="exact"/>
        <w:rPr>
          <w:sz w:val="24"/>
          <w:szCs w:val="24"/>
          <w:color w:val="auto"/>
        </w:rPr>
      </w:pPr>
    </w:p>
    <w:p>
      <w:pPr>
        <w:ind w:left="185" w:hanging="185"/>
        <w:spacing w:after="0"/>
        <w:tabs>
          <w:tab w:leader="none" w:pos="18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w:t>
      </w:r>
    </w:p>
    <w:p>
      <w:pPr>
        <w:spacing w:after="0" w:line="3" w:lineRule="exact"/>
        <w:rPr>
          <w:rFonts w:ascii="Courier New" w:cs="Courier New" w:eastAsia="Courier New" w:hAnsi="Courier New"/>
          <w:sz w:val="16"/>
          <w:szCs w:val="16"/>
          <w:color w:val="auto"/>
        </w:rPr>
      </w:pPr>
    </w:p>
    <w:p>
      <w:pPr>
        <w:ind w:left="465"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0-11(a)(2) and identify the filing for which the offsetting fee was paid previously. Identify the previous filing by registration statement number, or the Form or Schedule and the date of its filing.</w:t>
      </w:r>
    </w:p>
    <w:p>
      <w:pPr>
        <w:spacing w:after="0" w:line="177" w:lineRule="exact"/>
        <w:rPr>
          <w:rFonts w:ascii="Courier New" w:cs="Courier New" w:eastAsia="Courier New" w:hAnsi="Courier New"/>
          <w:sz w:val="16"/>
          <w:szCs w:val="16"/>
          <w:color w:val="auto"/>
        </w:rPr>
      </w:pPr>
    </w:p>
    <w:p>
      <w:pPr>
        <w:ind w:left="845" w:hanging="379"/>
        <w:spacing w:after="0"/>
        <w:tabs>
          <w:tab w:leader="none" w:pos="845"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 ...............................................</w:t>
      </w:r>
    </w:p>
    <w:p>
      <w:pPr>
        <w:spacing w:after="0" w:line="176" w:lineRule="exact"/>
        <w:rPr>
          <w:rFonts w:ascii="Courier New" w:cs="Courier New" w:eastAsia="Courier New" w:hAnsi="Courier New"/>
          <w:sz w:val="16"/>
          <w:szCs w:val="16"/>
          <w:color w:val="auto"/>
        </w:rPr>
      </w:pPr>
    </w:p>
    <w:p>
      <w:pPr>
        <w:ind w:left="845" w:hanging="379"/>
        <w:spacing w:after="0"/>
        <w:tabs>
          <w:tab w:leader="none" w:pos="845"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 .........................</w:t>
      </w:r>
    </w:p>
    <w:p>
      <w:pPr>
        <w:spacing w:after="0" w:line="176" w:lineRule="exact"/>
        <w:rPr>
          <w:rFonts w:ascii="Courier New" w:cs="Courier New" w:eastAsia="Courier New" w:hAnsi="Courier New"/>
          <w:sz w:val="16"/>
          <w:szCs w:val="16"/>
          <w:color w:val="auto"/>
        </w:rPr>
      </w:pPr>
    </w:p>
    <w:p>
      <w:pPr>
        <w:ind w:left="845" w:hanging="379"/>
        <w:spacing w:after="0"/>
        <w:tabs>
          <w:tab w:leader="none" w:pos="845"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 .........................................................</w:t>
      </w:r>
    </w:p>
    <w:p>
      <w:pPr>
        <w:spacing w:after="0" w:line="176" w:lineRule="exact"/>
        <w:rPr>
          <w:rFonts w:ascii="Courier New" w:cs="Courier New" w:eastAsia="Courier New" w:hAnsi="Courier New"/>
          <w:sz w:val="16"/>
          <w:szCs w:val="16"/>
          <w:color w:val="auto"/>
        </w:rPr>
      </w:pPr>
    </w:p>
    <w:p>
      <w:pPr>
        <w:ind w:left="845" w:hanging="379"/>
        <w:spacing w:after="0"/>
        <w:tabs>
          <w:tab w:leader="none" w:pos="845"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 ...........................................................</w:t>
      </w:r>
    </w:p>
    <w:p>
      <w:pPr>
        <w:spacing w:after="0" w:line="177" w:lineRule="exact"/>
        <w:rPr>
          <w:sz w:val="24"/>
          <w:szCs w:val="24"/>
          <w:color w:val="auto"/>
        </w:rPr>
      </w:pPr>
    </w:p>
    <w:p>
      <w:pPr>
        <w:ind w:left="185" w:hanging="185"/>
        <w:spacing w:after="0"/>
        <w:tabs>
          <w:tab w:leader="none" w:pos="18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185" w:hanging="185"/>
        <w:spacing w:after="0" w:line="237" w:lineRule="auto"/>
        <w:tabs>
          <w:tab w:leader="none" w:pos="18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ectPr>
          <w:pgSz w:w="11900" w:h="16838" w:orient="portrait"/>
          <w:cols w:equalWidth="0" w:num="1">
            <w:col w:w="10144"/>
          </w:cols>
          <w:pgMar w:left="315" w:top="231" w:right="1440" w:bottom="1440" w:gutter="0" w:footer="0" w:header="0"/>
        </w:sectPr>
      </w:pPr>
    </w:p>
    <w:bookmarkStart w:id="1" w:name="page2"/>
    <w:bookmarkEnd w:id="1"/>
    <w:p>
      <w:pPr>
        <w:ind w:left="285"/>
        <w:spacing w:after="0"/>
        <w:rPr>
          <w:sz w:val="20"/>
          <w:szCs w:val="20"/>
          <w:color w:val="auto"/>
        </w:rPr>
      </w:pPr>
      <w:r>
        <w:rPr>
          <w:rFonts w:ascii="Courier New" w:cs="Courier New" w:eastAsia="Courier New" w:hAnsi="Courier New"/>
          <w:sz w:val="16"/>
          <w:szCs w:val="16"/>
          <w:color w:val="auto"/>
        </w:rPr>
        <w:t>2</w:t>
      </w:r>
    </w:p>
    <w:p>
      <w:pPr>
        <w:spacing w:after="0" w:line="183" w:lineRule="exact"/>
        <w:rPr>
          <w:sz w:val="20"/>
          <w:szCs w:val="20"/>
          <w:color w:val="auto"/>
        </w:rPr>
      </w:pPr>
    </w:p>
    <w:p>
      <w:pPr>
        <w:ind w:left="185" w:hanging="185"/>
        <w:spacing w:after="0"/>
        <w:tabs>
          <w:tab w:leader="none" w:pos="185"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9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[THE SCOTTS COMPANY LOGO]</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THE SCOTTS COMPANY</w:t>
      </w:r>
    </w:p>
    <w:p>
      <w:pPr>
        <w:ind w:left="5"/>
        <w:spacing w:after="0" w:line="237" w:lineRule="auto"/>
        <w:rPr>
          <w:sz w:val="20"/>
          <w:szCs w:val="20"/>
          <w:color w:val="auto"/>
        </w:rPr>
      </w:pPr>
      <w:r>
        <w:rPr>
          <w:rFonts w:ascii="Courier New" w:cs="Courier New" w:eastAsia="Courier New" w:hAnsi="Courier New"/>
          <w:sz w:val="16"/>
          <w:szCs w:val="16"/>
          <w:color w:val="auto"/>
        </w:rPr>
        <w:t>PROXY STATEMENT FOR 2000 ANNUAL MEETING</w:t>
      </w:r>
    </w:p>
    <w:p>
      <w:pPr>
        <w:spacing w:after="0" w:line="183" w:lineRule="exact"/>
        <w:rPr>
          <w:sz w:val="20"/>
          <w:szCs w:val="20"/>
          <w:color w:val="auto"/>
        </w:rPr>
      </w:pPr>
    </w:p>
    <w:p>
      <w:pPr>
        <w:ind w:left="185" w:hanging="185"/>
        <w:spacing w:after="0"/>
        <w:tabs>
          <w:tab w:leader="none" w:pos="185"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ectPr>
          <w:pgSz w:w="11900" w:h="16838" w:orient="portrait"/>
          <w:cols w:equalWidth="0" w:num="1">
            <w:col w:w="10144"/>
          </w:cols>
          <w:pgMar w:left="315" w:top="29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[THE SCOTTS COMPANY LOGO]</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THE SCOTTS COMPANY</w:t>
      </w:r>
    </w:p>
    <w:p>
      <w:pPr>
        <w:jc w:val="center"/>
        <w:ind w:right="2699"/>
        <w:spacing w:after="0" w:line="237" w:lineRule="auto"/>
        <w:rPr>
          <w:sz w:val="20"/>
          <w:szCs w:val="20"/>
          <w:color w:val="auto"/>
        </w:rPr>
      </w:pPr>
      <w:r>
        <w:rPr>
          <w:rFonts w:ascii="Courier New" w:cs="Courier New" w:eastAsia="Courier New" w:hAnsi="Courier New"/>
          <w:sz w:val="16"/>
          <w:szCs w:val="16"/>
          <w:color w:val="auto"/>
        </w:rPr>
        <w:t>41 SOUTH HIGH STREET</w:t>
      </w:r>
    </w:p>
    <w:p>
      <w:pPr>
        <w:jc w:val="center"/>
        <w:ind w:right="2699"/>
        <w:spacing w:after="0" w:line="237" w:lineRule="auto"/>
        <w:rPr>
          <w:sz w:val="20"/>
          <w:szCs w:val="20"/>
          <w:color w:val="auto"/>
        </w:rPr>
      </w:pPr>
      <w:r>
        <w:rPr>
          <w:rFonts w:ascii="Courier New" w:cs="Courier New" w:eastAsia="Courier New" w:hAnsi="Courier New"/>
          <w:sz w:val="16"/>
          <w:szCs w:val="16"/>
          <w:color w:val="auto"/>
        </w:rPr>
        <w:t>SUITE 3500</w:t>
      </w:r>
    </w:p>
    <w:p>
      <w:pPr>
        <w:jc w:val="center"/>
        <w:ind w:right="2699"/>
        <w:spacing w:after="0" w:line="237" w:lineRule="auto"/>
        <w:rPr>
          <w:sz w:val="20"/>
          <w:szCs w:val="20"/>
          <w:color w:val="auto"/>
        </w:rPr>
      </w:pPr>
      <w:r>
        <w:rPr>
          <w:rFonts w:ascii="Courier New" w:cs="Courier New" w:eastAsia="Courier New" w:hAnsi="Courier New"/>
          <w:sz w:val="16"/>
          <w:szCs w:val="16"/>
          <w:color w:val="auto"/>
        </w:rPr>
        <w:t>COLUMBUS, OHIO 43215</w:t>
      </w:r>
    </w:p>
    <w:p>
      <w:pPr>
        <w:spacing w:after="0" w:line="177" w:lineRule="exact"/>
        <w:rPr>
          <w:sz w:val="20"/>
          <w:szCs w:val="20"/>
          <w:color w:val="auto"/>
        </w:rPr>
      </w:pPr>
    </w:p>
    <w:p>
      <w:pPr>
        <w:jc w:val="right"/>
        <w:ind w:right="2699"/>
        <w:spacing w:after="0"/>
        <w:rPr>
          <w:sz w:val="20"/>
          <w:szCs w:val="20"/>
          <w:color w:val="auto"/>
        </w:rPr>
      </w:pPr>
      <w:r>
        <w:rPr>
          <w:rFonts w:ascii="Courier New" w:cs="Courier New" w:eastAsia="Courier New" w:hAnsi="Courier New"/>
          <w:sz w:val="16"/>
          <w:szCs w:val="16"/>
          <w:color w:val="auto"/>
        </w:rPr>
        <w:t>January 14, 2000</w:t>
      </w:r>
    </w:p>
    <w:p>
      <w:pPr>
        <w:spacing w:after="0" w:line="237" w:lineRule="auto"/>
        <w:rPr>
          <w:sz w:val="20"/>
          <w:szCs w:val="20"/>
          <w:color w:val="auto"/>
        </w:rPr>
      </w:pPr>
      <w:r>
        <w:rPr>
          <w:rFonts w:ascii="Courier New" w:cs="Courier New" w:eastAsia="Courier New" w:hAnsi="Courier New"/>
          <w:sz w:val="16"/>
          <w:szCs w:val="16"/>
          <w:color w:val="auto"/>
        </w:rPr>
        <w:t>Dear Fellow Shareholders:</w:t>
      </w:r>
    </w:p>
    <w:p>
      <w:pPr>
        <w:spacing w:after="0" w:line="183" w:lineRule="exact"/>
        <w:rPr>
          <w:sz w:val="20"/>
          <w:szCs w:val="20"/>
          <w:color w:val="auto"/>
        </w:rPr>
      </w:pPr>
    </w:p>
    <w:p>
      <w:pPr>
        <w:ind w:right="2699" w:firstLine="466"/>
        <w:spacing w:after="0" w:line="236" w:lineRule="auto"/>
        <w:rPr>
          <w:sz w:val="20"/>
          <w:szCs w:val="20"/>
          <w:color w:val="auto"/>
        </w:rPr>
      </w:pPr>
      <w:r>
        <w:rPr>
          <w:rFonts w:ascii="Courier New" w:cs="Courier New" w:eastAsia="Courier New" w:hAnsi="Courier New"/>
          <w:sz w:val="16"/>
          <w:szCs w:val="16"/>
          <w:color w:val="auto"/>
        </w:rPr>
        <w:t>The Annual Meeting of the Shareholders (the "Annual Meeting") of The Scotts Company, an Ohio corporation (the "Company"), will be held at 10:00 a.m., local time, on Tuesday, February 15, 2000, at The Westin Great Southern Hotel, 310 South High Street, Columbus, Ohio. The enclosed Notice of Annual Meeting of Shareholders and Proxy Statement contain detailed information about the business to be transacted at the Annual Meeting.</w:t>
      </w:r>
    </w:p>
    <w:p>
      <w:pPr>
        <w:spacing w:after="0" w:line="184" w:lineRule="exact"/>
        <w:rPr>
          <w:sz w:val="20"/>
          <w:szCs w:val="20"/>
          <w:color w:val="auto"/>
        </w:rPr>
      </w:pPr>
    </w:p>
    <w:p>
      <w:pPr>
        <w:jc w:val="both"/>
        <w:ind w:right="2979" w:firstLine="466"/>
        <w:spacing w:after="0" w:line="235" w:lineRule="auto"/>
        <w:rPr>
          <w:sz w:val="20"/>
          <w:szCs w:val="20"/>
          <w:color w:val="auto"/>
        </w:rPr>
      </w:pPr>
      <w:r>
        <w:rPr>
          <w:rFonts w:ascii="Courier New" w:cs="Courier New" w:eastAsia="Courier New" w:hAnsi="Courier New"/>
          <w:sz w:val="16"/>
          <w:szCs w:val="16"/>
          <w:color w:val="auto"/>
        </w:rPr>
        <w:t>The Board of Directors has nominated three directors, each for a term to expire at the 2003 Annual Meeting. The Board of Directors recommends that you vote FOR each of the nominees.</w:t>
      </w:r>
    </w:p>
    <w:p>
      <w:pPr>
        <w:spacing w:after="0" w:line="184" w:lineRule="exact"/>
        <w:rPr>
          <w:sz w:val="20"/>
          <w:szCs w:val="20"/>
          <w:color w:val="auto"/>
        </w:rPr>
      </w:pPr>
    </w:p>
    <w:p>
      <w:pPr>
        <w:ind w:right="2699" w:firstLine="466"/>
        <w:spacing w:after="0" w:line="279" w:lineRule="auto"/>
        <w:rPr>
          <w:sz w:val="20"/>
          <w:szCs w:val="20"/>
          <w:color w:val="auto"/>
        </w:rPr>
      </w:pPr>
      <w:r>
        <w:rPr>
          <w:rFonts w:ascii="Courier New" w:cs="Courier New" w:eastAsia="Courier New" w:hAnsi="Courier New"/>
          <w:sz w:val="14"/>
          <w:szCs w:val="14"/>
          <w:color w:val="auto"/>
        </w:rPr>
        <w:t>In addition to the election of directors, you are being asked to approve an amendment to the Amended Articles of Incorporation of the Company to increase the authorized number of common shares from 50,000,000 to 100,000,000. The Board of Directors recommends that you vote FOR this proposal.</w:t>
      </w:r>
    </w:p>
    <w:p>
      <w:pPr>
        <w:spacing w:after="0" w:line="158" w:lineRule="exact"/>
        <w:rPr>
          <w:sz w:val="20"/>
          <w:szCs w:val="20"/>
          <w:color w:val="auto"/>
        </w:rPr>
      </w:pPr>
    </w:p>
    <w:p>
      <w:pPr>
        <w:ind w:right="2779" w:firstLine="466"/>
        <w:spacing w:after="0" w:line="236" w:lineRule="auto"/>
        <w:rPr>
          <w:sz w:val="20"/>
          <w:szCs w:val="20"/>
          <w:color w:val="auto"/>
        </w:rPr>
      </w:pPr>
      <w:r>
        <w:rPr>
          <w:rFonts w:ascii="Courier New" w:cs="Courier New" w:eastAsia="Courier New" w:hAnsi="Courier New"/>
          <w:sz w:val="16"/>
          <w:szCs w:val="16"/>
          <w:color w:val="auto"/>
        </w:rPr>
        <w:t>On behalf of the Board of Directors and management, I cordially invite you to attend the Annual Meeting. Whether or not you plan to attend the Annual Meeting, the prompt return of your proxy in the enclosed return envelope will save the Company additional expenses of solicitation and will help ensure that as many common shares as possible are represented.</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Sincerely,</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 Charles M. Berger</w:t>
      </w:r>
    </w:p>
    <w:p>
      <w:pPr>
        <w:ind w:left="3900"/>
        <w:spacing w:after="0" w:line="237" w:lineRule="auto"/>
        <w:rPr>
          <w:sz w:val="20"/>
          <w:szCs w:val="20"/>
          <w:color w:val="auto"/>
        </w:rPr>
      </w:pPr>
      <w:r>
        <w:rPr>
          <w:rFonts w:ascii="Courier New" w:cs="Courier New" w:eastAsia="Courier New" w:hAnsi="Courier New"/>
          <w:sz w:val="16"/>
          <w:szCs w:val="16"/>
          <w:color w:val="auto"/>
        </w:rPr>
        <w:t>CHARLES M. BERGER</w:t>
      </w:r>
    </w:p>
    <w:p>
      <w:pPr>
        <w:ind w:left="3900"/>
        <w:spacing w:after="0" w:line="237" w:lineRule="auto"/>
        <w:rPr>
          <w:sz w:val="20"/>
          <w:szCs w:val="20"/>
          <w:color w:val="auto"/>
        </w:rPr>
      </w:pPr>
      <w:r>
        <w:rPr>
          <w:rFonts w:ascii="Courier New" w:cs="Courier New" w:eastAsia="Courier New" w:hAnsi="Courier New"/>
          <w:sz w:val="16"/>
          <w:szCs w:val="16"/>
          <w:color w:val="auto"/>
        </w:rPr>
        <w:t>Chairman, President and Chief</w:t>
      </w:r>
    </w:p>
    <w:p>
      <w:pPr>
        <w:ind w:left="3900"/>
        <w:spacing w:after="0" w:line="237" w:lineRule="auto"/>
        <w:rPr>
          <w:sz w:val="20"/>
          <w:szCs w:val="20"/>
          <w:color w:val="auto"/>
        </w:rPr>
      </w:pPr>
      <w:r>
        <w:rPr>
          <w:rFonts w:ascii="Courier New" w:cs="Courier New" w:eastAsia="Courier New" w:hAnsi="Courier New"/>
          <w:sz w:val="16"/>
          <w:szCs w:val="16"/>
          <w:color w:val="auto"/>
        </w:rPr>
        <w:t>Executive Officer</w:t>
      </w:r>
    </w:p>
    <w:p>
      <w:pPr>
        <w:sectPr>
          <w:pgSz w:w="11900" w:h="16838" w:orient="portrait"/>
          <w:cols w:equalWidth="0" w:num="1">
            <w:col w:w="10139"/>
          </w:cols>
          <w:pgMar w:left="320" w:top="29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[THE SCOTTS COMPANY LOGO]</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THE SCOTTS COMPANY</w:t>
      </w:r>
    </w:p>
    <w:p>
      <w:pPr>
        <w:ind w:left="2600"/>
        <w:spacing w:after="0" w:line="237"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NOTICE OF ANNUAL MEETING OF SHAREHOLDERS</w:t>
      </w:r>
    </w:p>
    <w:p>
      <w:pPr>
        <w:ind w:left="1960"/>
        <w:spacing w:after="0" w:line="237" w:lineRule="auto"/>
        <w:rPr>
          <w:sz w:val="20"/>
          <w:szCs w:val="20"/>
          <w:color w:val="auto"/>
        </w:rPr>
      </w:pPr>
      <w:r>
        <w:rPr>
          <w:rFonts w:ascii="Courier New" w:cs="Courier New" w:eastAsia="Courier New" w:hAnsi="Courier New"/>
          <w:sz w:val="16"/>
          <w:szCs w:val="16"/>
          <w:color w:val="auto"/>
        </w:rPr>
        <w:t>TO BE HELD TUESDAY, FEBRUARY 15, 2000</w:t>
      </w:r>
    </w:p>
    <w:p>
      <w:pPr>
        <w:ind w:left="2600"/>
        <w:spacing w:after="0" w:line="237"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699" w:firstLine="466"/>
        <w:spacing w:after="0" w:line="236" w:lineRule="auto"/>
        <w:rPr>
          <w:sz w:val="20"/>
          <w:szCs w:val="20"/>
          <w:color w:val="auto"/>
        </w:rPr>
      </w:pPr>
      <w:r>
        <w:rPr>
          <w:rFonts w:ascii="Courier New" w:cs="Courier New" w:eastAsia="Courier New" w:hAnsi="Courier New"/>
          <w:sz w:val="16"/>
          <w:szCs w:val="16"/>
          <w:color w:val="auto"/>
        </w:rPr>
        <w:t>NOTICE IS HEREBY GIVEN that the Annual Meeting of Shareholders (the "Annual Meeting") of The Scotts Company, an Ohio corporation (the "Company"), will be held at The Westin Great Southern Hotel, 310 South High Street, Columbus, Ohio, on Tuesday, February 15, 2000, at 10:00 a.m., local time, for the following purposes:</w:t>
      </w:r>
    </w:p>
    <w:p>
      <w:pPr>
        <w:spacing w:after="0" w:line="183" w:lineRule="exact"/>
        <w:rPr>
          <w:sz w:val="20"/>
          <w:szCs w:val="20"/>
          <w:color w:val="auto"/>
        </w:rPr>
      </w:pPr>
    </w:p>
    <w:p>
      <w:pPr>
        <w:ind w:left="1020" w:right="2699" w:hanging="280"/>
        <w:spacing w:after="0" w:line="234" w:lineRule="auto"/>
        <w:tabs>
          <w:tab w:leader="none" w:pos="10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three directors, each for a term of three years to expire at the 2003 Annual Meeting;</w:t>
      </w:r>
    </w:p>
    <w:p>
      <w:pPr>
        <w:spacing w:after="0" w:line="183" w:lineRule="exact"/>
        <w:rPr>
          <w:rFonts w:ascii="Courier New" w:cs="Courier New" w:eastAsia="Courier New" w:hAnsi="Courier New"/>
          <w:sz w:val="16"/>
          <w:szCs w:val="16"/>
          <w:color w:val="auto"/>
        </w:rPr>
      </w:pPr>
    </w:p>
    <w:p>
      <w:pPr>
        <w:jc w:val="both"/>
        <w:ind w:left="1020" w:right="2879" w:hanging="280"/>
        <w:spacing w:after="0" w:line="235" w:lineRule="auto"/>
        <w:tabs>
          <w:tab w:leader="none" w:pos="10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the Amended Articles of Incorporation of the Company to increase the authorized number of common shares from 50,000,000 to 100,000,000; and</w:t>
      </w:r>
    </w:p>
    <w:p>
      <w:pPr>
        <w:spacing w:after="0" w:line="183" w:lineRule="exact"/>
        <w:rPr>
          <w:rFonts w:ascii="Courier New" w:cs="Courier New" w:eastAsia="Courier New" w:hAnsi="Courier New"/>
          <w:sz w:val="16"/>
          <w:szCs w:val="16"/>
          <w:color w:val="auto"/>
        </w:rPr>
      </w:pPr>
    </w:p>
    <w:p>
      <w:pPr>
        <w:ind w:left="1020" w:right="3259" w:hanging="280"/>
        <w:spacing w:after="0" w:line="234" w:lineRule="auto"/>
        <w:tabs>
          <w:tab w:leader="none" w:pos="10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Annual Meeting or any adjournment(s) thereof.</w:t>
      </w:r>
    </w:p>
    <w:p>
      <w:pPr>
        <w:spacing w:after="0" w:line="184" w:lineRule="exact"/>
        <w:rPr>
          <w:sz w:val="20"/>
          <w:szCs w:val="20"/>
          <w:color w:val="auto"/>
        </w:rPr>
      </w:pPr>
    </w:p>
    <w:p>
      <w:pPr>
        <w:ind w:right="2779" w:firstLine="466"/>
        <w:spacing w:after="0" w:line="283" w:lineRule="auto"/>
        <w:rPr>
          <w:sz w:val="20"/>
          <w:szCs w:val="20"/>
          <w:color w:val="auto"/>
        </w:rPr>
      </w:pPr>
      <w:r>
        <w:rPr>
          <w:rFonts w:ascii="Courier New" w:cs="Courier New" w:eastAsia="Courier New" w:hAnsi="Courier New"/>
          <w:sz w:val="14"/>
          <w:szCs w:val="14"/>
          <w:color w:val="auto"/>
        </w:rPr>
        <w:t>The close of business on December 20, 1999, has been fixed by the Board of Directors of the Company as the record date for determining the shareholders entitled to receive notice of, and to vote at, the Annual Meeting.</w:t>
      </w:r>
    </w:p>
    <w:p>
      <w:pPr>
        <w:spacing w:after="0" w:line="155" w:lineRule="exact"/>
        <w:rPr>
          <w:sz w:val="20"/>
          <w:szCs w:val="20"/>
          <w:color w:val="auto"/>
        </w:rPr>
      </w:pPr>
    </w:p>
    <w:p>
      <w:pPr>
        <w:ind w:right="2779" w:firstLine="466"/>
        <w:spacing w:after="0" w:line="236" w:lineRule="auto"/>
        <w:rPr>
          <w:sz w:val="20"/>
          <w:szCs w:val="20"/>
          <w:color w:val="auto"/>
        </w:rPr>
      </w:pPr>
      <w:r>
        <w:rPr>
          <w:rFonts w:ascii="Courier New" w:cs="Courier New" w:eastAsia="Courier New" w:hAnsi="Courier New"/>
          <w:sz w:val="16"/>
          <w:szCs w:val="16"/>
          <w:color w:val="auto"/>
        </w:rPr>
        <w:t>You are cordially invited to attend the Annual Meeting. Whether or not you plan to attend the Annual Meeting, you may ensure your representation by completing, signing, dating and promptly returning the enclosed proxy card. A return envelope, which requires no postage if mailed in the United States, has been provided for your use. If you attend the Annual Meeting and inform the Secretary of the Company in writing that you wish to vote your common shares in person, your proxy will not be used.</w:t>
      </w:r>
    </w:p>
    <w:p>
      <w:pPr>
        <w:spacing w:after="0" w:line="179"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 G. Robert Lucas</w:t>
      </w:r>
    </w:p>
    <w:p>
      <w:pPr>
        <w:ind w:left="3900"/>
        <w:spacing w:after="0" w:line="237" w:lineRule="auto"/>
        <w:rPr>
          <w:sz w:val="20"/>
          <w:szCs w:val="20"/>
          <w:color w:val="auto"/>
        </w:rPr>
      </w:pPr>
      <w:r>
        <w:rPr>
          <w:rFonts w:ascii="Courier New" w:cs="Courier New" w:eastAsia="Courier New" w:hAnsi="Courier New"/>
          <w:sz w:val="16"/>
          <w:szCs w:val="16"/>
          <w:color w:val="auto"/>
        </w:rPr>
        <w:t>G. ROBERT LUCAS</w:t>
      </w:r>
    </w:p>
    <w:p>
      <w:pPr>
        <w:ind w:left="3900"/>
        <w:spacing w:after="0" w:line="237" w:lineRule="auto"/>
        <w:rPr>
          <w:sz w:val="20"/>
          <w:szCs w:val="20"/>
          <w:color w:val="auto"/>
        </w:rPr>
      </w:pPr>
      <w:r>
        <w:rPr>
          <w:rFonts w:ascii="Courier New" w:cs="Courier New" w:eastAsia="Courier New" w:hAnsi="Courier New"/>
          <w:sz w:val="16"/>
          <w:szCs w:val="16"/>
          <w:color w:val="auto"/>
        </w:rPr>
        <w:t>Executive Vice President, General</w:t>
      </w:r>
    </w:p>
    <w:p>
      <w:pPr>
        <w:ind w:left="3900"/>
        <w:spacing w:after="0" w:line="237" w:lineRule="auto"/>
        <w:rPr>
          <w:sz w:val="20"/>
          <w:szCs w:val="20"/>
          <w:color w:val="auto"/>
        </w:rPr>
      </w:pPr>
      <w:r>
        <w:rPr>
          <w:rFonts w:ascii="Courier New" w:cs="Courier New" w:eastAsia="Courier New" w:hAnsi="Courier New"/>
          <w:sz w:val="16"/>
          <w:szCs w:val="16"/>
          <w:color w:val="auto"/>
        </w:rPr>
        <w:t>Counsel and Corporate Secretary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 South High Street</w:t>
      </w:r>
    </w:p>
    <w:p>
      <w:pPr>
        <w:spacing w:after="0" w:line="237" w:lineRule="auto"/>
        <w:rPr>
          <w:sz w:val="20"/>
          <w:szCs w:val="20"/>
          <w:color w:val="auto"/>
        </w:rPr>
      </w:pPr>
      <w:r>
        <w:rPr>
          <w:rFonts w:ascii="Courier New" w:cs="Courier New" w:eastAsia="Courier New" w:hAnsi="Courier New"/>
          <w:sz w:val="16"/>
          <w:szCs w:val="16"/>
          <w:color w:val="auto"/>
        </w:rPr>
        <w:t>Suite 3500</w:t>
      </w:r>
    </w:p>
    <w:p>
      <w:pPr>
        <w:spacing w:after="0" w:line="237" w:lineRule="auto"/>
        <w:rPr>
          <w:sz w:val="20"/>
          <w:szCs w:val="20"/>
          <w:color w:val="auto"/>
        </w:rPr>
      </w:pPr>
      <w:r>
        <w:rPr>
          <w:rFonts w:ascii="Courier New" w:cs="Courier New" w:eastAsia="Courier New" w:hAnsi="Courier New"/>
          <w:sz w:val="16"/>
          <w:szCs w:val="16"/>
          <w:color w:val="auto"/>
        </w:rPr>
        <w:t>Columbus, Ohio 43215</w:t>
      </w:r>
    </w:p>
    <w:p>
      <w:pPr>
        <w:spacing w:after="0" w:line="237" w:lineRule="auto"/>
        <w:rPr>
          <w:sz w:val="20"/>
          <w:szCs w:val="20"/>
          <w:color w:val="auto"/>
        </w:rPr>
      </w:pPr>
      <w:r>
        <w:rPr>
          <w:rFonts w:ascii="Courier New" w:cs="Courier New" w:eastAsia="Courier New" w:hAnsi="Courier New"/>
          <w:sz w:val="16"/>
          <w:szCs w:val="16"/>
          <w:color w:val="auto"/>
        </w:rPr>
        <w:t>January 14, 2000</w:t>
      </w:r>
    </w:p>
    <w:p>
      <w:pPr>
        <w:sectPr>
          <w:pgSz w:w="11900" w:h="16838" w:orient="portrait"/>
          <w:cols w:equalWidth="0" w:num="1">
            <w:col w:w="10139"/>
          </w:cols>
          <w:pgMar w:left="320" w:top="29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[THE SCOTTS COMPANY LOGO]</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THE SCOTTS COMPANY</w:t>
      </w:r>
    </w:p>
    <w:p>
      <w:pPr>
        <w:jc w:val="center"/>
        <w:ind w:right="2699"/>
        <w:spacing w:after="0" w:line="237" w:lineRule="auto"/>
        <w:rPr>
          <w:sz w:val="20"/>
          <w:szCs w:val="20"/>
          <w:color w:val="auto"/>
        </w:rPr>
      </w:pPr>
      <w:r>
        <w:rPr>
          <w:rFonts w:ascii="Courier New" w:cs="Courier New" w:eastAsia="Courier New" w:hAnsi="Courier New"/>
          <w:sz w:val="16"/>
          <w:szCs w:val="16"/>
          <w:color w:val="auto"/>
        </w:rPr>
        <w:t>41 SOUTH HIGH STREET</w:t>
      </w:r>
    </w:p>
    <w:p>
      <w:pPr>
        <w:jc w:val="center"/>
        <w:ind w:right="2699"/>
        <w:spacing w:after="0" w:line="237" w:lineRule="auto"/>
        <w:rPr>
          <w:sz w:val="20"/>
          <w:szCs w:val="20"/>
          <w:color w:val="auto"/>
        </w:rPr>
      </w:pPr>
      <w:r>
        <w:rPr>
          <w:rFonts w:ascii="Courier New" w:cs="Courier New" w:eastAsia="Courier New" w:hAnsi="Courier New"/>
          <w:sz w:val="16"/>
          <w:szCs w:val="16"/>
          <w:color w:val="auto"/>
        </w:rPr>
        <w:t>SUITE 3500</w:t>
      </w:r>
    </w:p>
    <w:p>
      <w:pPr>
        <w:jc w:val="center"/>
        <w:ind w:right="2699"/>
        <w:spacing w:after="0" w:line="237" w:lineRule="auto"/>
        <w:rPr>
          <w:sz w:val="20"/>
          <w:szCs w:val="20"/>
          <w:color w:val="auto"/>
        </w:rPr>
      </w:pPr>
      <w:r>
        <w:rPr>
          <w:rFonts w:ascii="Courier New" w:cs="Courier New" w:eastAsia="Courier New" w:hAnsi="Courier New"/>
          <w:sz w:val="16"/>
          <w:szCs w:val="16"/>
          <w:color w:val="auto"/>
        </w:rPr>
        <w:t>COLUMBUS, OHIO 43215</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PROXY STATEMENT</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FOR</w:t>
      </w:r>
    </w:p>
    <w:p>
      <w:pPr>
        <w:jc w:val="center"/>
        <w:ind w:right="2699"/>
        <w:spacing w:after="0" w:line="237" w:lineRule="auto"/>
        <w:rPr>
          <w:sz w:val="20"/>
          <w:szCs w:val="20"/>
          <w:color w:val="auto"/>
        </w:rPr>
      </w:pPr>
      <w:r>
        <w:rPr>
          <w:rFonts w:ascii="Courier New" w:cs="Courier New" w:eastAsia="Courier New" w:hAnsi="Courier New"/>
          <w:sz w:val="16"/>
          <w:szCs w:val="16"/>
          <w:color w:val="auto"/>
        </w:rPr>
        <w:t>ANNUAL MEETING OF SHAREHOLDERS</w:t>
      </w:r>
    </w:p>
    <w:p>
      <w:pPr>
        <w:jc w:val="center"/>
        <w:ind w:right="2699"/>
        <w:spacing w:after="0" w:line="237" w:lineRule="auto"/>
        <w:rPr>
          <w:sz w:val="20"/>
          <w:szCs w:val="20"/>
          <w:color w:val="auto"/>
        </w:rPr>
      </w:pPr>
      <w:r>
        <w:rPr>
          <w:rFonts w:ascii="Courier New" w:cs="Courier New" w:eastAsia="Courier New" w:hAnsi="Courier New"/>
          <w:sz w:val="16"/>
          <w:szCs w:val="16"/>
          <w:color w:val="auto"/>
        </w:rPr>
        <w:t>TUESDAY, FEBRUARY 15, 2000</w:t>
      </w:r>
    </w:p>
    <w:p>
      <w:pPr>
        <w:spacing w:after="0" w:line="183" w:lineRule="exact"/>
        <w:rPr>
          <w:sz w:val="20"/>
          <w:szCs w:val="20"/>
          <w:color w:val="auto"/>
        </w:rPr>
      </w:pPr>
    </w:p>
    <w:p>
      <w:pPr>
        <w:ind w:right="2699" w:firstLine="466"/>
        <w:spacing w:after="0" w:line="272" w:lineRule="auto"/>
        <w:rPr>
          <w:sz w:val="20"/>
          <w:szCs w:val="20"/>
          <w:color w:val="auto"/>
        </w:rPr>
      </w:pPr>
      <w:r>
        <w:rPr>
          <w:rFonts w:ascii="Courier New" w:cs="Courier New" w:eastAsia="Courier New" w:hAnsi="Courier New"/>
          <w:sz w:val="14"/>
          <w:szCs w:val="14"/>
          <w:color w:val="auto"/>
        </w:rPr>
        <w:t>This Proxy Statement is furnished in connection with the solicitation on behalf of the Board of Directors of The Scotts Company, an Ohio corporation (the "Company"), of proxies for use at the Annual Meeting of Shareholders (the "Annual Meeting") to be held at The Westin Great Southern Hotel, 310 South High Street, Columbus, Ohio, on Tuesday, February 15, 2000, at 10:00 a.m., local time, and at any adjournment(s) thereof, for the purposes set forth in the accompanying Notice of Annual Meeting of Shareholders. This Proxy Statement and the accompanying form of proxy are first being mailed to shareholders on or about January 14, 2000. Only holders of record of the Company's common shares, without par value (the "Common Shares"), on December 20, 1999 (the "Record Date") will be entitled to vote at the Annual Meeting. As of the Record Date, there were 28,521,006 Common Shares outstanding. Each Common Share entitles the holder thereof to one vote. A quorum for the Annual Meeting is a majority of the voting shares outstanding. There is no cumulative voting. There are no voting securities of the Company outstanding other than the Common Shares.</w:t>
      </w:r>
    </w:p>
    <w:p>
      <w:pPr>
        <w:spacing w:after="0" w:line="349" w:lineRule="exact"/>
        <w:rPr>
          <w:sz w:val="20"/>
          <w:szCs w:val="20"/>
          <w:color w:val="auto"/>
        </w:rPr>
      </w:pPr>
    </w:p>
    <w:p>
      <w:pPr>
        <w:ind w:right="2699" w:firstLine="466"/>
        <w:spacing w:after="0" w:line="273" w:lineRule="auto"/>
        <w:rPr>
          <w:sz w:val="20"/>
          <w:szCs w:val="20"/>
          <w:color w:val="auto"/>
        </w:rPr>
      </w:pPr>
      <w:r>
        <w:rPr>
          <w:rFonts w:ascii="Courier New" w:cs="Courier New" w:eastAsia="Courier New" w:hAnsi="Courier New"/>
          <w:sz w:val="14"/>
          <w:szCs w:val="14"/>
          <w:color w:val="auto"/>
        </w:rPr>
        <w:t>Common Shares represented by signed proxies that are returned to the Company will be counted toward the quorum in all matters even though they are marked as "Abstain," "Against" or "Withhold Authority" on one or more or all matters or they are not marked at all. Broker/dealers who hold their customers' shares in street name may, under the applicable rules of the exchange and other self-regulatory organizations of which the broker/dealers are members, sign and submit proxies for such street name shares and may vote such shares on "routine" matters, which, under such rules, typically include the election of directors, but broker/dealers may not vote such shares on other matters, which typically include the approval of an amendment to the articles of incorporation, without specific instructions from the customer who owns such shares. Proxies signed and submitted by broker/dealers which have not been voted on certain matters as described in the previous sentence are referred to as "broker non-votes."</w:t>
      </w:r>
    </w:p>
    <w:p>
      <w:pPr>
        <w:spacing w:after="0" w:line="342" w:lineRule="exact"/>
        <w:rPr>
          <w:sz w:val="20"/>
          <w:szCs w:val="20"/>
          <w:color w:val="auto"/>
        </w:rPr>
      </w:pPr>
    </w:p>
    <w:p>
      <w:pPr>
        <w:ind w:right="2979" w:firstLine="466"/>
        <w:spacing w:after="0" w:line="236" w:lineRule="auto"/>
        <w:rPr>
          <w:sz w:val="20"/>
          <w:szCs w:val="20"/>
          <w:color w:val="auto"/>
        </w:rPr>
      </w:pPr>
      <w:r>
        <w:rPr>
          <w:rFonts w:ascii="Courier New" w:cs="Courier New" w:eastAsia="Courier New" w:hAnsi="Courier New"/>
          <w:sz w:val="16"/>
          <w:szCs w:val="16"/>
          <w:color w:val="auto"/>
        </w:rPr>
        <w:t>If the accompanying proxy card is properly signed and returned to the Company prior to the Annual Meeting and not revoked, it will be voted in accordance with the instructions contained therein. If no instructions are given, the persons designated as proxies in the accompanying proxy card will vote FOR the election as directors of those persons named below and FOR the approval of the amendment to the Amended Articles of Incorporation of the Company to increase the authorized number of Common Shares from 50,000,000 to 100,000,000.</w:t>
      </w:r>
    </w:p>
    <w:p>
      <w:pPr>
        <w:spacing w:after="0" w:line="186" w:lineRule="exact"/>
        <w:rPr>
          <w:sz w:val="20"/>
          <w:szCs w:val="20"/>
          <w:color w:val="auto"/>
        </w:rPr>
      </w:pPr>
    </w:p>
    <w:p>
      <w:pPr>
        <w:ind w:right="2699" w:firstLine="466"/>
        <w:spacing w:after="0" w:line="236" w:lineRule="auto"/>
        <w:rPr>
          <w:sz w:val="20"/>
          <w:szCs w:val="20"/>
          <w:color w:val="auto"/>
        </w:rPr>
      </w:pPr>
      <w:r>
        <w:rPr>
          <w:rFonts w:ascii="Courier New" w:cs="Courier New" w:eastAsia="Courier New" w:hAnsi="Courier New"/>
          <w:sz w:val="16"/>
          <w:szCs w:val="16"/>
          <w:color w:val="auto"/>
        </w:rPr>
        <w:t>The Board of Directors is not currently aware of any matters other than those referred to herein which will come before the Annual Meeting. If any other matter should be properly presented at the Annual Meeting for action, the persons named in the accompanying proxy card will vote the proxy in their own discretion.</w:t>
      </w:r>
    </w:p>
    <w:p>
      <w:pPr>
        <w:spacing w:after="0" w:line="183" w:lineRule="exact"/>
        <w:rPr>
          <w:sz w:val="20"/>
          <w:szCs w:val="20"/>
          <w:color w:val="auto"/>
        </w:rPr>
      </w:pPr>
    </w:p>
    <w:p>
      <w:pPr>
        <w:ind w:right="2699" w:firstLine="466"/>
        <w:spacing w:after="0" w:line="236" w:lineRule="auto"/>
        <w:rPr>
          <w:sz w:val="20"/>
          <w:szCs w:val="20"/>
          <w:color w:val="auto"/>
        </w:rPr>
      </w:pPr>
      <w:r>
        <w:rPr>
          <w:rFonts w:ascii="Courier New" w:cs="Courier New" w:eastAsia="Courier New" w:hAnsi="Courier New"/>
          <w:sz w:val="16"/>
          <w:szCs w:val="16"/>
          <w:color w:val="auto"/>
        </w:rPr>
        <w:t>You may revoke your proxy at any time before it is actually voted at the Annual Meeting by delivering written notice of revocation to the Secretary of the Company, by submitting a subsequently-dated proxy or by attending the Annual Meeting and voting in person. Attendance at the Annual Meeting will not, in itself, constitute revocation of the proxy.</w:t>
      </w:r>
    </w:p>
    <w:p>
      <w:pPr>
        <w:spacing w:after="0" w:line="183" w:lineRule="exact"/>
        <w:rPr>
          <w:sz w:val="20"/>
          <w:szCs w:val="20"/>
          <w:color w:val="auto"/>
        </w:rPr>
      </w:pPr>
    </w:p>
    <w:p>
      <w:pPr>
        <w:ind w:right="2699" w:firstLine="466"/>
        <w:spacing w:after="0" w:line="235" w:lineRule="auto"/>
        <w:rPr>
          <w:sz w:val="20"/>
          <w:szCs w:val="20"/>
          <w:color w:val="auto"/>
        </w:rPr>
      </w:pPr>
      <w:r>
        <w:rPr>
          <w:rFonts w:ascii="Courier New" w:cs="Courier New" w:eastAsia="Courier New" w:hAnsi="Courier New"/>
          <w:sz w:val="16"/>
          <w:szCs w:val="16"/>
          <w:color w:val="auto"/>
        </w:rPr>
        <w:t>The expense of preparing, printing and mailing proxy materials to the Company's shareholders will be borne by the Company. In addition, proxies may be solicited personally or by telephone, mail or facsimile. Officers or</w:t>
      </w:r>
    </w:p>
    <w:p>
      <w:pPr>
        <w:sectPr>
          <w:pgSz w:w="11900" w:h="16838" w:orient="portrait"/>
          <w:cols w:equalWidth="0" w:num="1">
            <w:col w:w="10139"/>
          </w:cols>
          <w:pgMar w:left="320" w:top="291" w:right="1440" w:bottom="1440" w:gutter="0" w:footer="0" w:header="0"/>
        </w:sectPr>
      </w:pPr>
    </w:p>
    <w:bookmarkStart w:id="5" w:name="page6"/>
    <w:bookmarkEnd w:id="5"/>
    <w:p>
      <w:pPr>
        <w:ind w:left="285"/>
        <w:spacing w:after="0"/>
        <w:rPr>
          <w:sz w:val="20"/>
          <w:szCs w:val="20"/>
          <w:color w:val="auto"/>
        </w:rPr>
      </w:pPr>
      <w:r>
        <w:rPr>
          <w:rFonts w:ascii="Courier New" w:cs="Courier New" w:eastAsia="Courier New" w:hAnsi="Courier New"/>
          <w:sz w:val="16"/>
          <w:szCs w:val="16"/>
          <w:color w:val="auto"/>
        </w:rPr>
        <w:t>6</w:t>
      </w:r>
    </w:p>
    <w:p>
      <w:pPr>
        <w:spacing w:after="0" w:line="183" w:lineRule="exact"/>
        <w:rPr>
          <w:sz w:val="20"/>
          <w:szCs w:val="20"/>
          <w:color w:val="auto"/>
        </w:rPr>
      </w:pPr>
    </w:p>
    <w:p>
      <w:pPr>
        <w:ind w:left="5" w:right="2779"/>
        <w:spacing w:after="0" w:line="235" w:lineRule="auto"/>
        <w:rPr>
          <w:sz w:val="20"/>
          <w:szCs w:val="20"/>
          <w:color w:val="auto"/>
        </w:rPr>
      </w:pPr>
      <w:r>
        <w:rPr>
          <w:rFonts w:ascii="Courier New" w:cs="Courier New" w:eastAsia="Courier New" w:hAnsi="Courier New"/>
          <w:sz w:val="16"/>
          <w:szCs w:val="16"/>
          <w:color w:val="auto"/>
        </w:rPr>
        <w:t>employees of the Company may assist with personal or telephone solicitation and will receive no additional compensation therefor. The Company will also reimburse brokerage houses and other nominees for their reasonable expenses in forwarding proxy materials to beneficial owners of the Common Shares.</w:t>
      </w:r>
    </w:p>
    <w:p>
      <w:pPr>
        <w:spacing w:after="0" w:line="185" w:lineRule="exact"/>
        <w:rPr>
          <w:sz w:val="20"/>
          <w:szCs w:val="20"/>
          <w:color w:val="auto"/>
        </w:rPr>
      </w:pPr>
    </w:p>
    <w:p>
      <w:pPr>
        <w:jc w:val="both"/>
        <w:ind w:left="5" w:right="2779" w:firstLine="466"/>
        <w:spacing w:after="0" w:line="283" w:lineRule="auto"/>
        <w:rPr>
          <w:sz w:val="20"/>
          <w:szCs w:val="20"/>
          <w:color w:val="auto"/>
        </w:rPr>
      </w:pPr>
      <w:r>
        <w:rPr>
          <w:rFonts w:ascii="Courier New" w:cs="Courier New" w:eastAsia="Courier New" w:hAnsi="Courier New"/>
          <w:sz w:val="14"/>
          <w:szCs w:val="14"/>
          <w:color w:val="auto"/>
        </w:rPr>
        <w:t>If a shareholder is a participant in The Scotts Company Retirement Savings Plan (the "RSP") and Common Shares have been allocated to such person's account in the RSP, the shareholder is entitled to vote the allocated Common Shares.</w:t>
      </w:r>
    </w:p>
    <w:p>
      <w:pPr>
        <w:spacing w:after="0" w:line="149" w:lineRule="exact"/>
        <w:rPr>
          <w:sz w:val="20"/>
          <w:szCs w:val="20"/>
          <w:color w:val="auto"/>
        </w:rPr>
      </w:pPr>
    </w:p>
    <w:p>
      <w:pPr>
        <w:ind w:left="1405"/>
        <w:spacing w:after="0"/>
        <w:rPr>
          <w:sz w:val="20"/>
          <w:szCs w:val="20"/>
          <w:color w:val="auto"/>
        </w:rPr>
      </w:pPr>
      <w:r>
        <w:rPr>
          <w:rFonts w:ascii="Courier New" w:cs="Courier New" w:eastAsia="Courier New" w:hAnsi="Courier New"/>
          <w:sz w:val="16"/>
          <w:szCs w:val="16"/>
          <w:color w:val="auto"/>
        </w:rPr>
        <w:t>BENEFICIAL OWNERSHIP OF SECURITIES OF THE COMPANY</w:t>
      </w:r>
    </w:p>
    <w:p>
      <w:pPr>
        <w:spacing w:after="0" w:line="183" w:lineRule="exact"/>
        <w:rPr>
          <w:sz w:val="20"/>
          <w:szCs w:val="20"/>
          <w:color w:val="auto"/>
        </w:rPr>
      </w:pPr>
    </w:p>
    <w:p>
      <w:pPr>
        <w:ind w:left="5" w:right="2699" w:firstLine="466"/>
        <w:spacing w:after="0" w:line="236" w:lineRule="auto"/>
        <w:rPr>
          <w:sz w:val="20"/>
          <w:szCs w:val="20"/>
          <w:color w:val="auto"/>
        </w:rPr>
      </w:pPr>
      <w:r>
        <w:rPr>
          <w:rFonts w:ascii="Courier New" w:cs="Courier New" w:eastAsia="Courier New" w:hAnsi="Courier New"/>
          <w:sz w:val="16"/>
          <w:szCs w:val="16"/>
          <w:color w:val="auto"/>
        </w:rPr>
        <w:t>The following table furnishes certain information as of December 1, 1999 (except as otherwise noted), as to the Common Shares beneficially owned by each of the directors of the Company, by each of the individuals named in the Summary Compensation Table and by all directors and executive officers of the Company as a group, and, to the Company's knowledge, by the only persons beneficially owning more than 5% of the outstanding Common Shares.</w:t>
      </w:r>
    </w:p>
    <w:p>
      <w:pPr>
        <w:spacing w:after="0" w:line="200" w:lineRule="exact"/>
        <w:rPr>
          <w:sz w:val="20"/>
          <w:szCs w:val="20"/>
          <w:color w:val="auto"/>
        </w:rPr>
      </w:pPr>
    </w:p>
    <w:p>
      <w:pPr>
        <w:spacing w:after="0" w:line="336"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500" w:type="dxa"/>
            <w:vAlign w:val="bottom"/>
          </w:tcPr>
          <w:p>
            <w:pPr>
              <w:spacing w:after="0"/>
              <w:rPr>
                <w:sz w:val="15"/>
                <w:szCs w:val="15"/>
                <w:color w:val="auto"/>
              </w:rPr>
            </w:pPr>
          </w:p>
        </w:tc>
        <w:tc>
          <w:tcPr>
            <w:tcW w:w="5780" w:type="dxa"/>
            <w:vAlign w:val="bottom"/>
            <w:gridSpan w:val="3"/>
          </w:tcPr>
          <w:p>
            <w:pPr>
              <w:jc w:val="center"/>
              <w:ind w:right="282"/>
              <w:spacing w:after="0"/>
              <w:rPr>
                <w:sz w:val="20"/>
                <w:szCs w:val="20"/>
                <w:color w:val="auto"/>
              </w:rPr>
            </w:pPr>
            <w:r>
              <w:rPr>
                <w:rFonts w:ascii="Courier New" w:cs="Courier New" w:eastAsia="Courier New" w:hAnsi="Courier New"/>
                <w:sz w:val="16"/>
                <w:szCs w:val="16"/>
                <w:color w:val="auto"/>
                <w:w w:val="97"/>
              </w:rPr>
              <w:t>AMOUNT AND NATURE OF BENEFICIAL OWNERSHIP(1)</w:t>
            </w:r>
          </w:p>
        </w:tc>
        <w:tc>
          <w:tcPr>
            <w:tcW w:w="1220" w:type="dxa"/>
            <w:vAlign w:val="bottom"/>
          </w:tcPr>
          <w:p>
            <w:pPr>
              <w:spacing w:after="0"/>
              <w:rPr>
                <w:sz w:val="15"/>
                <w:szCs w:val="15"/>
                <w:color w:val="auto"/>
              </w:rPr>
            </w:pPr>
          </w:p>
        </w:tc>
      </w:tr>
      <w:tr>
        <w:trPr>
          <w:trHeight w:val="179"/>
        </w:trPr>
        <w:tc>
          <w:tcPr>
            <w:tcW w:w="2500" w:type="dxa"/>
            <w:vAlign w:val="bottom"/>
          </w:tcPr>
          <w:p>
            <w:pPr>
              <w:spacing w:after="0"/>
              <w:rPr>
                <w:sz w:val="15"/>
                <w:szCs w:val="15"/>
                <w:color w:val="auto"/>
              </w:rPr>
            </w:pPr>
          </w:p>
        </w:tc>
        <w:tc>
          <w:tcPr>
            <w:tcW w:w="5780" w:type="dxa"/>
            <w:vAlign w:val="bottom"/>
            <w:gridSpan w:val="3"/>
          </w:tcPr>
          <w:p>
            <w:pPr>
              <w:jc w:val="right"/>
              <w:ind w:right="282"/>
              <w:spacing w:after="0" w:line="179" w:lineRule="exact"/>
              <w:rPr>
                <w:sz w:val="20"/>
                <w:szCs w:val="20"/>
                <w:color w:val="auto"/>
              </w:rPr>
            </w:pPr>
            <w:r>
              <w:rPr>
                <w:rFonts w:ascii="Courier New" w:cs="Courier New" w:eastAsia="Courier New" w:hAnsi="Courier New"/>
                <w:sz w:val="16"/>
                <w:szCs w:val="16"/>
                <w:color w:val="auto"/>
                <w:w w:val="96"/>
              </w:rPr>
              <w:t>----------------------------------------------------------</w:t>
            </w:r>
          </w:p>
        </w:tc>
        <w:tc>
          <w:tcPr>
            <w:tcW w:w="1220" w:type="dxa"/>
            <w:vAlign w:val="bottom"/>
          </w:tcPr>
          <w:p>
            <w:pPr>
              <w:spacing w:after="0"/>
              <w:rPr>
                <w:sz w:val="15"/>
                <w:szCs w:val="15"/>
                <w:color w:val="auto"/>
              </w:rPr>
            </w:pPr>
          </w:p>
        </w:tc>
      </w:tr>
      <w:tr>
        <w:trPr>
          <w:trHeight w:val="179"/>
        </w:trPr>
        <w:tc>
          <w:tcPr>
            <w:tcW w:w="2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520" w:type="dxa"/>
            <w:vAlign w:val="bottom"/>
          </w:tcPr>
          <w:p>
            <w:pPr>
              <w:jc w:val="right"/>
              <w:ind w:right="682"/>
              <w:spacing w:after="0" w:line="179" w:lineRule="exact"/>
              <w:rPr>
                <w:sz w:val="20"/>
                <w:szCs w:val="20"/>
                <w:color w:val="auto"/>
              </w:rPr>
            </w:pPr>
            <w:r>
              <w:rPr>
                <w:rFonts w:ascii="Courier New" w:cs="Courier New" w:eastAsia="Courier New" w:hAnsi="Courier New"/>
                <w:sz w:val="16"/>
                <w:szCs w:val="16"/>
                <w:color w:val="auto"/>
                <w:w w:val="95"/>
              </w:rPr>
              <w:t>COMMON SHARES WHICH</w:t>
            </w:r>
          </w:p>
        </w:tc>
        <w:tc>
          <w:tcPr>
            <w:tcW w:w="14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2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520" w:type="dxa"/>
            <w:vAlign w:val="bottom"/>
          </w:tcPr>
          <w:p>
            <w:pPr>
              <w:jc w:val="center"/>
              <w:ind w:right="582"/>
              <w:spacing w:after="0" w:line="179" w:lineRule="exact"/>
              <w:rPr>
                <w:sz w:val="20"/>
                <w:szCs w:val="20"/>
                <w:color w:val="auto"/>
              </w:rPr>
            </w:pPr>
            <w:r>
              <w:rPr>
                <w:rFonts w:ascii="Courier New" w:cs="Courier New" w:eastAsia="Courier New" w:hAnsi="Courier New"/>
                <w:sz w:val="16"/>
                <w:szCs w:val="16"/>
                <w:color w:val="auto"/>
                <w:w w:val="96"/>
              </w:rPr>
              <w:t>CAN BE ACQUIRED UPON</w:t>
            </w:r>
          </w:p>
        </w:tc>
        <w:tc>
          <w:tcPr>
            <w:tcW w:w="14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2500" w:type="dxa"/>
            <w:vAlign w:val="bottom"/>
          </w:tcPr>
          <w:p>
            <w:pPr>
              <w:spacing w:after="0"/>
              <w:rPr>
                <w:sz w:val="15"/>
                <w:szCs w:val="15"/>
                <w:color w:val="auto"/>
              </w:rPr>
            </w:pPr>
          </w:p>
        </w:tc>
        <w:tc>
          <w:tcPr>
            <w:tcW w:w="4300" w:type="dxa"/>
            <w:vAlign w:val="bottom"/>
            <w:gridSpan w:val="2"/>
          </w:tcPr>
          <w:p>
            <w:pPr>
              <w:jc w:val="center"/>
              <w:ind w:left="1042"/>
              <w:spacing w:after="0" w:line="179" w:lineRule="exact"/>
              <w:rPr>
                <w:sz w:val="20"/>
                <w:szCs w:val="20"/>
                <w:color w:val="auto"/>
              </w:rPr>
            </w:pPr>
            <w:r>
              <w:rPr>
                <w:rFonts w:ascii="Courier New" w:cs="Courier New" w:eastAsia="Courier New" w:hAnsi="Courier New"/>
                <w:sz w:val="16"/>
                <w:szCs w:val="16"/>
                <w:color w:val="auto"/>
                <w:w w:val="97"/>
              </w:rPr>
              <w:t>EXERCISE OF OPTIONS OR</w:t>
            </w:r>
          </w:p>
        </w:tc>
        <w:tc>
          <w:tcPr>
            <w:tcW w:w="14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2500" w:type="dxa"/>
            <w:vAlign w:val="bottom"/>
          </w:tcPr>
          <w:p>
            <w:pPr>
              <w:spacing w:after="0"/>
              <w:rPr>
                <w:sz w:val="15"/>
                <w:szCs w:val="15"/>
                <w:color w:val="auto"/>
              </w:rPr>
            </w:pPr>
          </w:p>
        </w:tc>
        <w:tc>
          <w:tcPr>
            <w:tcW w:w="17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COMMON SHARES</w:t>
            </w:r>
          </w:p>
        </w:tc>
        <w:tc>
          <w:tcPr>
            <w:tcW w:w="2520" w:type="dxa"/>
            <w:vAlign w:val="bottom"/>
          </w:tcPr>
          <w:p>
            <w:pPr>
              <w:jc w:val="center"/>
              <w:ind w:right="582"/>
              <w:spacing w:after="0" w:line="179" w:lineRule="exact"/>
              <w:rPr>
                <w:sz w:val="20"/>
                <w:szCs w:val="20"/>
                <w:color w:val="auto"/>
              </w:rPr>
            </w:pPr>
            <w:r>
              <w:rPr>
                <w:rFonts w:ascii="Courier New" w:cs="Courier New" w:eastAsia="Courier New" w:hAnsi="Courier New"/>
                <w:sz w:val="16"/>
                <w:szCs w:val="16"/>
                <w:color w:val="auto"/>
                <w:w w:val="96"/>
              </w:rPr>
              <w:t>WARRANTS EXERCISABLE</w:t>
            </w:r>
          </w:p>
        </w:tc>
        <w:tc>
          <w:tcPr>
            <w:tcW w:w="2700" w:type="dxa"/>
            <w:vAlign w:val="bottom"/>
            <w:gridSpan w:val="2"/>
          </w:tcPr>
          <w:p>
            <w:pPr>
              <w:ind w:left="1380"/>
              <w:spacing w:after="0" w:line="179" w:lineRule="exact"/>
              <w:rPr>
                <w:sz w:val="20"/>
                <w:szCs w:val="20"/>
                <w:color w:val="auto"/>
              </w:rPr>
            </w:pPr>
            <w:r>
              <w:rPr>
                <w:rFonts w:ascii="Courier New" w:cs="Courier New" w:eastAsia="Courier New" w:hAnsi="Courier New"/>
                <w:sz w:val="16"/>
                <w:szCs w:val="16"/>
                <w:color w:val="auto"/>
              </w:rPr>
              <w:t>PERCENT OF</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NAME OF BENEFICIAL OWNER</w:t>
            </w:r>
          </w:p>
        </w:tc>
        <w:tc>
          <w:tcPr>
            <w:tcW w:w="17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6"/>
              </w:rPr>
              <w:t>PRESENTLY HELD</w:t>
            </w:r>
          </w:p>
        </w:tc>
        <w:tc>
          <w:tcPr>
            <w:tcW w:w="2520" w:type="dxa"/>
            <w:vAlign w:val="bottom"/>
          </w:tcPr>
          <w:p>
            <w:pPr>
              <w:jc w:val="center"/>
              <w:ind w:right="582"/>
              <w:spacing w:after="0" w:line="179" w:lineRule="exact"/>
              <w:rPr>
                <w:sz w:val="20"/>
                <w:szCs w:val="20"/>
                <w:color w:val="auto"/>
              </w:rPr>
            </w:pPr>
            <w:r>
              <w:rPr>
                <w:rFonts w:ascii="Courier New" w:cs="Courier New" w:eastAsia="Courier New" w:hAnsi="Courier New"/>
                <w:sz w:val="16"/>
                <w:szCs w:val="16"/>
                <w:color w:val="auto"/>
                <w:w w:val="96"/>
              </w:rPr>
              <w:t>WITHIN 60 DAYS</w:t>
            </w:r>
          </w:p>
        </w:tc>
        <w:tc>
          <w:tcPr>
            <w:tcW w:w="14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TOTAL</w:t>
            </w:r>
          </w:p>
        </w:tc>
        <w:tc>
          <w:tcPr>
            <w:tcW w:w="1220" w:type="dxa"/>
            <w:vAlign w:val="bottom"/>
          </w:tcPr>
          <w:p>
            <w:pPr>
              <w:jc w:val="center"/>
              <w:ind w:right="402"/>
              <w:spacing w:after="0" w:line="179" w:lineRule="exact"/>
              <w:rPr>
                <w:sz w:val="20"/>
                <w:szCs w:val="20"/>
                <w:color w:val="auto"/>
              </w:rPr>
            </w:pPr>
            <w:r>
              <w:rPr>
                <w:rFonts w:ascii="Courier New" w:cs="Courier New" w:eastAsia="Courier New" w:hAnsi="Courier New"/>
                <w:sz w:val="16"/>
                <w:szCs w:val="16"/>
                <w:color w:val="auto"/>
                <w:w w:val="96"/>
              </w:rPr>
              <w:t>CLASS(2)</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w w:val="92"/>
              </w:rPr>
              <w:t>- - ------------------------</w:t>
            </w:r>
          </w:p>
        </w:tc>
        <w:tc>
          <w:tcPr>
            <w:tcW w:w="17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25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500" w:type="dxa"/>
            <w:vAlign w:val="bottom"/>
          </w:tcPr>
          <w:p>
            <w:pPr>
              <w:spacing w:after="0"/>
              <w:rPr>
                <w:sz w:val="20"/>
                <w:szCs w:val="20"/>
                <w:color w:val="auto"/>
              </w:rPr>
            </w:pPr>
            <w:r>
              <w:rPr>
                <w:rFonts w:ascii="Courier New" w:cs="Courier New" w:eastAsia="Courier New" w:hAnsi="Courier New"/>
                <w:sz w:val="16"/>
                <w:szCs w:val="16"/>
                <w:color w:val="auto"/>
              </w:rPr>
              <w:t>James B Beard, Ph.D. ....</w:t>
            </w:r>
          </w:p>
        </w:tc>
        <w:tc>
          <w:tcPr>
            <w:tcW w:w="17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16,727(3)</w:t>
            </w:r>
          </w:p>
        </w:tc>
        <w:tc>
          <w:tcPr>
            <w:tcW w:w="252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33,000</w:t>
            </w:r>
          </w:p>
        </w:tc>
        <w:tc>
          <w:tcPr>
            <w:tcW w:w="14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49,727</w:t>
            </w:r>
          </w:p>
        </w:tc>
        <w:tc>
          <w:tcPr>
            <w:tcW w:w="1220" w:type="dxa"/>
            <w:vAlign w:val="bottom"/>
          </w:tcPr>
          <w:p>
            <w:pPr>
              <w:jc w:val="center"/>
              <w:ind w:right="302"/>
              <w:spacing w:after="0"/>
              <w:rPr>
                <w:sz w:val="20"/>
                <w:szCs w:val="20"/>
                <w:color w:val="auto"/>
              </w:rPr>
            </w:pPr>
            <w:r>
              <w:rPr>
                <w:rFonts w:ascii="Courier New" w:cs="Courier New" w:eastAsia="Courier New" w:hAnsi="Courier New"/>
                <w:sz w:val="16"/>
                <w:szCs w:val="16"/>
                <w:color w:val="auto"/>
                <w:w w:val="97"/>
              </w:rPr>
              <w:t>(4)</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Charles M. Berger(5).....</w:t>
            </w:r>
          </w:p>
        </w:tc>
        <w:tc>
          <w:tcPr>
            <w:tcW w:w="17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20,432(6)</w:t>
            </w:r>
          </w:p>
        </w:tc>
        <w:tc>
          <w:tcPr>
            <w:tcW w:w="252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400,000</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420,432</w:t>
            </w:r>
          </w:p>
        </w:tc>
        <w:tc>
          <w:tcPr>
            <w:tcW w:w="122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9"/>
              </w:rPr>
              <w:t>1.45%</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Joseph P. Flannery.......</w:t>
            </w:r>
          </w:p>
        </w:tc>
        <w:tc>
          <w:tcPr>
            <w:tcW w:w="17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2,000</w:t>
            </w:r>
          </w:p>
        </w:tc>
        <w:tc>
          <w:tcPr>
            <w:tcW w:w="252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34,000</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36,000</w:t>
            </w:r>
          </w:p>
        </w:tc>
        <w:tc>
          <w:tcPr>
            <w:tcW w:w="122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7"/>
              </w:rPr>
              <w:t>(4)</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Horace Hagedorn..........</w:t>
            </w:r>
          </w:p>
        </w:tc>
        <w:tc>
          <w:tcPr>
            <w:tcW w:w="17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37,526(7)</w:t>
            </w:r>
          </w:p>
        </w:tc>
        <w:tc>
          <w:tcPr>
            <w:tcW w:w="252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34,000</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71,526</w:t>
            </w:r>
          </w:p>
        </w:tc>
        <w:tc>
          <w:tcPr>
            <w:tcW w:w="122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7"/>
              </w:rPr>
              <w:t>(4)</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James Hagedorn(5)........</w:t>
            </w:r>
          </w:p>
        </w:tc>
        <w:tc>
          <w:tcPr>
            <w:tcW w:w="17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10,109,464(8)</w:t>
            </w:r>
          </w:p>
        </w:tc>
        <w:tc>
          <w:tcPr>
            <w:tcW w:w="252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3,039,000(9)</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13,148,464</w:t>
            </w:r>
          </w:p>
        </w:tc>
        <w:tc>
          <w:tcPr>
            <w:tcW w:w="1220" w:type="dxa"/>
            <w:vAlign w:val="bottom"/>
          </w:tcPr>
          <w:p>
            <w:pPr>
              <w:jc w:val="center"/>
              <w:ind w:right="382"/>
              <w:spacing w:after="0" w:line="179" w:lineRule="exact"/>
              <w:rPr>
                <w:sz w:val="20"/>
                <w:szCs w:val="20"/>
                <w:color w:val="auto"/>
              </w:rPr>
            </w:pPr>
            <w:r>
              <w:rPr>
                <w:rFonts w:ascii="Courier New" w:cs="Courier New" w:eastAsia="Courier New" w:hAnsi="Courier New"/>
                <w:sz w:val="16"/>
                <w:szCs w:val="16"/>
                <w:color w:val="auto"/>
                <w:w w:val="97"/>
              </w:rPr>
              <w:t>41.67%</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Albert E. Harris.........</w:t>
            </w:r>
          </w:p>
        </w:tc>
        <w:tc>
          <w:tcPr>
            <w:tcW w:w="17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2,000(10)</w:t>
            </w:r>
          </w:p>
        </w:tc>
        <w:tc>
          <w:tcPr>
            <w:tcW w:w="2520" w:type="dxa"/>
            <w:vAlign w:val="bottom"/>
          </w:tcPr>
          <w:p>
            <w:pPr>
              <w:jc w:val="right"/>
              <w:ind w:right="1142"/>
              <w:spacing w:after="0" w:line="179" w:lineRule="exact"/>
              <w:rPr>
                <w:sz w:val="20"/>
                <w:szCs w:val="20"/>
                <w:color w:val="auto"/>
              </w:rPr>
            </w:pPr>
            <w:r>
              <w:rPr>
                <w:rFonts w:ascii="Courier New" w:cs="Courier New" w:eastAsia="Courier New" w:hAnsi="Courier New"/>
                <w:sz w:val="16"/>
                <w:szCs w:val="16"/>
                <w:color w:val="auto"/>
              </w:rPr>
              <w:t>12,000</w:t>
            </w:r>
          </w:p>
        </w:tc>
        <w:tc>
          <w:tcPr>
            <w:tcW w:w="14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14,000</w:t>
            </w:r>
          </w:p>
        </w:tc>
        <w:tc>
          <w:tcPr>
            <w:tcW w:w="1220" w:type="dxa"/>
            <w:vAlign w:val="bottom"/>
          </w:tcPr>
          <w:p>
            <w:pPr>
              <w:jc w:val="right"/>
              <w:ind w:right="682"/>
              <w:spacing w:after="0" w:line="179" w:lineRule="exact"/>
              <w:rPr>
                <w:sz w:val="20"/>
                <w:szCs w:val="20"/>
                <w:color w:val="auto"/>
              </w:rPr>
            </w:pPr>
            <w:r>
              <w:rPr>
                <w:rFonts w:ascii="Courier New" w:cs="Courier New" w:eastAsia="Courier New" w:hAnsi="Courier New"/>
                <w:sz w:val="16"/>
                <w:szCs w:val="16"/>
                <w:color w:val="auto"/>
              </w:rPr>
              <w:t>(4)</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John Kenlon..............</w:t>
            </w:r>
          </w:p>
        </w:tc>
        <w:tc>
          <w:tcPr>
            <w:tcW w:w="17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199,599(11)</w:t>
            </w:r>
          </w:p>
        </w:tc>
        <w:tc>
          <w:tcPr>
            <w:tcW w:w="2520" w:type="dxa"/>
            <w:vAlign w:val="bottom"/>
          </w:tcPr>
          <w:p>
            <w:pPr>
              <w:jc w:val="right"/>
              <w:ind w:right="682"/>
              <w:spacing w:after="0" w:line="179" w:lineRule="exact"/>
              <w:rPr>
                <w:sz w:val="20"/>
                <w:szCs w:val="20"/>
                <w:color w:val="auto"/>
              </w:rPr>
            </w:pPr>
            <w:r>
              <w:rPr>
                <w:rFonts w:ascii="Courier New" w:cs="Courier New" w:eastAsia="Courier New" w:hAnsi="Courier New"/>
                <w:sz w:val="16"/>
                <w:szCs w:val="16"/>
                <w:color w:val="auto"/>
              </w:rPr>
              <w:t>45,642(12)</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245,241</w:t>
            </w:r>
          </w:p>
        </w:tc>
        <w:tc>
          <w:tcPr>
            <w:tcW w:w="122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7"/>
              </w:rPr>
              <w:t>(4)</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G. Robert Lucas(5).......</w:t>
            </w:r>
          </w:p>
        </w:tc>
        <w:tc>
          <w:tcPr>
            <w:tcW w:w="17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2,503(13)</w:t>
            </w:r>
          </w:p>
        </w:tc>
        <w:tc>
          <w:tcPr>
            <w:tcW w:w="252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70,000</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72,503</w:t>
            </w:r>
          </w:p>
        </w:tc>
        <w:tc>
          <w:tcPr>
            <w:tcW w:w="122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7"/>
              </w:rPr>
              <w:t>(4)</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Karen G. Mills...........</w:t>
            </w:r>
          </w:p>
        </w:tc>
        <w:tc>
          <w:tcPr>
            <w:tcW w:w="17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5,000</w:t>
            </w:r>
          </w:p>
        </w:tc>
        <w:tc>
          <w:tcPr>
            <w:tcW w:w="252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26,000</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31,000</w:t>
            </w:r>
          </w:p>
        </w:tc>
        <w:tc>
          <w:tcPr>
            <w:tcW w:w="122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7"/>
              </w:rPr>
              <w:t>(4)</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Jean H. Mordo(5).........</w:t>
            </w:r>
          </w:p>
        </w:tc>
        <w:tc>
          <w:tcPr>
            <w:tcW w:w="17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30,000</w:t>
            </w:r>
          </w:p>
        </w:tc>
        <w:tc>
          <w:tcPr>
            <w:tcW w:w="252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150,000</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180,000</w:t>
            </w:r>
          </w:p>
        </w:tc>
        <w:tc>
          <w:tcPr>
            <w:tcW w:w="122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7"/>
              </w:rPr>
              <w:t>(4)</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Patrick J. Norton........</w:t>
            </w:r>
          </w:p>
        </w:tc>
        <w:tc>
          <w:tcPr>
            <w:tcW w:w="17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5,100(14)</w:t>
            </w:r>
          </w:p>
        </w:tc>
        <w:tc>
          <w:tcPr>
            <w:tcW w:w="252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5,500</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10,600</w:t>
            </w:r>
          </w:p>
        </w:tc>
        <w:tc>
          <w:tcPr>
            <w:tcW w:w="122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7"/>
              </w:rPr>
              <w:t>(4)</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James L. Rogula(5).......</w:t>
            </w:r>
          </w:p>
        </w:tc>
        <w:tc>
          <w:tcPr>
            <w:tcW w:w="17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2,061</w:t>
            </w:r>
          </w:p>
        </w:tc>
        <w:tc>
          <w:tcPr>
            <w:tcW w:w="252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10,000</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12,061</w:t>
            </w:r>
          </w:p>
        </w:tc>
        <w:tc>
          <w:tcPr>
            <w:tcW w:w="122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7"/>
              </w:rPr>
              <w:t>(4)</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John M. Sullivan.........</w:t>
            </w:r>
          </w:p>
        </w:tc>
        <w:tc>
          <w:tcPr>
            <w:tcW w:w="17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1,000</w:t>
            </w:r>
          </w:p>
        </w:tc>
        <w:tc>
          <w:tcPr>
            <w:tcW w:w="252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29,000</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30,000</w:t>
            </w:r>
          </w:p>
        </w:tc>
        <w:tc>
          <w:tcPr>
            <w:tcW w:w="122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7"/>
              </w:rPr>
              <w:t>(4)</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L. Jack Van Fossen.......</w:t>
            </w:r>
          </w:p>
        </w:tc>
        <w:tc>
          <w:tcPr>
            <w:tcW w:w="17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1,200</w:t>
            </w:r>
          </w:p>
        </w:tc>
        <w:tc>
          <w:tcPr>
            <w:tcW w:w="252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30,000</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31,200</w:t>
            </w:r>
          </w:p>
        </w:tc>
        <w:tc>
          <w:tcPr>
            <w:tcW w:w="122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7"/>
              </w:rPr>
              <w:t>(4)</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John Walker, Ph.D. ......</w:t>
            </w:r>
          </w:p>
        </w:tc>
        <w:tc>
          <w:tcPr>
            <w:tcW w:w="178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0</w:t>
            </w:r>
          </w:p>
        </w:tc>
        <w:tc>
          <w:tcPr>
            <w:tcW w:w="252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5,500</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5,500</w:t>
            </w:r>
          </w:p>
        </w:tc>
        <w:tc>
          <w:tcPr>
            <w:tcW w:w="122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7"/>
              </w:rPr>
              <w:t>(4)</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All directors and</w:t>
            </w:r>
          </w:p>
        </w:tc>
        <w:tc>
          <w:tcPr>
            <w:tcW w:w="17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2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executive officers as a</w:t>
            </w:r>
          </w:p>
        </w:tc>
        <w:tc>
          <w:tcPr>
            <w:tcW w:w="17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2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group (27 persons).....</w:t>
            </w:r>
          </w:p>
        </w:tc>
        <w:tc>
          <w:tcPr>
            <w:tcW w:w="17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10,526,332(15)</w:t>
            </w:r>
          </w:p>
        </w:tc>
        <w:tc>
          <w:tcPr>
            <w:tcW w:w="252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4,090,399</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14,616,731</w:t>
            </w:r>
          </w:p>
        </w:tc>
        <w:tc>
          <w:tcPr>
            <w:tcW w:w="1220" w:type="dxa"/>
            <w:vAlign w:val="bottom"/>
          </w:tcPr>
          <w:p>
            <w:pPr>
              <w:jc w:val="center"/>
              <w:ind w:right="382"/>
              <w:spacing w:after="0" w:line="179" w:lineRule="exact"/>
              <w:rPr>
                <w:sz w:val="20"/>
                <w:szCs w:val="20"/>
                <w:color w:val="auto"/>
              </w:rPr>
            </w:pPr>
            <w:r>
              <w:rPr>
                <w:rFonts w:ascii="Courier New" w:cs="Courier New" w:eastAsia="Courier New" w:hAnsi="Courier New"/>
                <w:sz w:val="16"/>
                <w:szCs w:val="16"/>
                <w:color w:val="auto"/>
                <w:w w:val="97"/>
              </w:rPr>
              <w:t>44.83%</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Hagedorn Partnership,</w:t>
            </w:r>
          </w:p>
        </w:tc>
        <w:tc>
          <w:tcPr>
            <w:tcW w:w="17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2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L.P....................</w:t>
            </w:r>
          </w:p>
        </w:tc>
        <w:tc>
          <w:tcPr>
            <w:tcW w:w="17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10,067,578(16)</w:t>
            </w:r>
          </w:p>
        </w:tc>
        <w:tc>
          <w:tcPr>
            <w:tcW w:w="2520" w:type="dxa"/>
            <w:vAlign w:val="bottom"/>
          </w:tcPr>
          <w:p>
            <w:pPr>
              <w:jc w:val="right"/>
              <w:ind w:right="682"/>
              <w:spacing w:after="0" w:line="179" w:lineRule="exact"/>
              <w:rPr>
                <w:sz w:val="20"/>
                <w:szCs w:val="20"/>
                <w:color w:val="auto"/>
              </w:rPr>
            </w:pPr>
            <w:r>
              <w:rPr>
                <w:rFonts w:ascii="Courier New" w:cs="Courier New" w:eastAsia="Courier New" w:hAnsi="Courier New"/>
                <w:sz w:val="16"/>
                <w:szCs w:val="16"/>
                <w:color w:val="auto"/>
              </w:rPr>
              <w:t>3,000,000(16)</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13,067,578</w:t>
            </w:r>
          </w:p>
        </w:tc>
        <w:tc>
          <w:tcPr>
            <w:tcW w:w="1220" w:type="dxa"/>
            <w:vAlign w:val="bottom"/>
          </w:tcPr>
          <w:p>
            <w:pPr>
              <w:jc w:val="center"/>
              <w:ind w:right="382"/>
              <w:spacing w:after="0" w:line="179" w:lineRule="exact"/>
              <w:rPr>
                <w:sz w:val="20"/>
                <w:szCs w:val="20"/>
                <w:color w:val="auto"/>
              </w:rPr>
            </w:pPr>
            <w:r>
              <w:rPr>
                <w:rFonts w:ascii="Courier New" w:cs="Courier New" w:eastAsia="Courier New" w:hAnsi="Courier New"/>
                <w:sz w:val="16"/>
                <w:szCs w:val="16"/>
                <w:color w:val="auto"/>
                <w:w w:val="97"/>
              </w:rPr>
              <w:t>41.47%</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800 Port Washington Blvd.</w:t>
            </w:r>
          </w:p>
        </w:tc>
        <w:tc>
          <w:tcPr>
            <w:tcW w:w="17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Port Washington, NY 11050</w:t>
            </w:r>
          </w:p>
        </w:tc>
        <w:tc>
          <w:tcPr>
            <w:tcW w:w="17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Perry Corp. .............</w:t>
            </w:r>
          </w:p>
        </w:tc>
        <w:tc>
          <w:tcPr>
            <w:tcW w:w="17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1,823,432(17)</w:t>
            </w:r>
          </w:p>
        </w:tc>
        <w:tc>
          <w:tcPr>
            <w:tcW w:w="252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0</w:t>
            </w:r>
          </w:p>
        </w:tc>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1,823,432(17)</w:t>
            </w:r>
          </w:p>
        </w:tc>
        <w:tc>
          <w:tcPr>
            <w:tcW w:w="1220" w:type="dxa"/>
            <w:vAlign w:val="bottom"/>
          </w:tcPr>
          <w:p>
            <w:pPr>
              <w:jc w:val="center"/>
              <w:ind w:right="302"/>
              <w:spacing w:after="0" w:line="179" w:lineRule="exact"/>
              <w:rPr>
                <w:sz w:val="20"/>
                <w:szCs w:val="20"/>
                <w:color w:val="auto"/>
              </w:rPr>
            </w:pPr>
            <w:r>
              <w:rPr>
                <w:rFonts w:ascii="Courier New" w:cs="Courier New" w:eastAsia="Courier New" w:hAnsi="Courier New"/>
                <w:sz w:val="16"/>
                <w:szCs w:val="16"/>
                <w:color w:val="auto"/>
                <w:w w:val="99"/>
              </w:rPr>
              <w:t>6.40%</w:t>
            </w: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Richard Perry</w:t>
            </w:r>
          </w:p>
        </w:tc>
        <w:tc>
          <w:tcPr>
            <w:tcW w:w="17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599 Lexington Avenue</w:t>
            </w:r>
          </w:p>
        </w:tc>
        <w:tc>
          <w:tcPr>
            <w:tcW w:w="17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2500" w:type="dxa"/>
            <w:vAlign w:val="bottom"/>
          </w:tcPr>
          <w:p>
            <w:pPr>
              <w:spacing w:after="0" w:line="179" w:lineRule="exact"/>
              <w:rPr>
                <w:sz w:val="20"/>
                <w:szCs w:val="20"/>
                <w:color w:val="auto"/>
              </w:rPr>
            </w:pPr>
            <w:r>
              <w:rPr>
                <w:rFonts w:ascii="Courier New" w:cs="Courier New" w:eastAsia="Courier New" w:hAnsi="Courier New"/>
                <w:sz w:val="16"/>
                <w:szCs w:val="16"/>
                <w:color w:val="auto"/>
              </w:rPr>
              <w:t>New York, NY 10022</w:t>
            </w:r>
          </w:p>
        </w:tc>
        <w:tc>
          <w:tcPr>
            <w:tcW w:w="17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20" w:type="dxa"/>
            <w:vAlign w:val="bottom"/>
          </w:tcPr>
          <w:p>
            <w:pPr>
              <w:spacing w:after="0"/>
              <w:rPr>
                <w:sz w:val="15"/>
                <w:szCs w:val="15"/>
                <w:color w:val="auto"/>
              </w:rPr>
            </w:pPr>
          </w:p>
        </w:tc>
      </w:tr>
    </w:tbl>
    <w:p>
      <w:pPr>
        <w:spacing w:after="0" w:line="356" w:lineRule="exact"/>
        <w:rPr>
          <w:sz w:val="20"/>
          <w:szCs w:val="20"/>
          <w:color w:val="auto"/>
        </w:rPr>
      </w:pPr>
    </w:p>
    <w:p>
      <w:pPr>
        <w:ind w:left="185" w:hanging="185"/>
        <w:spacing w:after="0"/>
        <w:tabs>
          <w:tab w:leader="none" w:pos="18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3" w:lineRule="exact"/>
        <w:rPr>
          <w:rFonts w:ascii="Courier New" w:cs="Courier New" w:eastAsia="Courier New" w:hAnsi="Courier New"/>
          <w:sz w:val="16"/>
          <w:szCs w:val="16"/>
          <w:color w:val="auto"/>
        </w:rPr>
      </w:pPr>
    </w:p>
    <w:p>
      <w:pPr>
        <w:ind w:left="465" w:right="3339" w:hanging="371"/>
        <w:spacing w:after="0" w:line="296" w:lineRule="auto"/>
        <w:tabs>
          <w:tab w:leader="none" w:pos="465"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beneficial owner has sole voting and dispositive power as to all Common Shares reflected in the table.</w:t>
      </w:r>
    </w:p>
    <w:p>
      <w:pPr>
        <w:spacing w:after="0" w:line="145" w:lineRule="exact"/>
        <w:rPr>
          <w:rFonts w:ascii="Courier New" w:cs="Courier New" w:eastAsia="Courier New" w:hAnsi="Courier New"/>
          <w:sz w:val="14"/>
          <w:szCs w:val="14"/>
          <w:color w:val="auto"/>
        </w:rPr>
      </w:pPr>
    </w:p>
    <w:p>
      <w:pPr>
        <w:ind w:left="465" w:right="2699" w:hanging="371"/>
        <w:spacing w:after="0" w:line="236" w:lineRule="auto"/>
        <w:tabs>
          <w:tab w:leader="none" w:pos="465"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percent of class is based upon the sum of (i) 28,513,006 Common Shares outstanding on December 1, 1999, and (ii) the number of Common Shares as to which the named person has the right to acquire beneficial ownership upon the exercise of options or warrants exercisable within 60 days of September 30, 1999.</w:t>
      </w:r>
    </w:p>
    <w:p>
      <w:pPr>
        <w:spacing w:after="0" w:line="177" w:lineRule="exact"/>
        <w:rPr>
          <w:rFonts w:ascii="Courier New" w:cs="Courier New" w:eastAsia="Courier New" w:hAnsi="Courier New"/>
          <w:sz w:val="16"/>
          <w:szCs w:val="16"/>
          <w:color w:val="auto"/>
        </w:rPr>
      </w:pPr>
    </w:p>
    <w:p>
      <w:pPr>
        <w:ind w:left="465" w:hanging="371"/>
        <w:spacing w:after="0"/>
        <w:tabs>
          <w:tab w:leader="none" w:pos="465"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11,727 Common Shares owned by Dr. Beard's spouse.</w:t>
      </w:r>
    </w:p>
    <w:p>
      <w:pPr>
        <w:spacing w:after="0" w:line="182" w:lineRule="exact"/>
        <w:rPr>
          <w:rFonts w:ascii="Courier New" w:cs="Courier New" w:eastAsia="Courier New" w:hAnsi="Courier New"/>
          <w:sz w:val="16"/>
          <w:szCs w:val="16"/>
          <w:color w:val="auto"/>
        </w:rPr>
      </w:pPr>
    </w:p>
    <w:p>
      <w:pPr>
        <w:ind w:left="465" w:right="2979" w:hanging="371"/>
        <w:spacing w:after="0" w:line="234" w:lineRule="auto"/>
        <w:tabs>
          <w:tab w:leader="none" w:pos="465"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ownership of less than 1% of the outstanding Common Shares of the Company.</w:t>
      </w:r>
    </w:p>
    <w:p>
      <w:pPr>
        <w:sectPr>
          <w:pgSz w:w="11900" w:h="16838" w:orient="portrait"/>
          <w:cols w:equalWidth="0" w:num="1">
            <w:col w:w="10144"/>
          </w:cols>
          <w:pgMar w:left="315" w:top="291" w:right="1440" w:bottom="1440" w:gutter="0" w:footer="0" w:header="0"/>
        </w:sectPr>
      </w:pPr>
    </w:p>
    <w:p>
      <w:pPr>
        <w:spacing w:after="0" w:line="178"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144"/>
          </w:cols>
          <w:pgMar w:left="315" w:top="291" w:right="1440" w:bottom="1440" w:gutter="0" w:footer="0" w:header="0"/>
          <w:type w:val="continuous"/>
        </w:sectPr>
      </w:pPr>
    </w:p>
    <w:bookmarkStart w:id="6" w:name="page7"/>
    <w:bookmarkEnd w:id="6"/>
    <w:p>
      <w:pPr>
        <w:ind w:left="285"/>
        <w:spacing w:after="0"/>
        <w:rPr>
          <w:sz w:val="20"/>
          <w:szCs w:val="20"/>
          <w:color w:val="auto"/>
        </w:rPr>
      </w:pPr>
      <w:r>
        <w:rPr>
          <w:rFonts w:ascii="Courier New" w:cs="Courier New" w:eastAsia="Courier New" w:hAnsi="Courier New"/>
          <w:sz w:val="16"/>
          <w:szCs w:val="16"/>
          <w:color w:val="auto"/>
        </w:rPr>
        <w:t>7</w:t>
      </w:r>
    </w:p>
    <w:p>
      <w:pPr>
        <w:spacing w:after="0" w:line="177" w:lineRule="exact"/>
        <w:rPr>
          <w:sz w:val="20"/>
          <w:szCs w:val="20"/>
          <w:color w:val="auto"/>
        </w:rPr>
      </w:pPr>
    </w:p>
    <w:p>
      <w:pPr>
        <w:ind w:left="465" w:hanging="371"/>
        <w:spacing w:after="0"/>
        <w:tabs>
          <w:tab w:leader="none" w:pos="46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Individual named in the Summary Compensation Table.</w:t>
      </w:r>
    </w:p>
    <w:p>
      <w:pPr>
        <w:spacing w:after="0" w:line="182" w:lineRule="exact"/>
        <w:rPr>
          <w:rFonts w:ascii="Courier New" w:cs="Courier New" w:eastAsia="Courier New" w:hAnsi="Courier New"/>
          <w:sz w:val="16"/>
          <w:szCs w:val="16"/>
          <w:color w:val="auto"/>
        </w:rPr>
      </w:pPr>
    </w:p>
    <w:p>
      <w:pPr>
        <w:ind w:left="465" w:right="2779" w:hanging="371"/>
        <w:spacing w:after="0" w:line="234" w:lineRule="auto"/>
        <w:tabs>
          <w:tab w:leader="none" w:pos="46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1,632 Common Shares allocated to Mr. Berger's account and held by the trustee under the RSP.</w:t>
      </w:r>
    </w:p>
    <w:p>
      <w:pPr>
        <w:spacing w:after="0" w:line="183" w:lineRule="exact"/>
        <w:rPr>
          <w:rFonts w:ascii="Courier New" w:cs="Courier New" w:eastAsia="Courier New" w:hAnsi="Courier New"/>
          <w:sz w:val="16"/>
          <w:szCs w:val="16"/>
          <w:color w:val="auto"/>
        </w:rPr>
      </w:pPr>
    </w:p>
    <w:p>
      <w:pPr>
        <w:ind w:left="465" w:right="2699" w:hanging="371"/>
        <w:spacing w:after="0" w:line="277" w:lineRule="auto"/>
        <w:tabs>
          <w:tab w:leader="none" w:pos="465"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Horace Hagedorn is the father of the general partners of Hagedorn Partnership, L.P., a Delaware limited partnership (the "Hagedorn Partnership"). He is not himself a partner of, and does not have sole or shared voting or dispositive power with respect to any of the Common Shares or Warrants held by, the Hagedorn Partnership. See note (16) below.</w:t>
      </w:r>
    </w:p>
    <w:p>
      <w:pPr>
        <w:spacing w:after="0" w:line="159" w:lineRule="exact"/>
        <w:rPr>
          <w:rFonts w:ascii="Courier New" w:cs="Courier New" w:eastAsia="Courier New" w:hAnsi="Courier New"/>
          <w:sz w:val="14"/>
          <w:szCs w:val="14"/>
          <w:color w:val="auto"/>
        </w:rPr>
      </w:pPr>
    </w:p>
    <w:p>
      <w:pPr>
        <w:ind w:left="465" w:right="2699" w:hanging="371"/>
        <w:spacing w:after="0" w:line="236" w:lineRule="auto"/>
        <w:tabs>
          <w:tab w:leader="none" w:pos="46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James Hagedorn is a general partner of the Hagedorn Partnership and has shared voting and dispositive power with respect to the Common Shares held by the Hagedorn Partnership. See note (16) below. He holds 33,700 Common Shares directly, and 8,186 Common Shares are allocated to his account and held by the trustee under the RSP.</w:t>
      </w:r>
    </w:p>
    <w:p>
      <w:pPr>
        <w:spacing w:after="0" w:line="183" w:lineRule="exact"/>
        <w:rPr>
          <w:rFonts w:ascii="Courier New" w:cs="Courier New" w:eastAsia="Courier New" w:hAnsi="Courier New"/>
          <w:sz w:val="16"/>
          <w:szCs w:val="16"/>
          <w:color w:val="auto"/>
        </w:rPr>
      </w:pPr>
    </w:p>
    <w:p>
      <w:pPr>
        <w:ind w:left="465" w:right="2879" w:hanging="371"/>
        <w:spacing w:after="0" w:line="235" w:lineRule="auto"/>
        <w:tabs>
          <w:tab w:leader="none" w:pos="46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James Hagedorn holds currently exercisable options to purchase 39,000 Common Shares. As a general partner of the Hagedorn Partnership, he has shared voting and dispositive power with respect to the Warrants held by the Hagedorn Partnership.</w:t>
      </w:r>
    </w:p>
    <w:p>
      <w:pPr>
        <w:spacing w:after="0" w:line="179" w:lineRule="exact"/>
        <w:rPr>
          <w:rFonts w:ascii="Courier New" w:cs="Courier New" w:eastAsia="Courier New" w:hAnsi="Courier New"/>
          <w:sz w:val="16"/>
          <w:szCs w:val="16"/>
          <w:color w:val="auto"/>
        </w:rPr>
      </w:pPr>
    </w:p>
    <w:p>
      <w:pPr>
        <w:ind w:left="465" w:hanging="465"/>
        <w:spacing w:after="0"/>
        <w:tabs>
          <w:tab w:leader="none" w:pos="46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1,000 Common Shares owned by Mr. Harris' spouse.</w:t>
      </w:r>
    </w:p>
    <w:p>
      <w:pPr>
        <w:spacing w:after="0" w:line="182" w:lineRule="exact"/>
        <w:rPr>
          <w:rFonts w:ascii="Courier New" w:cs="Courier New" w:eastAsia="Courier New" w:hAnsi="Courier New"/>
          <w:sz w:val="16"/>
          <w:szCs w:val="16"/>
          <w:color w:val="auto"/>
        </w:rPr>
      </w:pPr>
    </w:p>
    <w:p>
      <w:pPr>
        <w:ind w:left="465" w:right="2779" w:hanging="465"/>
        <w:spacing w:after="0" w:line="234" w:lineRule="auto"/>
        <w:tabs>
          <w:tab w:leader="none" w:pos="46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6,652 Common Shares allocated to Mr. Kenlon's account and held by the trustee under the RSP.</w:t>
      </w:r>
    </w:p>
    <w:p>
      <w:pPr>
        <w:spacing w:after="0" w:line="183" w:lineRule="exact"/>
        <w:rPr>
          <w:rFonts w:ascii="Courier New" w:cs="Courier New" w:eastAsia="Courier New" w:hAnsi="Courier New"/>
          <w:sz w:val="16"/>
          <w:szCs w:val="16"/>
          <w:color w:val="auto"/>
        </w:rPr>
      </w:pPr>
    </w:p>
    <w:p>
      <w:pPr>
        <w:ind w:left="465" w:right="2699" w:hanging="465"/>
        <w:spacing w:after="0" w:line="274" w:lineRule="auto"/>
        <w:tabs>
          <w:tab w:leader="none" w:pos="465"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Kenlon owns Warrants to purchase 6,642 Common Shares. Each of Mr. Kenlon's four children beneficially owns Warrants to purchase an additional 15,000 Common Shares, for which Mr. Kenlon disclaims beneficial ownership. The Hagedorn Partnership has the right to vote, and a right of first refusal with respect to, the Company's securities received by Mr. Kenlon and his children pursuant to the Merger Agreement described below (192,947 Common Shares presently held by Mr. Kenlon and Warrants to purchase an aggregate of 66,642 Common Shares). See note (16) below. Mr. Kenlon also holds currently exercisable options to purchase 39,000 Common Shares.</w:t>
      </w:r>
    </w:p>
    <w:p>
      <w:pPr>
        <w:spacing w:after="0" w:line="342" w:lineRule="exact"/>
        <w:rPr>
          <w:rFonts w:ascii="Courier New" w:cs="Courier New" w:eastAsia="Courier New" w:hAnsi="Courier New"/>
          <w:sz w:val="14"/>
          <w:szCs w:val="14"/>
          <w:color w:val="auto"/>
        </w:rPr>
      </w:pPr>
    </w:p>
    <w:p>
      <w:pPr>
        <w:ind w:left="465" w:right="2779" w:hanging="465"/>
        <w:spacing w:after="0" w:line="235" w:lineRule="auto"/>
        <w:tabs>
          <w:tab w:leader="none" w:pos="46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200 Common Shares owned by Mr. Lucas' spouse, 2,000 Common Shares held in a broker retirement account on behalf of Mr. Lucas and 303 Common Shares allocated to Mr. Lucas' account and held by the trustee under the RSP.</w:t>
      </w:r>
    </w:p>
    <w:p>
      <w:pPr>
        <w:spacing w:after="0" w:line="179" w:lineRule="exact"/>
        <w:rPr>
          <w:rFonts w:ascii="Courier New" w:cs="Courier New" w:eastAsia="Courier New" w:hAnsi="Courier New"/>
          <w:sz w:val="16"/>
          <w:szCs w:val="16"/>
          <w:color w:val="auto"/>
        </w:rPr>
      </w:pPr>
    </w:p>
    <w:p>
      <w:pPr>
        <w:ind w:left="465" w:hanging="465"/>
        <w:spacing w:after="0"/>
        <w:tabs>
          <w:tab w:leader="none" w:pos="46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100 Common Shares owned by Mr. Norton's spouse.</w:t>
      </w:r>
    </w:p>
    <w:p>
      <w:pPr>
        <w:spacing w:after="0" w:line="182" w:lineRule="exact"/>
        <w:rPr>
          <w:rFonts w:ascii="Courier New" w:cs="Courier New" w:eastAsia="Courier New" w:hAnsi="Courier New"/>
          <w:sz w:val="16"/>
          <w:szCs w:val="16"/>
          <w:color w:val="auto"/>
        </w:rPr>
      </w:pPr>
    </w:p>
    <w:p>
      <w:pPr>
        <w:ind w:left="465" w:right="2699" w:hanging="465"/>
        <w:spacing w:after="0" w:line="236" w:lineRule="auto"/>
        <w:tabs>
          <w:tab w:leader="none" w:pos="46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notes (3) and (6) through (14) above and note (16) below. Also includes Common Shares held by the respective spouses of executive officers of the Company and by their children who live with them; and Common Shares allocated to the accounts of executive officers and held by the trustee under the RSP. Excludes any Common Shares attributable to the named person's account in The Scotts Company Executive Retirement Plan (the "Executive Plan"), because the named person has no voting or dispositive power with respect to the portion of his account attributed to Common Shares of the Company.</w:t>
      </w:r>
    </w:p>
    <w:p>
      <w:pPr>
        <w:spacing w:after="0" w:line="186" w:lineRule="exact"/>
        <w:rPr>
          <w:rFonts w:ascii="Courier New" w:cs="Courier New" w:eastAsia="Courier New" w:hAnsi="Courier New"/>
          <w:sz w:val="16"/>
          <w:szCs w:val="16"/>
          <w:color w:val="auto"/>
        </w:rPr>
      </w:pPr>
    </w:p>
    <w:p>
      <w:pPr>
        <w:ind w:left="465" w:right="2699" w:hanging="465"/>
        <w:spacing w:after="0" w:line="270" w:lineRule="auto"/>
        <w:tabs>
          <w:tab w:leader="none" w:pos="465"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Hagedorn Partnership owns 9,869,631 Common Shares, Warrants to purchase 2,933,358 Common Shares, and has the right to vote, and a right of first refusal with respect to, the Company's securities received by Mr. Kenlon and his children pursuant to the Merger Agreement described below. See note</w:t>
      </w:r>
    </w:p>
    <w:p>
      <w:pPr>
        <w:spacing w:after="0" w:line="2" w:lineRule="exact"/>
        <w:rPr>
          <w:rFonts w:ascii="Courier New" w:cs="Courier New" w:eastAsia="Courier New" w:hAnsi="Courier New"/>
          <w:sz w:val="14"/>
          <w:szCs w:val="14"/>
          <w:color w:val="auto"/>
        </w:rPr>
      </w:pPr>
    </w:p>
    <w:p>
      <w:pPr>
        <w:ind w:left="465" w:right="2779" w:firstLine="1"/>
        <w:spacing w:after="0" w:line="236" w:lineRule="auto"/>
        <w:tabs>
          <w:tab w:leader="none" w:pos="93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The general partners of the Hagedorn Partnership are Mr. James Hagedorn, Ms. Katherine Hagedorn Littlefield, Mr. Paul Hagedorn, Mr. Peter Hagedorn, Mr. Robert Hagedorn and Ms. Susan Hagedorn, each of whom is a child of Mr. Horace Hagedorn and a former shareholder of Stern's Miracle-Gro Products, Inc. ("Miracle-Gro Products"). Community Funds, Inc., a New York not-for-profit corporation ("Community Funds"), is a limited partner of the Hagedorn Partnership.</w:t>
      </w:r>
    </w:p>
    <w:p>
      <w:pPr>
        <w:spacing w:after="0" w:line="185" w:lineRule="exact"/>
        <w:rPr>
          <w:sz w:val="20"/>
          <w:szCs w:val="20"/>
          <w:color w:val="auto"/>
        </w:rPr>
      </w:pPr>
    </w:p>
    <w:p>
      <w:pPr>
        <w:ind w:left="465" w:right="2779"/>
        <w:spacing w:after="0" w:line="236" w:lineRule="auto"/>
        <w:rPr>
          <w:sz w:val="20"/>
          <w:szCs w:val="20"/>
          <w:color w:val="auto"/>
        </w:rPr>
      </w:pPr>
      <w:r>
        <w:rPr>
          <w:rFonts w:ascii="Courier New" w:cs="Courier New" w:eastAsia="Courier New" w:hAnsi="Courier New"/>
          <w:sz w:val="16"/>
          <w:szCs w:val="16"/>
          <w:color w:val="auto"/>
        </w:rPr>
        <w:t>The Amended and Restated Agreement and Plan of Merger, dated as of May 19, 1995 (the "Merger Agreement"), among the Company, ZYX Corporation, Miracle-Gro Products, Stern's Nurseries, Inc., Miracle-Gro Lawn Products Limited, the Hagedorn Partnership, the general partners of the Hagedorn Partnership, Horace Hagedorn, Community Funds and John Kenlon, as amended by the First Amendment to Amended and Restated Agreement and Plan of Merger, dated as of October 1, 1999 (the "First Amendment"), limits the ability of the Hagedorn Partnership, Community Funds, Horace Hagedorn and John Kenlon (the "Miracle-Gro Shareholders") to acquire additional voting securities of the Company. See "-- The Merger Agreement and the First Amendment" below.</w:t>
      </w:r>
    </w:p>
    <w:p>
      <w:pPr>
        <w:sectPr>
          <w:pgSz w:w="11900" w:h="16838" w:orient="portrait"/>
          <w:cols w:equalWidth="0" w:num="1">
            <w:col w:w="10144"/>
          </w:cols>
          <w:pgMar w:left="315" w:top="291" w:right="1440" w:bottom="1440" w:gutter="0" w:footer="0" w:header="0"/>
        </w:sectPr>
      </w:pPr>
    </w:p>
    <w:p>
      <w:pPr>
        <w:spacing w:after="0" w:line="182"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144"/>
          </w:cols>
          <w:pgMar w:left="315" w:top="291"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183" w:lineRule="exact"/>
        <w:rPr>
          <w:sz w:val="20"/>
          <w:szCs w:val="20"/>
          <w:color w:val="auto"/>
        </w:rPr>
      </w:pPr>
    </w:p>
    <w:p>
      <w:pPr>
        <w:ind w:left="560" w:right="2879" w:hanging="471"/>
        <w:spacing w:after="0" w:line="236" w:lineRule="auto"/>
        <w:tabs>
          <w:tab w:leader="none" w:pos="5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contained in Amendment No. 1 to Schedule 13G, dated February 16, 1999, as of December 31, 1998, Perry Corp., a New York corporation, has sole voting and dispositive power with respect to 1,823,432 Common Shares of the Company. Perry Corp. is a private investment firm, and Richard C. Perry is the President and sole stockholder of Perry Corp.</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MERGER AGREEMENT AND THE FIRST AMENDMENT</w:t>
      </w:r>
    </w:p>
    <w:p>
      <w:pPr>
        <w:spacing w:after="0" w:line="183" w:lineRule="exact"/>
        <w:rPr>
          <w:sz w:val="20"/>
          <w:szCs w:val="20"/>
          <w:color w:val="auto"/>
        </w:rPr>
      </w:pPr>
    </w:p>
    <w:p>
      <w:pPr>
        <w:ind w:right="2699" w:firstLine="466"/>
        <w:spacing w:after="0" w:line="272" w:lineRule="auto"/>
        <w:rPr>
          <w:sz w:val="20"/>
          <w:szCs w:val="20"/>
          <w:color w:val="auto"/>
        </w:rPr>
      </w:pPr>
      <w:r>
        <w:rPr>
          <w:rFonts w:ascii="Courier New" w:cs="Courier New" w:eastAsia="Courier New" w:hAnsi="Courier New"/>
          <w:sz w:val="14"/>
          <w:szCs w:val="14"/>
          <w:color w:val="auto"/>
        </w:rPr>
        <w:t>In connection with the transactions contemplated by the Merger Agreement, the Hagedorn Partnership, Horace Hagedorn and John Kenlon acquired an aggregate of 195,000 shares of Class A Convertible Preferred Stock, without par value (the "Convertible Preferred Stock"), of the Company. On April 27, 1999, John Kenlon converted 571 shares of Convertible Preferred Stock into 30,051 Common Shares, and on August 30, 1999, the Hagedorn Partnership converted 3,135 shares of Convertible Preferred Stock into 164,995 Common Shares. Effective October 1, 1999, the Hagedorn Partnership, Horace Hagedorn and John Kenlon converted the remainder of their shares of Convertible Preferred Stock into 10,068,104 Common Shares in accordance with the terms of the First Amendment. In exchange for this early conversion, those shareholders received an aggregate amount of approximately $6.4 million, representing the amount of the dividends on the Convertible Preferred Stock that would have otherwise been payable through May 2000. Under the First Amendment, the Company also agreed to accelerate, from May 2000 (the month during which the Convertible Preferred Stock could first be redeemed by the Company) to October 1, 1999, the termination of certain of the standstill provisions in the Merger Agreement.</w:t>
      </w:r>
    </w:p>
    <w:p>
      <w:pPr>
        <w:spacing w:after="0" w:line="200" w:lineRule="exact"/>
        <w:rPr>
          <w:sz w:val="20"/>
          <w:szCs w:val="20"/>
          <w:color w:val="auto"/>
        </w:rPr>
      </w:pPr>
    </w:p>
    <w:p>
      <w:pPr>
        <w:spacing w:after="0" w:line="327" w:lineRule="exact"/>
        <w:rPr>
          <w:sz w:val="20"/>
          <w:szCs w:val="20"/>
          <w:color w:val="auto"/>
        </w:rPr>
      </w:pPr>
    </w:p>
    <w:p>
      <w:pPr>
        <w:ind w:right="2699" w:firstLine="466"/>
        <w:spacing w:after="0" w:line="273" w:lineRule="auto"/>
        <w:rPr>
          <w:sz w:val="20"/>
          <w:szCs w:val="20"/>
          <w:color w:val="auto"/>
        </w:rPr>
      </w:pPr>
      <w:r>
        <w:rPr>
          <w:rFonts w:ascii="Courier New" w:cs="Courier New" w:eastAsia="Courier New" w:hAnsi="Courier New"/>
          <w:sz w:val="14"/>
          <w:szCs w:val="14"/>
          <w:color w:val="auto"/>
        </w:rPr>
        <w:t>Under the terms of the First Amendment, the voting and transfer restrictions on the Miracle-Gro Shareholders contained in the Merger Agreement terminated as of October 1, 1999. The limitations on the ability of the Miracle-Gro Shareholders to acquire additional voting securities of the Company contained in the Merger Agreement also terminated as of October 1, 1999, except for the restriction under which the Miracle-Gro Shareholders may not acquire, directly or indirectly, beneficial ownership of Voting Stock (as that term is defined in the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the Company other than the Miracle-Gro Shareholders and their affiliates and associates.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83" w:lineRule="exact"/>
        <w:rPr>
          <w:sz w:val="20"/>
          <w:szCs w:val="20"/>
          <w:color w:val="auto"/>
        </w:rPr>
      </w:pPr>
    </w:p>
    <w:p>
      <w:pPr>
        <w:ind w:right="2699" w:firstLine="466"/>
        <w:spacing w:after="0" w:line="236" w:lineRule="auto"/>
        <w:rPr>
          <w:sz w:val="20"/>
          <w:szCs w:val="20"/>
          <w:color w:val="auto"/>
        </w:rPr>
      </w:pPr>
      <w:r>
        <w:rPr>
          <w:rFonts w:ascii="Courier New" w:cs="Courier New" w:eastAsia="Courier New" w:hAnsi="Courier New"/>
          <w:sz w:val="16"/>
          <w:szCs w:val="16"/>
          <w:color w:val="auto"/>
        </w:rPr>
        <w:t>Mr. James Hagedorn, an executive officer and director of the Company, Mr. John Kenlon, a director of the Company and a former executive officer of the Company, and Mr. Horace Hagedorn, a director of the Company, each filed an amended Form 3 during the fiscal year ended September 30, 1999 (the "1999 fiscal year") in order to report beneficial ownership of derivative securities of the Company which were inadvertently omitted from their respective original Form 3's filed in July 1995.</w:t>
      </w:r>
    </w:p>
    <w:p>
      <w:pPr>
        <w:spacing w:after="0" w:line="179"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PROPOSAL NO. 1</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ELECTION OF DIRECTORS</w:t>
      </w:r>
    </w:p>
    <w:p>
      <w:pPr>
        <w:spacing w:after="0" w:line="183" w:lineRule="exact"/>
        <w:rPr>
          <w:sz w:val="20"/>
          <w:szCs w:val="20"/>
          <w:color w:val="auto"/>
        </w:rPr>
      </w:pPr>
    </w:p>
    <w:p>
      <w:pPr>
        <w:ind w:right="2699" w:firstLine="466"/>
        <w:spacing w:after="0" w:line="274" w:lineRule="auto"/>
        <w:rPr>
          <w:sz w:val="20"/>
          <w:szCs w:val="20"/>
          <w:color w:val="auto"/>
        </w:rPr>
      </w:pPr>
      <w:r>
        <w:rPr>
          <w:rFonts w:ascii="Courier New" w:cs="Courier New" w:eastAsia="Courier New" w:hAnsi="Courier New"/>
          <w:sz w:val="14"/>
          <w:szCs w:val="14"/>
          <w:color w:val="auto"/>
        </w:rPr>
        <w:t>Pursuant to the Code of Regulations of the Company, the Board of Directors has set the authorized number of directors at 12, divided into three classes with regular three-year staggered terms. The election of each class of directors is a separate election. The four Class II directors hold office for terms expiring at the Annual Meeting, the four Class III directors hold office for terms expiring in 2001, and the four Class I directors hold office for terms expiring in 2002. James B Beard, Ph.D., a Class II director, has chosen to retire and has withdrawn from re-nomination as a Class II director.</w:t>
      </w:r>
    </w:p>
    <w:p>
      <w:pPr>
        <w:spacing w:after="0" w:line="163" w:lineRule="exact"/>
        <w:rPr>
          <w:sz w:val="20"/>
          <w:szCs w:val="20"/>
          <w:color w:val="auto"/>
        </w:rPr>
      </w:pPr>
    </w:p>
    <w:p>
      <w:pPr>
        <w:ind w:right="2699" w:firstLine="466"/>
        <w:spacing w:after="0" w:line="236" w:lineRule="auto"/>
        <w:rPr>
          <w:sz w:val="20"/>
          <w:szCs w:val="20"/>
          <w:color w:val="auto"/>
        </w:rPr>
      </w:pPr>
      <w:r>
        <w:rPr>
          <w:rFonts w:ascii="Courier New" w:cs="Courier New" w:eastAsia="Courier New" w:hAnsi="Courier New"/>
          <w:sz w:val="16"/>
          <w:szCs w:val="16"/>
          <w:color w:val="auto"/>
        </w:rPr>
        <w:t>As a result of the retirement of Dr. Beard, a vacancy will be created in Class II and on the Audit Committee of the Board as of the Annual Meeting date. As of the date of this Proxy Statement, no person has been selected by the Board of Directors to fill the vacancy in Class II. The Board of Directors does not contemplate selection of an individual to fill the vacancy in Class II until such time as the Nominating and Board Governance Committee makes a recommendation to the Board with respect to the nominee, after the conclusion of a pending evaluation</w:t>
      </w:r>
    </w:p>
    <w:p>
      <w:pPr>
        <w:sectPr>
          <w:pgSz w:w="11900" w:h="16838" w:orient="portrait"/>
          <w:cols w:equalWidth="0" w:num="1">
            <w:col w:w="10139"/>
          </w:cols>
          <w:pgMar w:left="320" w:top="291" w:right="1440" w:bottom="1440" w:gutter="0" w:footer="0" w:header="0"/>
        </w:sectPr>
      </w:pP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139"/>
          </w:cols>
          <w:pgMar w:left="320" w:top="291" w:right="1440" w:bottom="144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183" w:lineRule="exact"/>
        <w:rPr>
          <w:sz w:val="20"/>
          <w:szCs w:val="20"/>
          <w:color w:val="auto"/>
        </w:rPr>
      </w:pPr>
    </w:p>
    <w:p>
      <w:pPr>
        <w:ind w:right="2699"/>
        <w:spacing w:after="0" w:line="236" w:lineRule="auto"/>
        <w:rPr>
          <w:sz w:val="20"/>
          <w:szCs w:val="20"/>
          <w:color w:val="auto"/>
        </w:rPr>
      </w:pPr>
      <w:r>
        <w:rPr>
          <w:rFonts w:ascii="Courier New" w:cs="Courier New" w:eastAsia="Courier New" w:hAnsi="Courier New"/>
          <w:sz w:val="16"/>
          <w:szCs w:val="16"/>
          <w:color w:val="auto"/>
        </w:rPr>
        <w:t>of qualified candidates. Upon the conclusion of such search, the Board, pursuant to Ohio law and the Company's Code of Regulations, will fill the vacancy in Class II for the remainder of the unexpired term. The proxies cannot be voted for more than three nominees for election as Class II directors at the Annual Meeting.</w:t>
      </w:r>
    </w:p>
    <w:p>
      <w:pPr>
        <w:spacing w:after="0" w:line="183" w:lineRule="exact"/>
        <w:rPr>
          <w:sz w:val="20"/>
          <w:szCs w:val="20"/>
          <w:color w:val="auto"/>
        </w:rPr>
      </w:pPr>
    </w:p>
    <w:p>
      <w:pPr>
        <w:ind w:right="2699" w:firstLine="466"/>
        <w:spacing w:after="0" w:line="236" w:lineRule="auto"/>
        <w:rPr>
          <w:sz w:val="20"/>
          <w:szCs w:val="20"/>
          <w:color w:val="auto"/>
        </w:rPr>
      </w:pPr>
      <w:r>
        <w:rPr>
          <w:rFonts w:ascii="Courier New" w:cs="Courier New" w:eastAsia="Courier New" w:hAnsi="Courier New"/>
          <w:sz w:val="16"/>
          <w:szCs w:val="16"/>
          <w:color w:val="auto"/>
        </w:rPr>
        <w:t>The Board of Directors proposes that the three nominees identified below be elected to Class II for a new term to expire at the Annual Meeting of Shareholders to be held in 2003 and until their successors are duly elected and qualified, or until their earlier death, resignation or removal. The Board of Directors has no reason to believe that any of the nominees will not serve if elected, but if any of them should become unavailable to serve as a director, and if the Board designates a substitute nominee, the persons named in the accompanying proxy card will vote for the substitute nominee designated by the Board of Directors.</w:t>
      </w:r>
    </w:p>
    <w:p>
      <w:pPr>
        <w:spacing w:after="0" w:line="187" w:lineRule="exact"/>
        <w:rPr>
          <w:sz w:val="20"/>
          <w:szCs w:val="20"/>
          <w:color w:val="auto"/>
        </w:rPr>
      </w:pPr>
    </w:p>
    <w:p>
      <w:pPr>
        <w:ind w:right="2879" w:firstLine="466"/>
        <w:spacing w:after="0" w:line="236" w:lineRule="auto"/>
        <w:rPr>
          <w:sz w:val="20"/>
          <w:szCs w:val="20"/>
          <w:color w:val="auto"/>
        </w:rPr>
      </w:pPr>
      <w:r>
        <w:rPr>
          <w:rFonts w:ascii="Courier New" w:cs="Courier New" w:eastAsia="Courier New" w:hAnsi="Courier New"/>
          <w:sz w:val="16"/>
          <w:szCs w:val="16"/>
          <w:color w:val="auto"/>
        </w:rPr>
        <w:t>The following information, as of December 1, 1999, with respect to the principal occupation or employment, other affiliations and business experience of each director during the last five years, has been furnished to the Company by each director. Except where indicated, each director has had the same principal occupation for the last five years.</w:t>
      </w:r>
    </w:p>
    <w:p>
      <w:pPr>
        <w:spacing w:after="0" w:line="17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NOMINEES STANDING FOR RE-ELECTION TO THE BOARD OF DIRECTORS</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CLASS II -- TERMS TO EXPIRE AT THE 2003 ANNUAL MEETING</w:t>
      </w:r>
    </w:p>
    <w:p>
      <w:pPr>
        <w:spacing w:after="0" w:line="200" w:lineRule="exact"/>
        <w:rPr>
          <w:sz w:val="20"/>
          <w:szCs w:val="20"/>
          <w:color w:val="auto"/>
        </w:rPr>
      </w:pPr>
    </w:p>
    <w:p>
      <w:pPr>
        <w:spacing w:after="0" w:line="335"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6"/>
          <w:szCs w:val="16"/>
          <w:color w:val="auto"/>
        </w:rPr>
        <w:t>[JOHN KENLON PHOTO]</w:t>
      </w:r>
      <w:r>
        <w:rPr>
          <w:sz w:val="20"/>
          <w:szCs w:val="20"/>
          <w:color w:val="auto"/>
        </w:rPr>
        <w:tab/>
      </w:r>
      <w:r>
        <w:rPr>
          <w:rFonts w:ascii="Courier New" w:cs="Courier New" w:eastAsia="Courier New" w:hAnsi="Courier New"/>
          <w:sz w:val="14"/>
          <w:szCs w:val="14"/>
          <w:color w:val="auto"/>
        </w:rPr>
        <w:t>John Kenlon, age 68, Retired Senior Vice President, Consumer</w:t>
      </w:r>
    </w:p>
    <w:p>
      <w:pPr>
        <w:spacing w:after="0" w:line="4" w:lineRule="exact"/>
        <w:rPr>
          <w:sz w:val="20"/>
          <w:szCs w:val="20"/>
          <w:color w:val="auto"/>
        </w:rPr>
      </w:pPr>
    </w:p>
    <w:p>
      <w:pPr>
        <w:ind w:left="2320" w:right="2499"/>
        <w:spacing w:after="0" w:line="234" w:lineRule="auto"/>
        <w:rPr>
          <w:sz w:val="20"/>
          <w:szCs w:val="20"/>
          <w:color w:val="auto"/>
        </w:rPr>
      </w:pPr>
      <w:r>
        <w:rPr>
          <w:rFonts w:ascii="Courier New" w:cs="Courier New" w:eastAsia="Courier New" w:hAnsi="Courier New"/>
          <w:sz w:val="16"/>
          <w:szCs w:val="16"/>
          <w:color w:val="auto"/>
        </w:rPr>
        <w:t>Gardens Group, of the Company and Director of the Company since 1995</w:t>
      </w:r>
    </w:p>
    <w:p>
      <w:pPr>
        <w:spacing w:after="0" w:line="17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Mr. Kenlon was named Senior Vice President,</w:t>
      </w:r>
    </w:p>
    <w:p>
      <w:pPr>
        <w:ind w:left="2780"/>
        <w:spacing w:after="0" w:line="237" w:lineRule="auto"/>
        <w:rPr>
          <w:sz w:val="20"/>
          <w:szCs w:val="20"/>
          <w:color w:val="auto"/>
        </w:rPr>
      </w:pPr>
      <w:r>
        <w:rPr>
          <w:rFonts w:ascii="Courier New" w:cs="Courier New" w:eastAsia="Courier New" w:hAnsi="Courier New"/>
          <w:sz w:val="16"/>
          <w:szCs w:val="16"/>
          <w:color w:val="auto"/>
        </w:rPr>
        <w:t>Consumer Gardens Group, of the Company, in May</w:t>
      </w:r>
    </w:p>
    <w:p>
      <w:pPr>
        <w:ind w:left="2780"/>
        <w:spacing w:after="0" w:line="237" w:lineRule="auto"/>
        <w:rPr>
          <w:sz w:val="20"/>
          <w:szCs w:val="20"/>
          <w:color w:val="auto"/>
        </w:rPr>
      </w:pPr>
      <w:r>
        <w:rPr>
          <w:rFonts w:ascii="Courier New" w:cs="Courier New" w:eastAsia="Courier New" w:hAnsi="Courier New"/>
          <w:sz w:val="16"/>
          <w:szCs w:val="16"/>
          <w:color w:val="auto"/>
        </w:rPr>
        <w:t>1999, a change to make titles uniform within the</w:t>
      </w:r>
    </w:p>
    <w:p>
      <w:pPr>
        <w:ind w:left="2780"/>
        <w:spacing w:after="0" w:line="237" w:lineRule="auto"/>
        <w:rPr>
          <w:sz w:val="20"/>
          <w:szCs w:val="20"/>
          <w:color w:val="auto"/>
        </w:rPr>
      </w:pPr>
      <w:r>
        <w:rPr>
          <w:rFonts w:ascii="Courier New" w:cs="Courier New" w:eastAsia="Courier New" w:hAnsi="Courier New"/>
          <w:sz w:val="16"/>
          <w:szCs w:val="16"/>
          <w:color w:val="auto"/>
        </w:rPr>
        <w:t>executive team of the Company. He was previously</w:t>
      </w:r>
    </w:p>
    <w:p>
      <w:pPr>
        <w:ind w:left="2780"/>
        <w:spacing w:after="0" w:line="237" w:lineRule="auto"/>
        <w:rPr>
          <w:sz w:val="20"/>
          <w:szCs w:val="20"/>
          <w:color w:val="auto"/>
        </w:rPr>
      </w:pPr>
      <w:r>
        <w:rPr>
          <w:rFonts w:ascii="Courier New" w:cs="Courier New" w:eastAsia="Courier New" w:hAnsi="Courier New"/>
          <w:sz w:val="16"/>
          <w:szCs w:val="16"/>
          <w:color w:val="auto"/>
        </w:rPr>
        <w:t>President, Consumer Gardens Group, of the Company,</w:t>
      </w:r>
    </w:p>
    <w:p>
      <w:pPr>
        <w:ind w:left="2780"/>
        <w:spacing w:after="0" w:line="237" w:lineRule="auto"/>
        <w:rPr>
          <w:sz w:val="20"/>
          <w:szCs w:val="20"/>
          <w:color w:val="auto"/>
        </w:rPr>
      </w:pPr>
      <w:r>
        <w:rPr>
          <w:rFonts w:ascii="Courier New" w:cs="Courier New" w:eastAsia="Courier New" w:hAnsi="Courier New"/>
          <w:sz w:val="16"/>
          <w:szCs w:val="16"/>
          <w:color w:val="auto"/>
        </w:rPr>
        <w:t>from December 1996 until May 1999. He was</w:t>
      </w:r>
    </w:p>
    <w:p>
      <w:pPr>
        <w:ind w:left="2780"/>
        <w:spacing w:after="0" w:line="237" w:lineRule="auto"/>
        <w:rPr>
          <w:sz w:val="20"/>
          <w:szCs w:val="20"/>
          <w:color w:val="auto"/>
        </w:rPr>
      </w:pPr>
      <w:r>
        <w:rPr>
          <w:rFonts w:ascii="Courier New" w:cs="Courier New" w:eastAsia="Courier New" w:hAnsi="Courier New"/>
          <w:sz w:val="16"/>
          <w:szCs w:val="16"/>
          <w:color w:val="auto"/>
        </w:rPr>
        <w:t>previously Chief Operating Officer and President</w:t>
      </w:r>
    </w:p>
    <w:p>
      <w:pPr>
        <w:ind w:left="2780"/>
        <w:spacing w:after="0" w:line="237" w:lineRule="auto"/>
        <w:rPr>
          <w:sz w:val="20"/>
          <w:szCs w:val="20"/>
          <w:color w:val="auto"/>
        </w:rPr>
      </w:pPr>
      <w:r>
        <w:rPr>
          <w:rFonts w:ascii="Courier New" w:cs="Courier New" w:eastAsia="Courier New" w:hAnsi="Courier New"/>
          <w:sz w:val="16"/>
          <w:szCs w:val="16"/>
          <w:color w:val="auto"/>
        </w:rPr>
        <w:t>of Scotts Miracle-Gro Products, Inc. ("Scotts</w:t>
      </w:r>
    </w:p>
    <w:p>
      <w:pPr>
        <w:ind w:left="2780"/>
        <w:spacing w:after="0" w:line="237" w:lineRule="auto"/>
        <w:rPr>
          <w:sz w:val="20"/>
          <w:szCs w:val="20"/>
          <w:color w:val="auto"/>
        </w:rPr>
      </w:pPr>
      <w:r>
        <w:rPr>
          <w:rFonts w:ascii="Courier New" w:cs="Courier New" w:eastAsia="Courier New" w:hAnsi="Courier New"/>
          <w:sz w:val="16"/>
          <w:szCs w:val="16"/>
          <w:color w:val="auto"/>
        </w:rPr>
        <w:t>Miracle-Gro"), since May 1995. Mr. Kenlon was the</w:t>
      </w:r>
    </w:p>
    <w:p>
      <w:pPr>
        <w:ind w:left="2780"/>
        <w:spacing w:after="0" w:line="237" w:lineRule="auto"/>
        <w:rPr>
          <w:sz w:val="20"/>
          <w:szCs w:val="20"/>
          <w:color w:val="auto"/>
        </w:rPr>
      </w:pPr>
      <w:r>
        <w:rPr>
          <w:rFonts w:ascii="Courier New" w:cs="Courier New" w:eastAsia="Courier New" w:hAnsi="Courier New"/>
          <w:sz w:val="16"/>
          <w:szCs w:val="16"/>
          <w:color w:val="auto"/>
        </w:rPr>
        <w:t>President of Miracle-Gro Products from 1985 until</w:t>
      </w:r>
    </w:p>
    <w:p>
      <w:pPr>
        <w:ind w:left="2780"/>
        <w:spacing w:after="0" w:line="238" w:lineRule="auto"/>
        <w:rPr>
          <w:sz w:val="20"/>
          <w:szCs w:val="20"/>
          <w:color w:val="auto"/>
        </w:rPr>
      </w:pPr>
      <w:r>
        <w:rPr>
          <w:rFonts w:ascii="Courier New" w:cs="Courier New" w:eastAsia="Courier New" w:hAnsi="Courier New"/>
          <w:sz w:val="16"/>
          <w:szCs w:val="16"/>
          <w:color w:val="auto"/>
        </w:rPr>
        <w:t>May 1995. Mr. Kenlon began his association with</w:t>
      </w:r>
    </w:p>
    <w:p>
      <w:pPr>
        <w:ind w:left="2780"/>
        <w:spacing w:after="0" w:line="237" w:lineRule="auto"/>
        <w:rPr>
          <w:sz w:val="20"/>
          <w:szCs w:val="20"/>
          <w:color w:val="auto"/>
        </w:rPr>
      </w:pPr>
      <w:r>
        <w:rPr>
          <w:rFonts w:ascii="Courier New" w:cs="Courier New" w:eastAsia="Courier New" w:hAnsi="Courier New"/>
          <w:sz w:val="16"/>
          <w:szCs w:val="16"/>
          <w:color w:val="auto"/>
        </w:rPr>
        <w:t>the Miracle-Gro companies in 1960. Mr. Kenlon</w:t>
      </w:r>
    </w:p>
    <w:p>
      <w:pPr>
        <w:ind w:left="2780"/>
        <w:spacing w:after="0" w:line="237" w:lineRule="auto"/>
        <w:rPr>
          <w:sz w:val="20"/>
          <w:szCs w:val="20"/>
          <w:color w:val="auto"/>
        </w:rPr>
      </w:pPr>
      <w:r>
        <w:rPr>
          <w:rFonts w:ascii="Courier New" w:cs="Courier New" w:eastAsia="Courier New" w:hAnsi="Courier New"/>
          <w:sz w:val="16"/>
          <w:szCs w:val="16"/>
          <w:color w:val="auto"/>
        </w:rPr>
        <w:t>retired as an officer of the Company, effective</w:t>
      </w:r>
    </w:p>
    <w:p>
      <w:pPr>
        <w:ind w:left="2780"/>
        <w:spacing w:after="0" w:line="237" w:lineRule="auto"/>
        <w:rPr>
          <w:sz w:val="20"/>
          <w:szCs w:val="20"/>
          <w:color w:val="auto"/>
        </w:rPr>
      </w:pPr>
      <w:r>
        <w:rPr>
          <w:rFonts w:ascii="Courier New" w:cs="Courier New" w:eastAsia="Courier New" w:hAnsi="Courier New"/>
          <w:sz w:val="16"/>
          <w:szCs w:val="16"/>
          <w:color w:val="auto"/>
        </w:rPr>
        <w:t>December 31, 1999, but remains a member of the</w:t>
      </w:r>
    </w:p>
    <w:p>
      <w:pPr>
        <w:ind w:left="2780"/>
        <w:spacing w:after="0" w:line="237" w:lineRule="auto"/>
        <w:rPr>
          <w:sz w:val="20"/>
          <w:szCs w:val="20"/>
          <w:color w:val="auto"/>
        </w:rPr>
      </w:pPr>
      <w:r>
        <w:rPr>
          <w:rFonts w:ascii="Courier New" w:cs="Courier New" w:eastAsia="Courier New" w:hAnsi="Courier New"/>
          <w:sz w:val="16"/>
          <w:szCs w:val="16"/>
          <w:color w:val="auto"/>
        </w:rPr>
        <w:t>Board of Directors.</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Committee Membership: None at this time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M. SULLIVAN PHOTO] John M. Sullivan, age 64, Director of the Company since 1994</w:t>
      </w:r>
    </w:p>
    <w:p>
      <w:pPr>
        <w:spacing w:after="0" w:line="19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Mr. Sullivan serves as a director of Rental</w:t>
      </w:r>
    </w:p>
    <w:p>
      <w:pPr>
        <w:ind w:left="2780"/>
        <w:spacing w:after="0" w:line="237" w:lineRule="auto"/>
        <w:rPr>
          <w:sz w:val="20"/>
          <w:szCs w:val="20"/>
          <w:color w:val="auto"/>
        </w:rPr>
      </w:pPr>
      <w:r>
        <w:rPr>
          <w:rFonts w:ascii="Courier New" w:cs="Courier New" w:eastAsia="Courier New" w:hAnsi="Courier New"/>
          <w:sz w:val="16"/>
          <w:szCs w:val="16"/>
          <w:color w:val="auto"/>
        </w:rPr>
        <w:t>Services Corp. Mr. Sullivan is also an independent</w:t>
      </w:r>
    </w:p>
    <w:p>
      <w:pPr>
        <w:ind w:left="2780"/>
        <w:spacing w:after="0" w:line="237" w:lineRule="auto"/>
        <w:rPr>
          <w:sz w:val="20"/>
          <w:szCs w:val="20"/>
          <w:color w:val="auto"/>
        </w:rPr>
      </w:pPr>
      <w:r>
        <w:rPr>
          <w:rFonts w:ascii="Courier New" w:cs="Courier New" w:eastAsia="Courier New" w:hAnsi="Courier New"/>
          <w:sz w:val="16"/>
          <w:szCs w:val="16"/>
          <w:color w:val="auto"/>
        </w:rPr>
        <w:t>director for various privately-held companies,</w:t>
      </w:r>
    </w:p>
    <w:p>
      <w:pPr>
        <w:ind w:left="2780"/>
        <w:spacing w:after="0" w:line="237" w:lineRule="auto"/>
        <w:rPr>
          <w:sz w:val="20"/>
          <w:szCs w:val="20"/>
          <w:color w:val="auto"/>
        </w:rPr>
      </w:pPr>
      <w:r>
        <w:rPr>
          <w:rFonts w:ascii="Courier New" w:cs="Courier New" w:eastAsia="Courier New" w:hAnsi="Courier New"/>
          <w:sz w:val="16"/>
          <w:szCs w:val="16"/>
          <w:color w:val="auto"/>
        </w:rPr>
        <w:t>including Bell Sports, Inc. and Silver Cinemas</w:t>
      </w:r>
    </w:p>
    <w:p>
      <w:pPr>
        <w:ind w:left="2780"/>
        <w:spacing w:after="0" w:line="237" w:lineRule="auto"/>
        <w:rPr>
          <w:sz w:val="20"/>
          <w:szCs w:val="20"/>
          <w:color w:val="auto"/>
        </w:rPr>
      </w:pPr>
      <w:r>
        <w:rPr>
          <w:rFonts w:ascii="Courier New" w:cs="Courier New" w:eastAsia="Courier New" w:hAnsi="Courier New"/>
          <w:sz w:val="16"/>
          <w:szCs w:val="16"/>
          <w:color w:val="auto"/>
        </w:rPr>
        <w:t>International, Inc., of which he is Chairman of</w:t>
      </w:r>
    </w:p>
    <w:p>
      <w:pPr>
        <w:ind w:left="2780"/>
        <w:spacing w:after="0" w:line="237" w:lineRule="auto"/>
        <w:rPr>
          <w:sz w:val="20"/>
          <w:szCs w:val="20"/>
          <w:color w:val="auto"/>
        </w:rPr>
      </w:pPr>
      <w:r>
        <w:rPr>
          <w:rFonts w:ascii="Courier New" w:cs="Courier New" w:eastAsia="Courier New" w:hAnsi="Courier New"/>
          <w:sz w:val="16"/>
          <w:szCs w:val="16"/>
          <w:color w:val="auto"/>
        </w:rPr>
        <w:t>the Board of Directors.</w:t>
      </w:r>
    </w:p>
    <w:p>
      <w:pPr>
        <w:spacing w:after="0" w:line="177"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6"/>
          <w:szCs w:val="16"/>
          <w:color w:val="auto"/>
        </w:rPr>
        <w:t>Committee Membership: Compensation and Organization</w:t>
      </w:r>
    </w:p>
    <w:p>
      <w:pPr>
        <w:spacing w:after="0" w:line="177"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6"/>
          <w:szCs w:val="16"/>
          <w:color w:val="auto"/>
        </w:rPr>
        <w:t>[L. JACK VAN FOSSEN</w:t>
      </w:r>
      <w:r>
        <w:rPr>
          <w:sz w:val="20"/>
          <w:szCs w:val="20"/>
          <w:color w:val="auto"/>
        </w:rPr>
        <w:tab/>
      </w:r>
      <w:r>
        <w:rPr>
          <w:rFonts w:ascii="Courier New" w:cs="Courier New" w:eastAsia="Courier New" w:hAnsi="Courier New"/>
          <w:sz w:val="14"/>
          <w:szCs w:val="14"/>
          <w:color w:val="auto"/>
        </w:rPr>
        <w:t>L. Jack Van Fossen, age 62, Director of the Company since</w:t>
      </w:r>
    </w:p>
    <w:p>
      <w:pPr>
        <w:spacing w:after="0" w:line="237" w:lineRule="auto"/>
        <w:tabs>
          <w:tab w:leader="none" w:pos="2300" w:val="left"/>
        </w:tabs>
        <w:rPr>
          <w:sz w:val="20"/>
          <w:szCs w:val="20"/>
          <w:color w:val="auto"/>
        </w:rPr>
      </w:pPr>
      <w:r>
        <w:rPr>
          <w:rFonts w:ascii="Courier New" w:cs="Courier New" w:eastAsia="Courier New" w:hAnsi="Courier New"/>
          <w:sz w:val="16"/>
          <w:szCs w:val="16"/>
          <w:color w:val="auto"/>
        </w:rPr>
        <w:t>PHOTO]</w:t>
      </w:r>
      <w:r>
        <w:rPr>
          <w:sz w:val="20"/>
          <w:szCs w:val="20"/>
          <w:color w:val="auto"/>
        </w:rPr>
        <w:tab/>
      </w:r>
      <w:r>
        <w:rPr>
          <w:rFonts w:ascii="Courier New" w:cs="Courier New" w:eastAsia="Courier New" w:hAnsi="Courier New"/>
          <w:sz w:val="16"/>
          <w:szCs w:val="16"/>
          <w:color w:val="auto"/>
        </w:rPr>
        <w:t>1993</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Mr. Van Fossen was Chief Executive Officer and</w:t>
      </w:r>
    </w:p>
    <w:p>
      <w:pPr>
        <w:ind w:left="2780"/>
        <w:spacing w:after="0" w:line="237" w:lineRule="auto"/>
        <w:rPr>
          <w:sz w:val="20"/>
          <w:szCs w:val="20"/>
          <w:color w:val="auto"/>
        </w:rPr>
      </w:pPr>
      <w:r>
        <w:rPr>
          <w:rFonts w:ascii="Courier New" w:cs="Courier New" w:eastAsia="Courier New" w:hAnsi="Courier New"/>
          <w:sz w:val="16"/>
          <w:szCs w:val="16"/>
          <w:color w:val="auto"/>
        </w:rPr>
        <w:t>President of Red Roof Inns, Inc., an owner and</w:t>
      </w:r>
    </w:p>
    <w:p>
      <w:pPr>
        <w:ind w:left="2780"/>
        <w:spacing w:after="0" w:line="237" w:lineRule="auto"/>
        <w:rPr>
          <w:sz w:val="20"/>
          <w:szCs w:val="20"/>
          <w:color w:val="auto"/>
        </w:rPr>
      </w:pPr>
      <w:r>
        <w:rPr>
          <w:rFonts w:ascii="Courier New" w:cs="Courier New" w:eastAsia="Courier New" w:hAnsi="Courier New"/>
          <w:sz w:val="16"/>
          <w:szCs w:val="16"/>
          <w:color w:val="auto"/>
        </w:rPr>
        <w:t>operator of motels, from 1991 until 1995. Since</w:t>
      </w:r>
    </w:p>
    <w:p>
      <w:pPr>
        <w:ind w:left="2780"/>
        <w:spacing w:after="0" w:line="237" w:lineRule="auto"/>
        <w:rPr>
          <w:sz w:val="20"/>
          <w:szCs w:val="20"/>
          <w:color w:val="auto"/>
        </w:rPr>
      </w:pPr>
      <w:r>
        <w:rPr>
          <w:rFonts w:ascii="Courier New" w:cs="Courier New" w:eastAsia="Courier New" w:hAnsi="Courier New"/>
          <w:sz w:val="16"/>
          <w:szCs w:val="16"/>
          <w:color w:val="auto"/>
        </w:rPr>
        <w:t>July 1988, Mr. Van Fossen has served as President</w:t>
      </w:r>
    </w:p>
    <w:p>
      <w:pPr>
        <w:ind w:left="2780"/>
        <w:spacing w:after="0" w:line="237" w:lineRule="auto"/>
        <w:rPr>
          <w:sz w:val="20"/>
          <w:szCs w:val="20"/>
          <w:color w:val="auto"/>
        </w:rPr>
      </w:pPr>
      <w:r>
        <w:rPr>
          <w:rFonts w:ascii="Courier New" w:cs="Courier New" w:eastAsia="Courier New" w:hAnsi="Courier New"/>
          <w:sz w:val="16"/>
          <w:szCs w:val="16"/>
          <w:color w:val="auto"/>
        </w:rPr>
        <w:t>of Nessoff Corporation, a privately-held</w:t>
      </w:r>
    </w:p>
    <w:p>
      <w:pPr>
        <w:ind w:left="2780"/>
        <w:spacing w:after="0" w:line="237" w:lineRule="auto"/>
        <w:rPr>
          <w:sz w:val="20"/>
          <w:szCs w:val="20"/>
          <w:color w:val="auto"/>
        </w:rPr>
      </w:pPr>
      <w:r>
        <w:rPr>
          <w:rFonts w:ascii="Courier New" w:cs="Courier New" w:eastAsia="Courier New" w:hAnsi="Courier New"/>
          <w:sz w:val="16"/>
          <w:szCs w:val="16"/>
          <w:color w:val="auto"/>
        </w:rPr>
        <w:t>investment company.</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Committee Membership: Audit (Chairman)</w:t>
      </w:r>
    </w:p>
    <w:p>
      <w:pPr>
        <w:sectPr>
          <w:pgSz w:w="11900" w:h="16838" w:orient="portrait"/>
          <w:cols w:equalWidth="0" w:num="1">
            <w:col w:w="10139"/>
          </w:cols>
          <w:pgMar w:left="320" w:top="291" w:right="1440" w:bottom="1440" w:gutter="0" w:footer="0" w:header="0"/>
        </w:sectPr>
      </w:pPr>
    </w:p>
    <w:p>
      <w:pPr>
        <w:spacing w:after="0" w:line="35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139"/>
          </w:cols>
          <w:pgMar w:left="320" w:top="291"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35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6"/>
          <w:szCs w:val="16"/>
          <w:color w:val="auto"/>
        </w:rPr>
        <w:t>DIRECTORS REMAINING IN OFFICE</w:t>
      </w:r>
    </w:p>
    <w:p>
      <w:pPr>
        <w:spacing w:after="0" w:line="177"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CLASS III -- TERMS TO EXPIRE AT THE 2001 ANNUAL MEETING</w:t>
      </w:r>
    </w:p>
    <w:p>
      <w:pPr>
        <w:spacing w:after="0" w:line="177"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6"/>
          <w:szCs w:val="16"/>
          <w:color w:val="auto"/>
        </w:rPr>
        <w:t>[JOSEPH P. FLANNERY</w:t>
      </w:r>
      <w:r>
        <w:rPr>
          <w:sz w:val="20"/>
          <w:szCs w:val="20"/>
          <w:color w:val="auto"/>
        </w:rPr>
        <w:tab/>
      </w:r>
      <w:r>
        <w:rPr>
          <w:rFonts w:ascii="Courier New" w:cs="Courier New" w:eastAsia="Courier New" w:hAnsi="Courier New"/>
          <w:sz w:val="14"/>
          <w:szCs w:val="14"/>
          <w:color w:val="auto"/>
        </w:rPr>
        <w:t>Joseph P. Flannery, age 67, Director of the Company since</w:t>
      </w:r>
    </w:p>
    <w:p>
      <w:pPr>
        <w:spacing w:after="0" w:line="237" w:lineRule="auto"/>
        <w:tabs>
          <w:tab w:leader="none" w:pos="2300" w:val="left"/>
        </w:tabs>
        <w:rPr>
          <w:sz w:val="20"/>
          <w:szCs w:val="20"/>
          <w:color w:val="auto"/>
        </w:rPr>
      </w:pPr>
      <w:r>
        <w:rPr>
          <w:rFonts w:ascii="Courier New" w:cs="Courier New" w:eastAsia="Courier New" w:hAnsi="Courier New"/>
          <w:sz w:val="16"/>
          <w:szCs w:val="16"/>
          <w:color w:val="auto"/>
        </w:rPr>
        <w:t>PHOTO]</w:t>
      </w:r>
      <w:r>
        <w:rPr>
          <w:sz w:val="20"/>
          <w:szCs w:val="20"/>
          <w:color w:val="auto"/>
        </w:rPr>
        <w:tab/>
      </w:r>
      <w:r>
        <w:rPr>
          <w:rFonts w:ascii="Courier New" w:cs="Courier New" w:eastAsia="Courier New" w:hAnsi="Courier New"/>
          <w:sz w:val="16"/>
          <w:szCs w:val="16"/>
          <w:color w:val="auto"/>
        </w:rPr>
        <w:t>1987</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Mr. Flannery has been President, Chief Executive</w:t>
      </w:r>
    </w:p>
    <w:p>
      <w:pPr>
        <w:ind w:left="2780"/>
        <w:spacing w:after="0" w:line="237" w:lineRule="auto"/>
        <w:rPr>
          <w:sz w:val="20"/>
          <w:szCs w:val="20"/>
          <w:color w:val="auto"/>
        </w:rPr>
      </w:pPr>
      <w:r>
        <w:rPr>
          <w:rFonts w:ascii="Courier New" w:cs="Courier New" w:eastAsia="Courier New" w:hAnsi="Courier New"/>
          <w:sz w:val="16"/>
          <w:szCs w:val="16"/>
          <w:color w:val="auto"/>
        </w:rPr>
        <w:t>Officer and Chairman of the Board of Directors of</w:t>
      </w:r>
    </w:p>
    <w:p>
      <w:pPr>
        <w:ind w:left="2780"/>
        <w:spacing w:after="0" w:line="237" w:lineRule="auto"/>
        <w:rPr>
          <w:sz w:val="20"/>
          <w:szCs w:val="20"/>
          <w:color w:val="auto"/>
        </w:rPr>
      </w:pPr>
      <w:r>
        <w:rPr>
          <w:rFonts w:ascii="Courier New" w:cs="Courier New" w:eastAsia="Courier New" w:hAnsi="Courier New"/>
          <w:sz w:val="16"/>
          <w:szCs w:val="16"/>
          <w:color w:val="auto"/>
        </w:rPr>
        <w:t>Uniroyal Holding, Inc. since 1986. Mr. Flannery is</w:t>
      </w:r>
    </w:p>
    <w:p>
      <w:pPr>
        <w:ind w:left="2780"/>
        <w:spacing w:after="0" w:line="237" w:lineRule="auto"/>
        <w:rPr>
          <w:sz w:val="20"/>
          <w:szCs w:val="20"/>
          <w:color w:val="auto"/>
        </w:rPr>
      </w:pPr>
      <w:r>
        <w:rPr>
          <w:rFonts w:ascii="Courier New" w:cs="Courier New" w:eastAsia="Courier New" w:hAnsi="Courier New"/>
          <w:sz w:val="16"/>
          <w:szCs w:val="16"/>
          <w:color w:val="auto"/>
        </w:rPr>
        <w:t>also a director of Ingersoll-Rand Company, Kmart</w:t>
      </w:r>
    </w:p>
    <w:p>
      <w:pPr>
        <w:ind w:left="2780"/>
        <w:spacing w:after="0" w:line="237" w:lineRule="auto"/>
        <w:rPr>
          <w:sz w:val="20"/>
          <w:szCs w:val="20"/>
          <w:color w:val="auto"/>
        </w:rPr>
      </w:pPr>
      <w:r>
        <w:rPr>
          <w:rFonts w:ascii="Courier New" w:cs="Courier New" w:eastAsia="Courier New" w:hAnsi="Courier New"/>
          <w:sz w:val="16"/>
          <w:szCs w:val="16"/>
          <w:color w:val="auto"/>
        </w:rPr>
        <w:t>Corporation, Newmont Mining Corporation and Arvin</w:t>
      </w:r>
    </w:p>
    <w:p>
      <w:pPr>
        <w:ind w:left="2780"/>
        <w:spacing w:after="0" w:line="237" w:lineRule="auto"/>
        <w:rPr>
          <w:sz w:val="20"/>
          <w:szCs w:val="20"/>
          <w:color w:val="auto"/>
        </w:rPr>
      </w:pPr>
      <w:r>
        <w:rPr>
          <w:rFonts w:ascii="Courier New" w:cs="Courier New" w:eastAsia="Courier New" w:hAnsi="Courier New"/>
          <w:sz w:val="16"/>
          <w:szCs w:val="16"/>
          <w:color w:val="auto"/>
        </w:rPr>
        <w:t>Industries, Inc.</w:t>
      </w:r>
    </w:p>
    <w:p>
      <w:pPr>
        <w:ind w:left="2780"/>
        <w:spacing w:after="0" w:line="237" w:lineRule="auto"/>
        <w:rPr>
          <w:sz w:val="20"/>
          <w:szCs w:val="20"/>
          <w:color w:val="auto"/>
        </w:rPr>
      </w:pPr>
      <w:r>
        <w:rPr>
          <w:rFonts w:ascii="Courier New" w:cs="Courier New" w:eastAsia="Courier New" w:hAnsi="Courier New"/>
          <w:sz w:val="16"/>
          <w:szCs w:val="16"/>
          <w:color w:val="auto"/>
        </w:rPr>
        <w:t>Committee Membership: Compensation and Organization</w:t>
      </w:r>
    </w:p>
    <w:p>
      <w:pPr>
        <w:ind w:left="2780"/>
        <w:spacing w:after="0" w:line="237" w:lineRule="auto"/>
        <w:rPr>
          <w:sz w:val="20"/>
          <w:szCs w:val="20"/>
          <w:color w:val="auto"/>
        </w:rPr>
      </w:pPr>
      <w:r>
        <w:rPr>
          <w:rFonts w:ascii="Courier New" w:cs="Courier New" w:eastAsia="Courier New" w:hAnsi="Courier New"/>
          <w:sz w:val="16"/>
          <w:szCs w:val="16"/>
          <w:color w:val="auto"/>
        </w:rPr>
        <w:t>(Chairman)</w:t>
      </w:r>
    </w:p>
    <w:p>
      <w:pPr>
        <w:spacing w:after="0" w:line="177"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6"/>
          <w:szCs w:val="16"/>
          <w:color w:val="auto"/>
        </w:rPr>
        <w:t>[HORACE HAGEDORN PHOTO]</w:t>
      </w:r>
      <w:r>
        <w:rPr>
          <w:sz w:val="20"/>
          <w:szCs w:val="20"/>
          <w:color w:val="auto"/>
        </w:rPr>
        <w:tab/>
      </w:r>
      <w:r>
        <w:rPr>
          <w:rFonts w:ascii="Courier New" w:cs="Courier New" w:eastAsia="Courier New" w:hAnsi="Courier New"/>
          <w:sz w:val="14"/>
          <w:szCs w:val="14"/>
          <w:color w:val="auto"/>
        </w:rPr>
        <w:t>Horace Hagedorn, age 84, Vice Chairman of the Board and</w:t>
      </w:r>
    </w:p>
    <w:p>
      <w:pPr>
        <w:ind w:left="2320"/>
        <w:spacing w:after="0" w:line="237" w:lineRule="auto"/>
        <w:rPr>
          <w:sz w:val="20"/>
          <w:szCs w:val="20"/>
          <w:color w:val="auto"/>
        </w:rPr>
      </w:pPr>
      <w:r>
        <w:rPr>
          <w:rFonts w:ascii="Courier New" w:cs="Courier New" w:eastAsia="Courier New" w:hAnsi="Courier New"/>
          <w:sz w:val="16"/>
          <w:szCs w:val="16"/>
          <w:color w:val="auto"/>
        </w:rPr>
        <w:t>Director of the Company since 1995</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Mr. Hagedorn was named Vice Chairman of the Board</w:t>
      </w:r>
    </w:p>
    <w:p>
      <w:pPr>
        <w:ind w:left="2780"/>
        <w:spacing w:after="0" w:line="237" w:lineRule="auto"/>
        <w:rPr>
          <w:sz w:val="20"/>
          <w:szCs w:val="20"/>
          <w:color w:val="auto"/>
        </w:rPr>
      </w:pPr>
      <w:r>
        <w:rPr>
          <w:rFonts w:ascii="Courier New" w:cs="Courier New" w:eastAsia="Courier New" w:hAnsi="Courier New"/>
          <w:sz w:val="16"/>
          <w:szCs w:val="16"/>
          <w:color w:val="auto"/>
        </w:rPr>
        <w:t>and a director of the Company, and Chairman of the</w:t>
      </w:r>
    </w:p>
    <w:p>
      <w:pPr>
        <w:ind w:left="2780"/>
        <w:spacing w:after="0" w:line="237" w:lineRule="auto"/>
        <w:rPr>
          <w:sz w:val="20"/>
          <w:szCs w:val="20"/>
          <w:color w:val="auto"/>
        </w:rPr>
      </w:pPr>
      <w:r>
        <w:rPr>
          <w:rFonts w:ascii="Courier New" w:cs="Courier New" w:eastAsia="Courier New" w:hAnsi="Courier New"/>
          <w:sz w:val="16"/>
          <w:szCs w:val="16"/>
          <w:color w:val="auto"/>
        </w:rPr>
        <w:t>Board and Chief Executive Officer of Scotts</w:t>
      </w:r>
    </w:p>
    <w:p>
      <w:pPr>
        <w:ind w:left="2780"/>
        <w:spacing w:after="0" w:line="237" w:lineRule="auto"/>
        <w:rPr>
          <w:sz w:val="20"/>
          <w:szCs w:val="20"/>
          <w:color w:val="auto"/>
        </w:rPr>
      </w:pPr>
      <w:r>
        <w:rPr>
          <w:rFonts w:ascii="Courier New" w:cs="Courier New" w:eastAsia="Courier New" w:hAnsi="Courier New"/>
          <w:sz w:val="16"/>
          <w:szCs w:val="16"/>
          <w:color w:val="auto"/>
        </w:rPr>
        <w:t>Miracle-Gro, in May 1995. In March 1997, he</w:t>
      </w:r>
    </w:p>
    <w:p>
      <w:pPr>
        <w:ind w:left="2780"/>
        <w:spacing w:after="0" w:line="237" w:lineRule="auto"/>
        <w:rPr>
          <w:sz w:val="20"/>
          <w:szCs w:val="20"/>
          <w:color w:val="auto"/>
        </w:rPr>
      </w:pPr>
      <w:r>
        <w:rPr>
          <w:rFonts w:ascii="Courier New" w:cs="Courier New" w:eastAsia="Courier New" w:hAnsi="Courier New"/>
          <w:sz w:val="16"/>
          <w:szCs w:val="16"/>
          <w:color w:val="auto"/>
        </w:rPr>
        <w:t>retired as an officer and director of Scotts</w:t>
      </w:r>
    </w:p>
    <w:p>
      <w:pPr>
        <w:ind w:left="2780"/>
        <w:spacing w:after="0" w:line="237" w:lineRule="auto"/>
        <w:rPr>
          <w:sz w:val="20"/>
          <w:szCs w:val="20"/>
          <w:color w:val="auto"/>
        </w:rPr>
      </w:pPr>
      <w:r>
        <w:rPr>
          <w:rFonts w:ascii="Courier New" w:cs="Courier New" w:eastAsia="Courier New" w:hAnsi="Courier New"/>
          <w:sz w:val="16"/>
          <w:szCs w:val="16"/>
          <w:color w:val="auto"/>
        </w:rPr>
        <w:t>Miracle-Gro. Mr. Hagedorn founded Miracle-Gro</w:t>
      </w:r>
    </w:p>
    <w:p>
      <w:pPr>
        <w:ind w:left="2780"/>
        <w:spacing w:after="0" w:line="237" w:lineRule="auto"/>
        <w:rPr>
          <w:sz w:val="20"/>
          <w:szCs w:val="20"/>
          <w:color w:val="auto"/>
        </w:rPr>
      </w:pPr>
      <w:r>
        <w:rPr>
          <w:rFonts w:ascii="Courier New" w:cs="Courier New" w:eastAsia="Courier New" w:hAnsi="Courier New"/>
          <w:sz w:val="16"/>
          <w:szCs w:val="16"/>
          <w:color w:val="auto"/>
        </w:rPr>
        <w:t>Products in 1950 and served as Chief Executive</w:t>
      </w:r>
    </w:p>
    <w:p>
      <w:pPr>
        <w:ind w:left="2780"/>
        <w:spacing w:after="0" w:line="237" w:lineRule="auto"/>
        <w:rPr>
          <w:sz w:val="20"/>
          <w:szCs w:val="20"/>
          <w:color w:val="auto"/>
        </w:rPr>
      </w:pPr>
      <w:r>
        <w:rPr>
          <w:rFonts w:ascii="Courier New" w:cs="Courier New" w:eastAsia="Courier New" w:hAnsi="Courier New"/>
          <w:sz w:val="16"/>
          <w:szCs w:val="16"/>
          <w:color w:val="auto"/>
        </w:rPr>
        <w:t>Officer of Miracle-Gro Products from 1985 until</w:t>
      </w:r>
    </w:p>
    <w:p>
      <w:pPr>
        <w:ind w:left="2780"/>
        <w:spacing w:after="0" w:line="237" w:lineRule="auto"/>
        <w:rPr>
          <w:sz w:val="20"/>
          <w:szCs w:val="20"/>
          <w:color w:val="auto"/>
        </w:rPr>
      </w:pPr>
      <w:r>
        <w:rPr>
          <w:rFonts w:ascii="Courier New" w:cs="Courier New" w:eastAsia="Courier New" w:hAnsi="Courier New"/>
          <w:sz w:val="16"/>
          <w:szCs w:val="16"/>
          <w:color w:val="auto"/>
        </w:rPr>
        <w:t>May 1995. Horace Hagedorn is the father of James</w:t>
      </w:r>
    </w:p>
    <w:p>
      <w:pPr>
        <w:ind w:left="2780"/>
        <w:spacing w:after="0" w:line="237" w:lineRule="auto"/>
        <w:rPr>
          <w:sz w:val="20"/>
          <w:szCs w:val="20"/>
          <w:color w:val="auto"/>
        </w:rPr>
      </w:pPr>
      <w:r>
        <w:rPr>
          <w:rFonts w:ascii="Courier New" w:cs="Courier New" w:eastAsia="Courier New" w:hAnsi="Courier New"/>
          <w:sz w:val="16"/>
          <w:szCs w:val="16"/>
          <w:color w:val="auto"/>
        </w:rPr>
        <w:t>Hagedorn.</w:t>
      </w:r>
    </w:p>
    <w:p>
      <w:pPr>
        <w:spacing w:after="0" w:line="17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Committee Membership: None at this time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[ALBERT E. HARRIS PHOTO] Albert E. Harris, age 67, Director of the Company since 1997</w:t>
      </w:r>
    </w:p>
    <w:p>
      <w:pPr>
        <w:spacing w:after="0" w:line="19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Mr. Harris is co-founder and, effective July 1997,</w:t>
      </w:r>
    </w:p>
    <w:p>
      <w:pPr>
        <w:ind w:left="2780"/>
        <w:spacing w:after="0" w:line="237" w:lineRule="auto"/>
        <w:rPr>
          <w:sz w:val="20"/>
          <w:szCs w:val="20"/>
          <w:color w:val="auto"/>
        </w:rPr>
      </w:pPr>
      <w:r>
        <w:rPr>
          <w:rFonts w:ascii="Courier New" w:cs="Courier New" w:eastAsia="Courier New" w:hAnsi="Courier New"/>
          <w:sz w:val="16"/>
          <w:szCs w:val="16"/>
          <w:color w:val="auto"/>
        </w:rPr>
        <w:t>the retired President of EDBH, Inc., a</w:t>
      </w:r>
    </w:p>
    <w:p>
      <w:pPr>
        <w:ind w:left="2780"/>
        <w:spacing w:after="0" w:line="237" w:lineRule="auto"/>
        <w:rPr>
          <w:sz w:val="20"/>
          <w:szCs w:val="20"/>
          <w:color w:val="auto"/>
        </w:rPr>
      </w:pPr>
      <w:r>
        <w:rPr>
          <w:rFonts w:ascii="Courier New" w:cs="Courier New" w:eastAsia="Courier New" w:hAnsi="Courier New"/>
          <w:sz w:val="16"/>
          <w:szCs w:val="16"/>
          <w:color w:val="auto"/>
        </w:rPr>
        <w:t>privately-held company which develops</w:t>
      </w:r>
    </w:p>
    <w:p>
      <w:pPr>
        <w:ind w:left="2780"/>
        <w:spacing w:after="0" w:line="237" w:lineRule="auto"/>
        <w:rPr>
          <w:sz w:val="20"/>
          <w:szCs w:val="20"/>
          <w:color w:val="auto"/>
        </w:rPr>
      </w:pPr>
      <w:r>
        <w:rPr>
          <w:rFonts w:ascii="Courier New" w:cs="Courier New" w:eastAsia="Courier New" w:hAnsi="Courier New"/>
          <w:sz w:val="16"/>
          <w:szCs w:val="16"/>
          <w:color w:val="auto"/>
        </w:rPr>
        <w:t>international optical businesses. From 1988 until</w:t>
      </w:r>
    </w:p>
    <w:p>
      <w:pPr>
        <w:ind w:left="2780"/>
        <w:spacing w:after="0" w:line="237" w:lineRule="auto"/>
        <w:rPr>
          <w:sz w:val="20"/>
          <w:szCs w:val="20"/>
          <w:color w:val="auto"/>
        </w:rPr>
      </w:pPr>
      <w:r>
        <w:rPr>
          <w:rFonts w:ascii="Courier New" w:cs="Courier New" w:eastAsia="Courier New" w:hAnsi="Courier New"/>
          <w:sz w:val="16"/>
          <w:szCs w:val="16"/>
          <w:color w:val="auto"/>
        </w:rPr>
        <w:t>July 1997, he served as either Chairman or</w:t>
      </w:r>
    </w:p>
    <w:p>
      <w:pPr>
        <w:ind w:left="2780"/>
        <w:spacing w:after="0" w:line="237" w:lineRule="auto"/>
        <w:rPr>
          <w:sz w:val="20"/>
          <w:szCs w:val="20"/>
          <w:color w:val="auto"/>
        </w:rPr>
      </w:pPr>
      <w:r>
        <w:rPr>
          <w:rFonts w:ascii="Courier New" w:cs="Courier New" w:eastAsia="Courier New" w:hAnsi="Courier New"/>
          <w:sz w:val="16"/>
          <w:szCs w:val="16"/>
          <w:color w:val="auto"/>
        </w:rPr>
        <w:t>President of that company, which has established a</w:t>
      </w:r>
    </w:p>
    <w:p>
      <w:pPr>
        <w:ind w:left="2780"/>
        <w:spacing w:after="0" w:line="237" w:lineRule="auto"/>
        <w:rPr>
          <w:sz w:val="20"/>
          <w:szCs w:val="20"/>
          <w:color w:val="auto"/>
        </w:rPr>
      </w:pPr>
      <w:r>
        <w:rPr>
          <w:rFonts w:ascii="Courier New" w:cs="Courier New" w:eastAsia="Courier New" w:hAnsi="Courier New"/>
          <w:sz w:val="16"/>
          <w:szCs w:val="16"/>
          <w:color w:val="auto"/>
        </w:rPr>
        <w:t>chain of approximately 200 superoptical stores,</w:t>
      </w:r>
    </w:p>
    <w:p>
      <w:pPr>
        <w:ind w:left="2780"/>
        <w:spacing w:after="0" w:line="237" w:lineRule="auto"/>
        <w:rPr>
          <w:sz w:val="20"/>
          <w:szCs w:val="20"/>
          <w:color w:val="auto"/>
        </w:rPr>
      </w:pPr>
      <w:r>
        <w:rPr>
          <w:rFonts w:ascii="Courier New" w:cs="Courier New" w:eastAsia="Courier New" w:hAnsi="Courier New"/>
          <w:sz w:val="16"/>
          <w:szCs w:val="16"/>
          <w:color w:val="auto"/>
        </w:rPr>
        <w:t>operating under the "Vision Express(R)" name and</w:t>
      </w:r>
    </w:p>
    <w:p>
      <w:pPr>
        <w:ind w:left="2780"/>
        <w:spacing w:after="0" w:line="237" w:lineRule="auto"/>
        <w:rPr>
          <w:sz w:val="20"/>
          <w:szCs w:val="20"/>
          <w:color w:val="auto"/>
        </w:rPr>
      </w:pPr>
      <w:r>
        <w:rPr>
          <w:rFonts w:ascii="Courier New" w:cs="Courier New" w:eastAsia="Courier New" w:hAnsi="Courier New"/>
          <w:sz w:val="16"/>
          <w:szCs w:val="16"/>
          <w:color w:val="auto"/>
        </w:rPr>
        <w:t>located primarily in the United Kingdom. Since</w:t>
      </w:r>
    </w:p>
    <w:p>
      <w:pPr>
        <w:ind w:left="2780"/>
        <w:spacing w:after="0" w:line="237" w:lineRule="auto"/>
        <w:rPr>
          <w:sz w:val="20"/>
          <w:szCs w:val="20"/>
          <w:color w:val="auto"/>
        </w:rPr>
      </w:pPr>
      <w:r>
        <w:rPr>
          <w:rFonts w:ascii="Courier New" w:cs="Courier New" w:eastAsia="Courier New" w:hAnsi="Courier New"/>
          <w:sz w:val="16"/>
          <w:szCs w:val="16"/>
          <w:color w:val="auto"/>
        </w:rPr>
        <w:t>1992, Mr. Harris has also been a trustee of Fifth</w:t>
      </w:r>
    </w:p>
    <w:p>
      <w:pPr>
        <w:ind w:left="2780"/>
        <w:spacing w:after="0" w:line="238" w:lineRule="auto"/>
        <w:rPr>
          <w:sz w:val="20"/>
          <w:szCs w:val="20"/>
          <w:color w:val="auto"/>
        </w:rPr>
      </w:pPr>
      <w:r>
        <w:rPr>
          <w:rFonts w:ascii="Courier New" w:cs="Courier New" w:eastAsia="Courier New" w:hAnsi="Courier New"/>
          <w:sz w:val="16"/>
          <w:szCs w:val="16"/>
          <w:color w:val="auto"/>
        </w:rPr>
        <w:t>Third Funds (previously named Fountain Square</w:t>
      </w:r>
    </w:p>
    <w:p>
      <w:pPr>
        <w:ind w:left="2780"/>
        <w:spacing w:after="0" w:line="237" w:lineRule="auto"/>
        <w:rPr>
          <w:sz w:val="20"/>
          <w:szCs w:val="20"/>
          <w:color w:val="auto"/>
        </w:rPr>
      </w:pPr>
      <w:r>
        <w:rPr>
          <w:rFonts w:ascii="Courier New" w:cs="Courier New" w:eastAsia="Courier New" w:hAnsi="Courier New"/>
          <w:sz w:val="16"/>
          <w:szCs w:val="16"/>
          <w:color w:val="auto"/>
        </w:rPr>
        <w:t>Funds), a mutual funds family established by The</w:t>
      </w:r>
    </w:p>
    <w:p>
      <w:pPr>
        <w:ind w:left="2780"/>
        <w:spacing w:after="0" w:line="237" w:lineRule="auto"/>
        <w:rPr>
          <w:sz w:val="20"/>
          <w:szCs w:val="20"/>
          <w:color w:val="auto"/>
        </w:rPr>
      </w:pPr>
      <w:r>
        <w:rPr>
          <w:rFonts w:ascii="Courier New" w:cs="Courier New" w:eastAsia="Courier New" w:hAnsi="Courier New"/>
          <w:sz w:val="16"/>
          <w:szCs w:val="16"/>
          <w:color w:val="auto"/>
        </w:rPr>
        <w:t>Fifth Third Bank, and is currently the Chairman of</w:t>
      </w:r>
    </w:p>
    <w:p>
      <w:pPr>
        <w:ind w:left="2780"/>
        <w:spacing w:after="0" w:line="237" w:lineRule="auto"/>
        <w:rPr>
          <w:sz w:val="20"/>
          <w:szCs w:val="20"/>
          <w:color w:val="auto"/>
        </w:rPr>
      </w:pPr>
      <w:r>
        <w:rPr>
          <w:rFonts w:ascii="Courier New" w:cs="Courier New" w:eastAsia="Courier New" w:hAnsi="Courier New"/>
          <w:sz w:val="16"/>
          <w:szCs w:val="16"/>
          <w:color w:val="auto"/>
        </w:rPr>
        <w:t>that group of funds. Fifth Third Funds is</w:t>
      </w:r>
    </w:p>
    <w:p>
      <w:pPr>
        <w:ind w:left="2780"/>
        <w:spacing w:after="0" w:line="237" w:lineRule="auto"/>
        <w:rPr>
          <w:sz w:val="20"/>
          <w:szCs w:val="20"/>
          <w:color w:val="auto"/>
        </w:rPr>
      </w:pPr>
      <w:r>
        <w:rPr>
          <w:rFonts w:ascii="Courier New" w:cs="Courier New" w:eastAsia="Courier New" w:hAnsi="Courier New"/>
          <w:sz w:val="16"/>
          <w:szCs w:val="16"/>
          <w:color w:val="auto"/>
        </w:rPr>
        <w:t>registered as an investment company under the</w:t>
      </w:r>
    </w:p>
    <w:p>
      <w:pPr>
        <w:ind w:left="2780"/>
        <w:spacing w:after="0" w:line="237" w:lineRule="auto"/>
        <w:rPr>
          <w:sz w:val="20"/>
          <w:szCs w:val="20"/>
          <w:color w:val="auto"/>
        </w:rPr>
      </w:pPr>
      <w:r>
        <w:rPr>
          <w:rFonts w:ascii="Courier New" w:cs="Courier New" w:eastAsia="Courier New" w:hAnsi="Courier New"/>
          <w:sz w:val="16"/>
          <w:szCs w:val="16"/>
          <w:color w:val="auto"/>
        </w:rPr>
        <w:t>Investment Company Act of 1940.</w:t>
      </w:r>
    </w:p>
    <w:p>
      <w:pPr>
        <w:spacing w:after="0" w:line="183"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Committee Membership: Nominating and Board Governance;</w:t>
      </w:r>
    </w:p>
    <w:p>
      <w:pPr>
        <w:spacing w:after="0" w:line="1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Compensation and Organization</w:t>
      </w:r>
    </w:p>
    <w:p>
      <w:pPr>
        <w:spacing w:after="0" w:line="177"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6"/>
          <w:szCs w:val="16"/>
          <w:color w:val="auto"/>
        </w:rPr>
        <w:t>[PATRICK J. NORTON</w:t>
      </w:r>
      <w:r>
        <w:rPr>
          <w:sz w:val="20"/>
          <w:szCs w:val="20"/>
          <w:color w:val="auto"/>
        </w:rPr>
        <w:tab/>
      </w:r>
      <w:r>
        <w:rPr>
          <w:rFonts w:ascii="Courier New" w:cs="Courier New" w:eastAsia="Courier New" w:hAnsi="Courier New"/>
          <w:sz w:val="14"/>
          <w:szCs w:val="14"/>
          <w:color w:val="auto"/>
        </w:rPr>
        <w:t>Patrick J. Norton, age 49, Director of the Company since</w:t>
      </w:r>
    </w:p>
    <w:p>
      <w:pPr>
        <w:spacing w:after="0" w:line="237" w:lineRule="auto"/>
        <w:tabs>
          <w:tab w:leader="none" w:pos="2300" w:val="left"/>
        </w:tabs>
        <w:rPr>
          <w:sz w:val="20"/>
          <w:szCs w:val="20"/>
          <w:color w:val="auto"/>
        </w:rPr>
      </w:pPr>
      <w:r>
        <w:rPr>
          <w:rFonts w:ascii="Courier New" w:cs="Courier New" w:eastAsia="Courier New" w:hAnsi="Courier New"/>
          <w:sz w:val="16"/>
          <w:szCs w:val="16"/>
          <w:color w:val="auto"/>
        </w:rPr>
        <w:t>PHOTO]</w:t>
      </w:r>
      <w:r>
        <w:rPr>
          <w:sz w:val="20"/>
          <w:szCs w:val="20"/>
          <w:color w:val="auto"/>
        </w:rPr>
        <w:tab/>
      </w:r>
      <w:r>
        <w:rPr>
          <w:rFonts w:ascii="Courier New" w:cs="Courier New" w:eastAsia="Courier New" w:hAnsi="Courier New"/>
          <w:sz w:val="16"/>
          <w:szCs w:val="16"/>
          <w:color w:val="auto"/>
        </w:rPr>
        <w:t>1998</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From 1983 until February 1997, Mr. Norton was the</w:t>
      </w:r>
    </w:p>
    <w:p>
      <w:pPr>
        <w:ind w:left="2780"/>
        <w:spacing w:after="0" w:line="237" w:lineRule="auto"/>
        <w:rPr>
          <w:sz w:val="20"/>
          <w:szCs w:val="20"/>
          <w:color w:val="auto"/>
        </w:rPr>
      </w:pPr>
      <w:r>
        <w:rPr>
          <w:rFonts w:ascii="Courier New" w:cs="Courier New" w:eastAsia="Courier New" w:hAnsi="Courier New"/>
          <w:sz w:val="16"/>
          <w:szCs w:val="16"/>
          <w:color w:val="auto"/>
        </w:rPr>
        <w:t>President, Chief Executive Officer and a director</w:t>
      </w:r>
    </w:p>
    <w:p>
      <w:pPr>
        <w:ind w:left="2780"/>
        <w:spacing w:after="0" w:line="237" w:lineRule="auto"/>
        <w:rPr>
          <w:sz w:val="20"/>
          <w:szCs w:val="20"/>
          <w:color w:val="auto"/>
        </w:rPr>
      </w:pPr>
      <w:r>
        <w:rPr>
          <w:rFonts w:ascii="Courier New" w:cs="Courier New" w:eastAsia="Courier New" w:hAnsi="Courier New"/>
          <w:sz w:val="16"/>
          <w:szCs w:val="16"/>
          <w:color w:val="auto"/>
        </w:rPr>
        <w:t>of Barefoot Inc., the second largest lawn care</w:t>
      </w:r>
    </w:p>
    <w:p>
      <w:pPr>
        <w:ind w:left="2780"/>
        <w:spacing w:after="0" w:line="237" w:lineRule="auto"/>
        <w:rPr>
          <w:sz w:val="20"/>
          <w:szCs w:val="20"/>
          <w:color w:val="auto"/>
        </w:rPr>
      </w:pPr>
      <w:r>
        <w:rPr>
          <w:rFonts w:ascii="Courier New" w:cs="Courier New" w:eastAsia="Courier New" w:hAnsi="Courier New"/>
          <w:sz w:val="16"/>
          <w:szCs w:val="16"/>
          <w:color w:val="auto"/>
        </w:rPr>
        <w:t>company in the United States prior to its</w:t>
      </w:r>
    </w:p>
    <w:p>
      <w:pPr>
        <w:ind w:left="2780"/>
        <w:spacing w:after="0" w:line="237" w:lineRule="auto"/>
        <w:rPr>
          <w:sz w:val="20"/>
          <w:szCs w:val="20"/>
          <w:color w:val="auto"/>
        </w:rPr>
      </w:pPr>
      <w:r>
        <w:rPr>
          <w:rFonts w:ascii="Courier New" w:cs="Courier New" w:eastAsia="Courier New" w:hAnsi="Courier New"/>
          <w:sz w:val="16"/>
          <w:szCs w:val="16"/>
          <w:color w:val="auto"/>
        </w:rPr>
        <w:t>acquisition in February 1997 by ServiceMaster. Mr.</w:t>
      </w:r>
    </w:p>
    <w:p>
      <w:pPr>
        <w:ind w:left="2780"/>
        <w:spacing w:after="0" w:line="237" w:lineRule="auto"/>
        <w:rPr>
          <w:sz w:val="20"/>
          <w:szCs w:val="20"/>
          <w:color w:val="auto"/>
        </w:rPr>
      </w:pPr>
      <w:r>
        <w:rPr>
          <w:rFonts w:ascii="Courier New" w:cs="Courier New" w:eastAsia="Courier New" w:hAnsi="Courier New"/>
          <w:sz w:val="16"/>
          <w:szCs w:val="16"/>
          <w:color w:val="auto"/>
        </w:rPr>
        <w:t>Norton serves as an independent director for</w:t>
      </w:r>
    </w:p>
    <w:p>
      <w:pPr>
        <w:ind w:left="2780"/>
        <w:spacing w:after="0" w:line="237" w:lineRule="auto"/>
        <w:rPr>
          <w:sz w:val="20"/>
          <w:szCs w:val="20"/>
          <w:color w:val="auto"/>
        </w:rPr>
      </w:pPr>
      <w:r>
        <w:rPr>
          <w:rFonts w:ascii="Courier New" w:cs="Courier New" w:eastAsia="Courier New" w:hAnsi="Courier New"/>
          <w:sz w:val="16"/>
          <w:szCs w:val="16"/>
          <w:color w:val="auto"/>
        </w:rPr>
        <w:t>various privately-held companies, including</w:t>
      </w:r>
    </w:p>
    <w:p>
      <w:pPr>
        <w:ind w:left="2780"/>
        <w:spacing w:after="0" w:line="237" w:lineRule="auto"/>
        <w:rPr>
          <w:sz w:val="20"/>
          <w:szCs w:val="20"/>
          <w:color w:val="auto"/>
        </w:rPr>
      </w:pPr>
      <w:r>
        <w:rPr>
          <w:rFonts w:ascii="Courier New" w:cs="Courier New" w:eastAsia="Courier New" w:hAnsi="Courier New"/>
          <w:sz w:val="16"/>
          <w:szCs w:val="16"/>
          <w:color w:val="auto"/>
        </w:rPr>
        <w:t>Svoboda Collins LLC, In The Swim, Inc. and CARA,</w:t>
      </w:r>
    </w:p>
    <w:p>
      <w:pPr>
        <w:ind w:left="2780"/>
        <w:spacing w:after="0" w:line="237" w:lineRule="auto"/>
        <w:rPr>
          <w:sz w:val="20"/>
          <w:szCs w:val="20"/>
          <w:color w:val="auto"/>
        </w:rPr>
      </w:pPr>
      <w:r>
        <w:rPr>
          <w:rFonts w:ascii="Courier New" w:cs="Courier New" w:eastAsia="Courier New" w:hAnsi="Courier New"/>
          <w:sz w:val="16"/>
          <w:szCs w:val="16"/>
          <w:color w:val="auto"/>
        </w:rPr>
        <w:t>Inc.</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Committee Membership: Audit</w:t>
      </w:r>
    </w:p>
    <w:p>
      <w:pPr>
        <w:sectPr>
          <w:pgSz w:w="11900" w:h="16838" w:orient="portrait"/>
          <w:cols w:equalWidth="0" w:num="1">
            <w:col w:w="10139"/>
          </w:cols>
          <w:pgMar w:left="320" w:top="291" w:right="1440" w:bottom="1440" w:gutter="0" w:footer="0" w:header="0"/>
        </w:sectPr>
      </w:pPr>
    </w:p>
    <w:p>
      <w:pPr>
        <w:spacing w:after="0" w:line="35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139"/>
          </w:cols>
          <w:pgMar w:left="320" w:top="291"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356"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CLASS I -- TERMS TO EXPIRE AT THE 2002 ANNUAL MEETING</w:t>
      </w:r>
    </w:p>
    <w:p>
      <w:pPr>
        <w:spacing w:after="0" w:line="177"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6"/>
          <w:szCs w:val="16"/>
          <w:color w:val="auto"/>
        </w:rPr>
        <w:t>[CHARLES M. BERGER</w:t>
      </w:r>
      <w:r>
        <w:rPr>
          <w:sz w:val="20"/>
          <w:szCs w:val="20"/>
          <w:color w:val="auto"/>
        </w:rPr>
        <w:tab/>
      </w:r>
      <w:r>
        <w:rPr>
          <w:rFonts w:ascii="Courier New" w:cs="Courier New" w:eastAsia="Courier New" w:hAnsi="Courier New"/>
          <w:sz w:val="14"/>
          <w:szCs w:val="14"/>
          <w:color w:val="auto"/>
        </w:rPr>
        <w:t>Charles M. Berger, age 63, Chairman of the Board, President</w:t>
      </w:r>
    </w:p>
    <w:p>
      <w:pPr>
        <w:spacing w:after="0" w:line="237" w:lineRule="auto"/>
        <w:tabs>
          <w:tab w:leader="none" w:pos="2300" w:val="left"/>
        </w:tabs>
        <w:rPr>
          <w:sz w:val="20"/>
          <w:szCs w:val="20"/>
          <w:color w:val="auto"/>
        </w:rPr>
      </w:pPr>
      <w:r>
        <w:rPr>
          <w:rFonts w:ascii="Courier New" w:cs="Courier New" w:eastAsia="Courier New" w:hAnsi="Courier New"/>
          <w:sz w:val="16"/>
          <w:szCs w:val="16"/>
          <w:color w:val="auto"/>
        </w:rPr>
        <w:t>PHOTO]</w:t>
      </w:r>
      <w:r>
        <w:rPr>
          <w:sz w:val="20"/>
          <w:szCs w:val="20"/>
          <w:color w:val="auto"/>
        </w:rPr>
        <w:tab/>
      </w:r>
      <w:r>
        <w:rPr>
          <w:rFonts w:ascii="Courier New" w:cs="Courier New" w:eastAsia="Courier New" w:hAnsi="Courier New"/>
          <w:sz w:val="16"/>
          <w:szCs w:val="16"/>
          <w:color w:val="auto"/>
        </w:rPr>
        <w:t>and Chief Executive Officer of the Company since 1996</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Mr. Berger was elected Chairman of the Board,</w:t>
      </w:r>
    </w:p>
    <w:p>
      <w:pPr>
        <w:ind w:left="2780"/>
        <w:spacing w:after="0" w:line="237" w:lineRule="auto"/>
        <w:rPr>
          <w:sz w:val="20"/>
          <w:szCs w:val="20"/>
          <w:color w:val="auto"/>
        </w:rPr>
      </w:pPr>
      <w:r>
        <w:rPr>
          <w:rFonts w:ascii="Courier New" w:cs="Courier New" w:eastAsia="Courier New" w:hAnsi="Courier New"/>
          <w:sz w:val="16"/>
          <w:szCs w:val="16"/>
          <w:color w:val="auto"/>
        </w:rPr>
        <w:t>President and Chief Executive Officer of the</w:t>
      </w:r>
    </w:p>
    <w:p>
      <w:pPr>
        <w:ind w:left="2780"/>
        <w:spacing w:after="0" w:line="237" w:lineRule="auto"/>
        <w:rPr>
          <w:sz w:val="20"/>
          <w:szCs w:val="20"/>
          <w:color w:val="auto"/>
        </w:rPr>
      </w:pPr>
      <w:r>
        <w:rPr>
          <w:rFonts w:ascii="Courier New" w:cs="Courier New" w:eastAsia="Courier New" w:hAnsi="Courier New"/>
          <w:sz w:val="16"/>
          <w:szCs w:val="16"/>
          <w:color w:val="auto"/>
        </w:rPr>
        <w:t>Company in August 1996. Mr. Berger came to the</w:t>
      </w:r>
    </w:p>
    <w:p>
      <w:pPr>
        <w:ind w:left="2780"/>
        <w:spacing w:after="0" w:line="237" w:lineRule="auto"/>
        <w:rPr>
          <w:sz w:val="20"/>
          <w:szCs w:val="20"/>
          <w:color w:val="auto"/>
        </w:rPr>
      </w:pPr>
      <w:r>
        <w:rPr>
          <w:rFonts w:ascii="Courier New" w:cs="Courier New" w:eastAsia="Courier New" w:hAnsi="Courier New"/>
          <w:sz w:val="16"/>
          <w:szCs w:val="16"/>
          <w:color w:val="auto"/>
        </w:rPr>
        <w:t>Company from H.J. Heinz Company, where, from</w:t>
      </w:r>
    </w:p>
    <w:p>
      <w:pPr>
        <w:ind w:left="2780"/>
        <w:spacing w:after="0" w:line="237" w:lineRule="auto"/>
        <w:rPr>
          <w:sz w:val="20"/>
          <w:szCs w:val="20"/>
          <w:color w:val="auto"/>
        </w:rPr>
      </w:pPr>
      <w:r>
        <w:rPr>
          <w:rFonts w:ascii="Courier New" w:cs="Courier New" w:eastAsia="Courier New" w:hAnsi="Courier New"/>
          <w:sz w:val="16"/>
          <w:szCs w:val="16"/>
          <w:color w:val="auto"/>
        </w:rPr>
        <w:t>October 1994 until August 1996, he served as</w:t>
      </w:r>
    </w:p>
    <w:p>
      <w:pPr>
        <w:ind w:left="2780"/>
        <w:spacing w:after="0" w:line="237" w:lineRule="auto"/>
        <w:rPr>
          <w:sz w:val="20"/>
          <w:szCs w:val="20"/>
          <w:color w:val="auto"/>
        </w:rPr>
      </w:pPr>
      <w:r>
        <w:rPr>
          <w:rFonts w:ascii="Courier New" w:cs="Courier New" w:eastAsia="Courier New" w:hAnsi="Courier New"/>
          <w:sz w:val="16"/>
          <w:szCs w:val="16"/>
          <w:color w:val="auto"/>
        </w:rPr>
        <w:t>Chairman and Chief Executive Officer of Heinz</w:t>
      </w:r>
    </w:p>
    <w:p>
      <w:pPr>
        <w:ind w:left="2780"/>
        <w:spacing w:after="0" w:line="237" w:lineRule="auto"/>
        <w:rPr>
          <w:sz w:val="20"/>
          <w:szCs w:val="20"/>
          <w:color w:val="auto"/>
        </w:rPr>
      </w:pPr>
      <w:r>
        <w:rPr>
          <w:rFonts w:ascii="Courier New" w:cs="Courier New" w:eastAsia="Courier New" w:hAnsi="Courier New"/>
          <w:sz w:val="16"/>
          <w:szCs w:val="16"/>
          <w:color w:val="auto"/>
        </w:rPr>
        <w:t>India Pvt. Ltd. (Bombay). During his 32-year</w:t>
      </w:r>
    </w:p>
    <w:p>
      <w:pPr>
        <w:ind w:left="2780"/>
        <w:spacing w:after="0" w:line="237" w:lineRule="auto"/>
        <w:rPr>
          <w:sz w:val="20"/>
          <w:szCs w:val="20"/>
          <w:color w:val="auto"/>
        </w:rPr>
      </w:pPr>
      <w:r>
        <w:rPr>
          <w:rFonts w:ascii="Courier New" w:cs="Courier New" w:eastAsia="Courier New" w:hAnsi="Courier New"/>
          <w:sz w:val="16"/>
          <w:szCs w:val="16"/>
          <w:color w:val="auto"/>
        </w:rPr>
        <w:t>career at Heinz, he also held the positions of</w:t>
      </w:r>
    </w:p>
    <w:p>
      <w:pPr>
        <w:ind w:left="2780"/>
        <w:spacing w:after="0" w:line="237" w:lineRule="auto"/>
        <w:rPr>
          <w:sz w:val="20"/>
          <w:szCs w:val="20"/>
          <w:color w:val="auto"/>
        </w:rPr>
      </w:pPr>
      <w:r>
        <w:rPr>
          <w:rFonts w:ascii="Courier New" w:cs="Courier New" w:eastAsia="Courier New" w:hAnsi="Courier New"/>
          <w:sz w:val="16"/>
          <w:szCs w:val="16"/>
          <w:color w:val="auto"/>
        </w:rPr>
        <w:t>Chairman, President and Chief Executive Officer of</w:t>
      </w:r>
    </w:p>
    <w:p>
      <w:pPr>
        <w:ind w:left="2780"/>
        <w:spacing w:after="0" w:line="237" w:lineRule="auto"/>
        <w:rPr>
          <w:sz w:val="20"/>
          <w:szCs w:val="20"/>
          <w:color w:val="auto"/>
        </w:rPr>
      </w:pPr>
      <w:r>
        <w:rPr>
          <w:rFonts w:ascii="Courier New" w:cs="Courier New" w:eastAsia="Courier New" w:hAnsi="Courier New"/>
          <w:sz w:val="16"/>
          <w:szCs w:val="16"/>
          <w:color w:val="auto"/>
        </w:rPr>
        <w:t>Weight Watchers International, a Heinz affiliate;</w:t>
      </w:r>
    </w:p>
    <w:p>
      <w:pPr>
        <w:ind w:left="2780"/>
        <w:spacing w:after="0" w:line="238" w:lineRule="auto"/>
        <w:rPr>
          <w:sz w:val="20"/>
          <w:szCs w:val="20"/>
          <w:color w:val="auto"/>
        </w:rPr>
      </w:pPr>
      <w:r>
        <w:rPr>
          <w:rFonts w:ascii="Courier New" w:cs="Courier New" w:eastAsia="Courier New" w:hAnsi="Courier New"/>
          <w:sz w:val="16"/>
          <w:szCs w:val="16"/>
          <w:color w:val="auto"/>
        </w:rPr>
        <w:t>Managing Director and Chief Executive Officer of</w:t>
      </w:r>
    </w:p>
    <w:p>
      <w:pPr>
        <w:ind w:left="2780"/>
        <w:spacing w:after="0" w:line="237" w:lineRule="auto"/>
        <w:rPr>
          <w:sz w:val="20"/>
          <w:szCs w:val="20"/>
          <w:color w:val="auto"/>
        </w:rPr>
      </w:pPr>
      <w:r>
        <w:rPr>
          <w:rFonts w:ascii="Courier New" w:cs="Courier New" w:eastAsia="Courier New" w:hAnsi="Courier New"/>
          <w:sz w:val="16"/>
          <w:szCs w:val="16"/>
          <w:color w:val="auto"/>
        </w:rPr>
        <w:t>Heinz-Italy (Milan), the largest Heinz profit</w:t>
      </w:r>
    </w:p>
    <w:p>
      <w:pPr>
        <w:ind w:left="2780"/>
        <w:spacing w:after="0" w:line="237" w:lineRule="auto"/>
        <w:rPr>
          <w:sz w:val="20"/>
          <w:szCs w:val="20"/>
          <w:color w:val="auto"/>
        </w:rPr>
      </w:pPr>
      <w:r>
        <w:rPr>
          <w:rFonts w:ascii="Courier New" w:cs="Courier New" w:eastAsia="Courier New" w:hAnsi="Courier New"/>
          <w:sz w:val="16"/>
          <w:szCs w:val="16"/>
          <w:color w:val="auto"/>
        </w:rPr>
        <w:t>center in Europe; General Manager, Marketing, for</w:t>
      </w:r>
    </w:p>
    <w:p>
      <w:pPr>
        <w:ind w:left="2780"/>
        <w:spacing w:after="0" w:line="237" w:lineRule="auto"/>
        <w:rPr>
          <w:sz w:val="20"/>
          <w:szCs w:val="20"/>
          <w:color w:val="auto"/>
        </w:rPr>
      </w:pPr>
      <w:r>
        <w:rPr>
          <w:rFonts w:ascii="Courier New" w:cs="Courier New" w:eastAsia="Courier New" w:hAnsi="Courier New"/>
          <w:sz w:val="16"/>
          <w:szCs w:val="16"/>
          <w:color w:val="auto"/>
        </w:rPr>
        <w:t>all Heinz U.S. grocery products; Marketing</w:t>
      </w:r>
    </w:p>
    <w:p>
      <w:pPr>
        <w:ind w:left="2780"/>
        <w:spacing w:after="0" w:line="237" w:lineRule="auto"/>
        <w:rPr>
          <w:sz w:val="20"/>
          <w:szCs w:val="20"/>
          <w:color w:val="auto"/>
        </w:rPr>
      </w:pPr>
      <w:r>
        <w:rPr>
          <w:rFonts w:ascii="Courier New" w:cs="Courier New" w:eastAsia="Courier New" w:hAnsi="Courier New"/>
          <w:sz w:val="16"/>
          <w:szCs w:val="16"/>
          <w:color w:val="auto"/>
        </w:rPr>
        <w:t>Director for Heinz U.K. (London); and Director of</w:t>
      </w:r>
    </w:p>
    <w:p>
      <w:pPr>
        <w:ind w:left="2780"/>
        <w:spacing w:after="0" w:line="237" w:lineRule="auto"/>
        <w:rPr>
          <w:sz w:val="20"/>
          <w:szCs w:val="20"/>
          <w:color w:val="auto"/>
        </w:rPr>
      </w:pPr>
      <w:r>
        <w:rPr>
          <w:rFonts w:ascii="Courier New" w:cs="Courier New" w:eastAsia="Courier New" w:hAnsi="Courier New"/>
          <w:sz w:val="16"/>
          <w:szCs w:val="16"/>
          <w:color w:val="auto"/>
        </w:rPr>
        <w:t>Corporate Planning at Heinz World Headquarters. He</w:t>
      </w:r>
    </w:p>
    <w:p>
      <w:pPr>
        <w:ind w:left="2780"/>
        <w:spacing w:after="0" w:line="237" w:lineRule="auto"/>
        <w:rPr>
          <w:sz w:val="20"/>
          <w:szCs w:val="20"/>
          <w:color w:val="auto"/>
        </w:rPr>
      </w:pPr>
      <w:r>
        <w:rPr>
          <w:rFonts w:ascii="Courier New" w:cs="Courier New" w:eastAsia="Courier New" w:hAnsi="Courier New"/>
          <w:sz w:val="16"/>
          <w:szCs w:val="16"/>
          <w:color w:val="auto"/>
        </w:rPr>
        <w:t>is also a former director of Miracle-Gro Products.</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Committee Membership: Finance</w:t>
      </w:r>
    </w:p>
    <w:p>
      <w:pPr>
        <w:spacing w:after="0" w:line="177"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6"/>
          <w:szCs w:val="16"/>
          <w:color w:val="auto"/>
        </w:rPr>
        <w:t>[JAMES HAGEDORN PHOTO]</w:t>
      </w:r>
      <w:r>
        <w:rPr>
          <w:sz w:val="20"/>
          <w:szCs w:val="20"/>
          <w:color w:val="auto"/>
        </w:rPr>
        <w:tab/>
      </w:r>
      <w:r>
        <w:rPr>
          <w:rFonts w:ascii="Courier New" w:cs="Courier New" w:eastAsia="Courier New" w:hAnsi="Courier New"/>
          <w:sz w:val="14"/>
          <w:szCs w:val="14"/>
          <w:color w:val="auto"/>
        </w:rPr>
        <w:t>James Hagedorn, age 44, President, Scotts North America, of</w:t>
      </w:r>
    </w:p>
    <w:p>
      <w:pPr>
        <w:jc w:val="right"/>
        <w:ind w:right="2319"/>
        <w:spacing w:after="0" w:line="237" w:lineRule="auto"/>
        <w:rPr>
          <w:sz w:val="20"/>
          <w:szCs w:val="20"/>
          <w:color w:val="auto"/>
        </w:rPr>
      </w:pPr>
      <w:r>
        <w:rPr>
          <w:rFonts w:ascii="Courier New" w:cs="Courier New" w:eastAsia="Courier New" w:hAnsi="Courier New"/>
          <w:sz w:val="16"/>
          <w:szCs w:val="16"/>
          <w:color w:val="auto"/>
        </w:rPr>
        <w:t>the Company since December 1998 and Director of the Company</w:t>
      </w:r>
    </w:p>
    <w:p>
      <w:pPr>
        <w:ind w:left="2320"/>
        <w:spacing w:after="0" w:line="237" w:lineRule="auto"/>
        <w:rPr>
          <w:sz w:val="20"/>
          <w:szCs w:val="20"/>
          <w:color w:val="auto"/>
        </w:rPr>
      </w:pPr>
      <w:r>
        <w:rPr>
          <w:rFonts w:ascii="Courier New" w:cs="Courier New" w:eastAsia="Courier New" w:hAnsi="Courier New"/>
          <w:sz w:val="16"/>
          <w:szCs w:val="16"/>
          <w:color w:val="auto"/>
        </w:rPr>
        <w:t>since 1995</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Mr. Hagedorn was named President, Scotts North</w:t>
      </w:r>
    </w:p>
    <w:p>
      <w:pPr>
        <w:ind w:left="2780"/>
        <w:spacing w:after="0" w:line="237" w:lineRule="auto"/>
        <w:rPr>
          <w:sz w:val="20"/>
          <w:szCs w:val="20"/>
          <w:color w:val="auto"/>
        </w:rPr>
      </w:pPr>
      <w:r>
        <w:rPr>
          <w:rFonts w:ascii="Courier New" w:cs="Courier New" w:eastAsia="Courier New" w:hAnsi="Courier New"/>
          <w:sz w:val="16"/>
          <w:szCs w:val="16"/>
          <w:color w:val="auto"/>
        </w:rPr>
        <w:t>America, in December 1998. He was previously</w:t>
      </w:r>
    </w:p>
    <w:p>
      <w:pPr>
        <w:ind w:left="2780"/>
        <w:spacing w:after="0" w:line="237" w:lineRule="auto"/>
        <w:rPr>
          <w:sz w:val="20"/>
          <w:szCs w:val="20"/>
          <w:color w:val="auto"/>
        </w:rPr>
      </w:pPr>
      <w:r>
        <w:rPr>
          <w:rFonts w:ascii="Courier New" w:cs="Courier New" w:eastAsia="Courier New" w:hAnsi="Courier New"/>
          <w:sz w:val="16"/>
          <w:szCs w:val="16"/>
          <w:color w:val="auto"/>
        </w:rPr>
        <w:t>Executive Vice President, U.S. Business Groups, of</w:t>
      </w:r>
    </w:p>
    <w:p>
      <w:pPr>
        <w:ind w:left="2780"/>
        <w:spacing w:after="0" w:line="237" w:lineRule="auto"/>
        <w:rPr>
          <w:sz w:val="20"/>
          <w:szCs w:val="20"/>
          <w:color w:val="auto"/>
        </w:rPr>
      </w:pPr>
      <w:r>
        <w:rPr>
          <w:rFonts w:ascii="Courier New" w:cs="Courier New" w:eastAsia="Courier New" w:hAnsi="Courier New"/>
          <w:sz w:val="16"/>
          <w:szCs w:val="16"/>
          <w:color w:val="auto"/>
        </w:rPr>
        <w:t>the Company, since October 1996. From May 1995</w:t>
      </w:r>
    </w:p>
    <w:p>
      <w:pPr>
        <w:ind w:left="2780"/>
        <w:spacing w:after="0" w:line="237" w:lineRule="auto"/>
        <w:rPr>
          <w:sz w:val="20"/>
          <w:szCs w:val="20"/>
          <w:color w:val="auto"/>
        </w:rPr>
      </w:pPr>
      <w:r>
        <w:rPr>
          <w:rFonts w:ascii="Courier New" w:cs="Courier New" w:eastAsia="Courier New" w:hAnsi="Courier New"/>
          <w:sz w:val="16"/>
          <w:szCs w:val="16"/>
          <w:color w:val="auto"/>
        </w:rPr>
        <w:t>until October 1996, he served as Senior Vice</w:t>
      </w:r>
    </w:p>
    <w:p>
      <w:pPr>
        <w:ind w:left="2780"/>
        <w:spacing w:after="0" w:line="237" w:lineRule="auto"/>
        <w:rPr>
          <w:sz w:val="20"/>
          <w:szCs w:val="20"/>
          <w:color w:val="auto"/>
        </w:rPr>
      </w:pPr>
      <w:r>
        <w:rPr>
          <w:rFonts w:ascii="Courier New" w:cs="Courier New" w:eastAsia="Courier New" w:hAnsi="Courier New"/>
          <w:sz w:val="16"/>
          <w:szCs w:val="16"/>
          <w:color w:val="auto"/>
        </w:rPr>
        <w:t>President, Consumer Gardens Group, of the Company.</w:t>
      </w:r>
    </w:p>
    <w:p>
      <w:pPr>
        <w:ind w:left="2780"/>
        <w:spacing w:after="0" w:line="237" w:lineRule="auto"/>
        <w:rPr>
          <w:sz w:val="20"/>
          <w:szCs w:val="20"/>
          <w:color w:val="auto"/>
        </w:rPr>
      </w:pPr>
      <w:r>
        <w:rPr>
          <w:rFonts w:ascii="Courier New" w:cs="Courier New" w:eastAsia="Courier New" w:hAnsi="Courier New"/>
          <w:sz w:val="16"/>
          <w:szCs w:val="16"/>
          <w:color w:val="auto"/>
        </w:rPr>
        <w:t>He served as Executive Vice President of Scotts</w:t>
      </w:r>
    </w:p>
    <w:p>
      <w:pPr>
        <w:ind w:left="2780"/>
        <w:spacing w:after="0" w:line="237" w:lineRule="auto"/>
        <w:rPr>
          <w:sz w:val="20"/>
          <w:szCs w:val="20"/>
          <w:color w:val="auto"/>
        </w:rPr>
      </w:pPr>
      <w:r>
        <w:rPr>
          <w:rFonts w:ascii="Courier New" w:cs="Courier New" w:eastAsia="Courier New" w:hAnsi="Courier New"/>
          <w:sz w:val="16"/>
          <w:szCs w:val="16"/>
          <w:color w:val="auto"/>
        </w:rPr>
        <w:t>Miracle-Gro since May 1995, and Executive Vice</w:t>
      </w:r>
    </w:p>
    <w:p>
      <w:pPr>
        <w:ind w:left="2780"/>
        <w:spacing w:after="0" w:line="237" w:lineRule="auto"/>
        <w:rPr>
          <w:sz w:val="20"/>
          <w:szCs w:val="20"/>
          <w:color w:val="auto"/>
        </w:rPr>
      </w:pPr>
      <w:r>
        <w:rPr>
          <w:rFonts w:ascii="Courier New" w:cs="Courier New" w:eastAsia="Courier New" w:hAnsi="Courier New"/>
          <w:sz w:val="16"/>
          <w:szCs w:val="16"/>
          <w:color w:val="auto"/>
        </w:rPr>
        <w:t>President of Miracle-Gro Products from 1989 until</w:t>
      </w:r>
    </w:p>
    <w:p>
      <w:pPr>
        <w:ind w:left="2780"/>
        <w:spacing w:after="0" w:line="237" w:lineRule="auto"/>
        <w:rPr>
          <w:sz w:val="20"/>
          <w:szCs w:val="20"/>
          <w:color w:val="auto"/>
        </w:rPr>
      </w:pPr>
      <w:r>
        <w:rPr>
          <w:rFonts w:ascii="Courier New" w:cs="Courier New" w:eastAsia="Courier New" w:hAnsi="Courier New"/>
          <w:sz w:val="16"/>
          <w:szCs w:val="16"/>
          <w:color w:val="auto"/>
        </w:rPr>
        <w:t>May 1995. James Hagedorn is the son of Horace</w:t>
      </w:r>
    </w:p>
    <w:p>
      <w:pPr>
        <w:ind w:left="2780"/>
        <w:spacing w:after="0" w:line="238" w:lineRule="auto"/>
        <w:rPr>
          <w:sz w:val="20"/>
          <w:szCs w:val="20"/>
          <w:color w:val="auto"/>
        </w:rPr>
      </w:pPr>
      <w:r>
        <w:rPr>
          <w:rFonts w:ascii="Courier New" w:cs="Courier New" w:eastAsia="Courier New" w:hAnsi="Courier New"/>
          <w:sz w:val="16"/>
          <w:szCs w:val="16"/>
          <w:color w:val="auto"/>
        </w:rPr>
        <w:t>Hagedorn.</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Committee Membership: Finance; Nominating and</w:t>
      </w:r>
    </w:p>
    <w:p>
      <w:pPr>
        <w:ind w:left="2780"/>
        <w:spacing w:after="0" w:line="237" w:lineRule="auto"/>
        <w:rPr>
          <w:sz w:val="20"/>
          <w:szCs w:val="20"/>
          <w:color w:val="auto"/>
        </w:rPr>
      </w:pPr>
      <w:r>
        <w:rPr>
          <w:rFonts w:ascii="Courier New" w:cs="Courier New" w:eastAsia="Courier New" w:hAnsi="Courier New"/>
          <w:sz w:val="16"/>
          <w:szCs w:val="16"/>
          <w:color w:val="auto"/>
        </w:rPr>
        <w:t>Board Governance</w:t>
      </w:r>
    </w:p>
    <w:p>
      <w:pPr>
        <w:spacing w:after="0" w:line="177"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6"/>
          <w:szCs w:val="16"/>
          <w:color w:val="auto"/>
        </w:rPr>
        <w:t>[KAREN G. MILLS PHOTO]</w:t>
      </w:r>
      <w:r>
        <w:rPr>
          <w:sz w:val="20"/>
          <w:szCs w:val="20"/>
          <w:color w:val="auto"/>
        </w:rPr>
        <w:tab/>
      </w:r>
      <w:r>
        <w:rPr>
          <w:rFonts w:ascii="Courier New" w:cs="Courier New" w:eastAsia="Courier New" w:hAnsi="Courier New"/>
          <w:sz w:val="14"/>
          <w:szCs w:val="14"/>
          <w:color w:val="auto"/>
        </w:rPr>
        <w:t>Karen G. Mills, age 46, Director of the Company since 1994</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Ms. Mills has been President of MMP Group, Inc.,</w:t>
      </w:r>
    </w:p>
    <w:p>
      <w:pPr>
        <w:ind w:left="2780"/>
        <w:spacing w:after="0" w:line="237" w:lineRule="auto"/>
        <w:rPr>
          <w:sz w:val="20"/>
          <w:szCs w:val="20"/>
          <w:color w:val="auto"/>
        </w:rPr>
      </w:pPr>
      <w:r>
        <w:rPr>
          <w:rFonts w:ascii="Courier New" w:cs="Courier New" w:eastAsia="Courier New" w:hAnsi="Courier New"/>
          <w:sz w:val="16"/>
          <w:szCs w:val="16"/>
          <w:color w:val="auto"/>
        </w:rPr>
        <w:t>an advisory company serving leveraged buy-out</w:t>
      </w:r>
    </w:p>
    <w:p>
      <w:pPr>
        <w:ind w:left="2780"/>
        <w:spacing w:after="0" w:line="237" w:lineRule="auto"/>
        <w:rPr>
          <w:sz w:val="20"/>
          <w:szCs w:val="20"/>
          <w:color w:val="auto"/>
        </w:rPr>
      </w:pPr>
      <w:r>
        <w:rPr>
          <w:rFonts w:ascii="Courier New" w:cs="Courier New" w:eastAsia="Courier New" w:hAnsi="Courier New"/>
          <w:sz w:val="16"/>
          <w:szCs w:val="16"/>
          <w:color w:val="auto"/>
        </w:rPr>
        <w:t>firms, company owners and chief executive officers</w:t>
      </w:r>
    </w:p>
    <w:p>
      <w:pPr>
        <w:ind w:left="2780"/>
        <w:spacing w:after="0" w:line="237" w:lineRule="auto"/>
        <w:rPr>
          <w:sz w:val="20"/>
          <w:szCs w:val="20"/>
          <w:color w:val="auto"/>
        </w:rPr>
      </w:pPr>
      <w:r>
        <w:rPr>
          <w:rFonts w:ascii="Courier New" w:cs="Courier New" w:eastAsia="Courier New" w:hAnsi="Courier New"/>
          <w:sz w:val="16"/>
          <w:szCs w:val="16"/>
          <w:color w:val="auto"/>
        </w:rPr>
        <w:t>since 1993. From 1983 until 1993, she served as</w:t>
      </w:r>
    </w:p>
    <w:p>
      <w:pPr>
        <w:ind w:left="2780"/>
        <w:spacing w:after="0" w:line="237" w:lineRule="auto"/>
        <w:rPr>
          <w:sz w:val="20"/>
          <w:szCs w:val="20"/>
          <w:color w:val="auto"/>
        </w:rPr>
      </w:pPr>
      <w:r>
        <w:rPr>
          <w:rFonts w:ascii="Courier New" w:cs="Courier New" w:eastAsia="Courier New" w:hAnsi="Courier New"/>
          <w:sz w:val="16"/>
          <w:szCs w:val="16"/>
          <w:color w:val="auto"/>
        </w:rPr>
        <w:t>Managing Director at E.S. Jacobs and Company and</w:t>
      </w:r>
    </w:p>
    <w:p>
      <w:pPr>
        <w:ind w:left="2780"/>
        <w:spacing w:after="0" w:line="237" w:lineRule="auto"/>
        <w:rPr>
          <w:sz w:val="20"/>
          <w:szCs w:val="20"/>
          <w:color w:val="auto"/>
        </w:rPr>
      </w:pPr>
      <w:r>
        <w:rPr>
          <w:rFonts w:ascii="Courier New" w:cs="Courier New" w:eastAsia="Courier New" w:hAnsi="Courier New"/>
          <w:sz w:val="16"/>
          <w:szCs w:val="16"/>
          <w:color w:val="auto"/>
        </w:rPr>
        <w:t>as Chief Operating Officer of its Industrial</w:t>
      </w:r>
    </w:p>
    <w:p>
      <w:pPr>
        <w:ind w:left="2780"/>
        <w:spacing w:after="0" w:line="237" w:lineRule="auto"/>
        <w:rPr>
          <w:sz w:val="20"/>
          <w:szCs w:val="20"/>
          <w:color w:val="auto"/>
        </w:rPr>
      </w:pPr>
      <w:r>
        <w:rPr>
          <w:rFonts w:ascii="Courier New" w:cs="Courier New" w:eastAsia="Courier New" w:hAnsi="Courier New"/>
          <w:sz w:val="16"/>
          <w:szCs w:val="16"/>
          <w:color w:val="auto"/>
        </w:rPr>
        <w:t>Group. She previously held positions at McKinsey</w:t>
      </w:r>
    </w:p>
    <w:p>
      <w:pPr>
        <w:ind w:left="2780"/>
        <w:spacing w:after="0" w:line="237" w:lineRule="auto"/>
        <w:rPr>
          <w:sz w:val="20"/>
          <w:szCs w:val="20"/>
          <w:color w:val="auto"/>
        </w:rPr>
      </w:pPr>
      <w:r>
        <w:rPr>
          <w:rFonts w:ascii="Courier New" w:cs="Courier New" w:eastAsia="Courier New" w:hAnsi="Courier New"/>
          <w:sz w:val="16"/>
          <w:szCs w:val="16"/>
          <w:color w:val="auto"/>
        </w:rPr>
        <w:t>and Co. and General Foods, Inc. Ms. Mills is</w:t>
      </w:r>
    </w:p>
    <w:p>
      <w:pPr>
        <w:ind w:left="2780"/>
        <w:spacing w:after="0" w:line="237" w:lineRule="auto"/>
        <w:rPr>
          <w:sz w:val="20"/>
          <w:szCs w:val="20"/>
          <w:color w:val="auto"/>
        </w:rPr>
      </w:pPr>
      <w:r>
        <w:rPr>
          <w:rFonts w:ascii="Courier New" w:cs="Courier New" w:eastAsia="Courier New" w:hAnsi="Courier New"/>
          <w:sz w:val="16"/>
          <w:szCs w:val="16"/>
          <w:color w:val="auto"/>
        </w:rPr>
        <w:t>currently a member of the board of directors of</w:t>
      </w:r>
    </w:p>
    <w:p>
      <w:pPr>
        <w:ind w:left="2780"/>
        <w:spacing w:after="0" w:line="237" w:lineRule="auto"/>
        <w:rPr>
          <w:sz w:val="20"/>
          <w:szCs w:val="20"/>
          <w:color w:val="auto"/>
        </w:rPr>
      </w:pPr>
      <w:r>
        <w:rPr>
          <w:rFonts w:ascii="Courier New" w:cs="Courier New" w:eastAsia="Courier New" w:hAnsi="Courier New"/>
          <w:sz w:val="16"/>
          <w:szCs w:val="16"/>
          <w:color w:val="auto"/>
        </w:rPr>
        <w:t>Edwards Fine Foods and Dry Bulk Shipping Inc.,</w:t>
      </w:r>
    </w:p>
    <w:p>
      <w:pPr>
        <w:ind w:left="2780"/>
        <w:spacing w:after="0" w:line="238" w:lineRule="auto"/>
        <w:rPr>
          <w:sz w:val="20"/>
          <w:szCs w:val="20"/>
          <w:color w:val="auto"/>
        </w:rPr>
      </w:pPr>
      <w:r>
        <w:rPr>
          <w:rFonts w:ascii="Courier New" w:cs="Courier New" w:eastAsia="Courier New" w:hAnsi="Courier New"/>
          <w:sz w:val="16"/>
          <w:szCs w:val="16"/>
          <w:color w:val="auto"/>
        </w:rPr>
        <w:t>both privately-held companies, and Arrow</w:t>
      </w:r>
    </w:p>
    <w:p>
      <w:pPr>
        <w:ind w:left="2780"/>
        <w:spacing w:after="0" w:line="237" w:lineRule="auto"/>
        <w:rPr>
          <w:sz w:val="20"/>
          <w:szCs w:val="20"/>
          <w:color w:val="auto"/>
        </w:rPr>
      </w:pPr>
      <w:r>
        <w:rPr>
          <w:rFonts w:ascii="Courier New" w:cs="Courier New" w:eastAsia="Courier New" w:hAnsi="Courier New"/>
          <w:sz w:val="16"/>
          <w:szCs w:val="16"/>
          <w:color w:val="auto"/>
        </w:rPr>
        <w:t>Electronics, Inc.</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Committee Membership: Finance; Nominating and Board</w:t>
      </w:r>
    </w:p>
    <w:p>
      <w:pPr>
        <w:ind w:left="2780"/>
        <w:spacing w:after="0" w:line="237" w:lineRule="auto"/>
        <w:rPr>
          <w:sz w:val="20"/>
          <w:szCs w:val="20"/>
          <w:color w:val="auto"/>
        </w:rPr>
      </w:pPr>
      <w:r>
        <w:rPr>
          <w:rFonts w:ascii="Courier New" w:cs="Courier New" w:eastAsia="Courier New" w:hAnsi="Courier New"/>
          <w:sz w:val="16"/>
          <w:szCs w:val="16"/>
          <w:color w:val="auto"/>
        </w:rPr>
        <w:t>Governance (Chairman)</w:t>
      </w:r>
    </w:p>
    <w:p>
      <w:pPr>
        <w:spacing w:after="0" w:line="177"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6"/>
          <w:szCs w:val="16"/>
          <w:color w:val="auto"/>
        </w:rPr>
        <w:t>[JOHN WALKER PHOTO]</w:t>
      </w:r>
      <w:r>
        <w:rPr>
          <w:sz w:val="20"/>
          <w:szCs w:val="20"/>
          <w:color w:val="auto"/>
        </w:rPr>
        <w:tab/>
      </w:r>
      <w:r>
        <w:rPr>
          <w:rFonts w:ascii="Courier New" w:cs="Courier New" w:eastAsia="Courier New" w:hAnsi="Courier New"/>
          <w:sz w:val="14"/>
          <w:szCs w:val="14"/>
          <w:color w:val="auto"/>
        </w:rPr>
        <w:t>John Walker, Ph.D., age 59, Director of the Company since</w:t>
      </w:r>
    </w:p>
    <w:p>
      <w:pPr>
        <w:ind w:left="2320"/>
        <w:spacing w:after="0" w:line="237" w:lineRule="auto"/>
        <w:rPr>
          <w:sz w:val="20"/>
          <w:szCs w:val="20"/>
          <w:color w:val="auto"/>
        </w:rPr>
      </w:pPr>
      <w:r>
        <w:rPr>
          <w:rFonts w:ascii="Courier New" w:cs="Courier New" w:eastAsia="Courier New" w:hAnsi="Courier New"/>
          <w:sz w:val="16"/>
          <w:szCs w:val="16"/>
          <w:color w:val="auto"/>
        </w:rPr>
        <w:t>1998</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Since September 1994, Dr. Walker has been Chairman</w:t>
      </w:r>
    </w:p>
    <w:p>
      <w:pPr>
        <w:ind w:left="2780"/>
        <w:spacing w:after="0" w:line="237" w:lineRule="auto"/>
        <w:rPr>
          <w:sz w:val="20"/>
          <w:szCs w:val="20"/>
          <w:color w:val="auto"/>
        </w:rPr>
      </w:pPr>
      <w:r>
        <w:rPr>
          <w:rFonts w:ascii="Courier New" w:cs="Courier New" w:eastAsia="Courier New" w:hAnsi="Courier New"/>
          <w:sz w:val="16"/>
          <w:szCs w:val="16"/>
          <w:color w:val="auto"/>
        </w:rPr>
        <w:t>of Advent International plc, a private equity</w:t>
      </w:r>
    </w:p>
    <w:p>
      <w:pPr>
        <w:ind w:left="2780"/>
        <w:spacing w:after="0" w:line="237" w:lineRule="auto"/>
        <w:rPr>
          <w:sz w:val="20"/>
          <w:szCs w:val="20"/>
          <w:color w:val="auto"/>
        </w:rPr>
      </w:pPr>
      <w:r>
        <w:rPr>
          <w:rFonts w:ascii="Courier New" w:cs="Courier New" w:eastAsia="Courier New" w:hAnsi="Courier New"/>
          <w:sz w:val="16"/>
          <w:szCs w:val="16"/>
          <w:color w:val="auto"/>
        </w:rPr>
        <w:t>management company based in Boston, Massachusetts</w:t>
      </w:r>
    </w:p>
    <w:p>
      <w:pPr>
        <w:ind w:left="2780"/>
        <w:spacing w:after="0" w:line="237" w:lineRule="auto"/>
        <w:rPr>
          <w:sz w:val="20"/>
          <w:szCs w:val="20"/>
          <w:color w:val="auto"/>
        </w:rPr>
      </w:pPr>
      <w:r>
        <w:rPr>
          <w:rFonts w:ascii="Courier New" w:cs="Courier New" w:eastAsia="Courier New" w:hAnsi="Courier New"/>
          <w:sz w:val="16"/>
          <w:szCs w:val="16"/>
          <w:color w:val="auto"/>
        </w:rPr>
        <w:t>which manages over $3 billion on a global basis.</w:t>
      </w:r>
    </w:p>
    <w:p>
      <w:pPr>
        <w:ind w:left="2780"/>
        <w:spacing w:after="0" w:line="237" w:lineRule="auto"/>
        <w:rPr>
          <w:sz w:val="20"/>
          <w:szCs w:val="20"/>
          <w:color w:val="auto"/>
        </w:rPr>
      </w:pPr>
      <w:r>
        <w:rPr>
          <w:rFonts w:ascii="Courier New" w:cs="Courier New" w:eastAsia="Courier New" w:hAnsi="Courier New"/>
          <w:sz w:val="16"/>
          <w:szCs w:val="16"/>
          <w:color w:val="auto"/>
        </w:rPr>
        <w:t>In May 1984, he co-founded Trinity Capital</w:t>
      </w:r>
    </w:p>
    <w:p>
      <w:pPr>
        <w:ind w:left="2780"/>
        <w:spacing w:after="0" w:line="237" w:lineRule="auto"/>
        <w:rPr>
          <w:sz w:val="20"/>
          <w:szCs w:val="20"/>
          <w:color w:val="auto"/>
        </w:rPr>
      </w:pPr>
      <w:r>
        <w:rPr>
          <w:rFonts w:ascii="Courier New" w:cs="Courier New" w:eastAsia="Courier New" w:hAnsi="Courier New"/>
          <w:sz w:val="16"/>
          <w:szCs w:val="16"/>
          <w:color w:val="auto"/>
        </w:rPr>
        <w:t>Partners, a venture firm specializing in</w:t>
      </w:r>
    </w:p>
    <w:p>
      <w:pPr>
        <w:ind w:left="2780"/>
        <w:spacing w:after="0" w:line="237" w:lineRule="auto"/>
        <w:rPr>
          <w:sz w:val="20"/>
          <w:szCs w:val="20"/>
          <w:color w:val="auto"/>
        </w:rPr>
      </w:pPr>
      <w:r>
        <w:rPr>
          <w:rFonts w:ascii="Courier New" w:cs="Courier New" w:eastAsia="Courier New" w:hAnsi="Courier New"/>
          <w:sz w:val="16"/>
          <w:szCs w:val="16"/>
          <w:color w:val="auto"/>
        </w:rPr>
        <w:t>healthcare and environmental business investments.</w:t>
      </w:r>
    </w:p>
    <w:p>
      <w:pPr>
        <w:ind w:left="2780"/>
        <w:spacing w:after="0" w:line="237" w:lineRule="auto"/>
        <w:rPr>
          <w:sz w:val="20"/>
          <w:szCs w:val="20"/>
          <w:color w:val="auto"/>
        </w:rPr>
      </w:pPr>
      <w:r>
        <w:rPr>
          <w:rFonts w:ascii="Courier New" w:cs="Courier New" w:eastAsia="Courier New" w:hAnsi="Courier New"/>
          <w:sz w:val="16"/>
          <w:szCs w:val="16"/>
          <w:color w:val="auto"/>
        </w:rPr>
        <w:t>He continued his association with Trinity until</w:t>
      </w:r>
    </w:p>
    <w:p>
      <w:pPr>
        <w:ind w:left="2780"/>
        <w:spacing w:after="0" w:line="237" w:lineRule="auto"/>
        <w:rPr>
          <w:sz w:val="20"/>
          <w:szCs w:val="20"/>
          <w:color w:val="auto"/>
        </w:rPr>
      </w:pPr>
      <w:r>
        <w:rPr>
          <w:rFonts w:ascii="Courier New" w:cs="Courier New" w:eastAsia="Courier New" w:hAnsi="Courier New"/>
          <w:sz w:val="16"/>
          <w:szCs w:val="16"/>
          <w:color w:val="auto"/>
        </w:rPr>
        <w:t>1994.</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Committee Membership: Compensation and Organization;</w:t>
      </w:r>
    </w:p>
    <w:p>
      <w:pPr>
        <w:ind w:left="2780"/>
        <w:spacing w:after="0" w:line="237" w:lineRule="auto"/>
        <w:rPr>
          <w:sz w:val="20"/>
          <w:szCs w:val="20"/>
          <w:color w:val="auto"/>
        </w:rPr>
      </w:pPr>
      <w:r>
        <w:rPr>
          <w:rFonts w:ascii="Courier New" w:cs="Courier New" w:eastAsia="Courier New" w:hAnsi="Courier New"/>
          <w:sz w:val="16"/>
          <w:szCs w:val="16"/>
          <w:color w:val="auto"/>
        </w:rPr>
        <w:t>Finance (Chairman)</w:t>
      </w:r>
    </w:p>
    <w:p>
      <w:pPr>
        <w:sectPr>
          <w:pgSz w:w="11900" w:h="16838" w:orient="portrait"/>
          <w:cols w:equalWidth="0" w:num="1">
            <w:col w:w="10139"/>
          </w:cols>
          <w:pgMar w:left="320" w:top="291" w:right="1440" w:bottom="1118" w:gutter="0" w:footer="0" w:header="0"/>
        </w:sectPr>
      </w:pPr>
    </w:p>
    <w:p>
      <w:pPr>
        <w:spacing w:after="0" w:line="35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139"/>
          </w:cols>
          <w:pgMar w:left="320" w:top="291" w:right="1440" w:bottom="1118"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AND VOTE</w:t>
      </w:r>
    </w:p>
    <w:p>
      <w:pPr>
        <w:spacing w:after="0" w:line="183" w:lineRule="exact"/>
        <w:rPr>
          <w:sz w:val="20"/>
          <w:szCs w:val="20"/>
          <w:color w:val="auto"/>
        </w:rPr>
      </w:pPr>
    </w:p>
    <w:p>
      <w:pPr>
        <w:ind w:right="2699" w:firstLine="466"/>
        <w:spacing w:after="0" w:line="236" w:lineRule="auto"/>
        <w:rPr>
          <w:sz w:val="20"/>
          <w:szCs w:val="20"/>
          <w:color w:val="auto"/>
        </w:rPr>
      </w:pPr>
      <w:r>
        <w:rPr>
          <w:rFonts w:ascii="Courier New" w:cs="Courier New" w:eastAsia="Courier New" w:hAnsi="Courier New"/>
          <w:sz w:val="16"/>
          <w:szCs w:val="16"/>
          <w:color w:val="auto"/>
        </w:rPr>
        <w:t>Under Ohio law and the Company's Code of Regulations, the three nominees for election in Class II receiving the greatest number of votes will be elected. Common Shares represented by the accompanying proxy card will be voted FOR the election of the above-named nominees unless authority to vote for one or more nominees is withheld. Shareholders may withhold authority to vote for the entire slate as nominated or, by writing the name of one or more nominees in the space provided in the proxy card, withhold the authority to vote for such nominee or nominees. Common Shares as to which the authority to vote is withheld will be counted for quorum purposes but will not be counted toward the election of directors, or toward the election of the individual nominees specified on the form of proxy.</w:t>
      </w:r>
    </w:p>
    <w:p>
      <w:pPr>
        <w:spacing w:after="0" w:line="188" w:lineRule="exact"/>
        <w:rPr>
          <w:sz w:val="20"/>
          <w:szCs w:val="20"/>
          <w:color w:val="auto"/>
        </w:rPr>
      </w:pPr>
    </w:p>
    <w:p>
      <w:pPr>
        <w:ind w:right="3619" w:firstLine="466"/>
        <w:spacing w:after="0" w:line="234" w:lineRule="auto"/>
        <w:rPr>
          <w:sz w:val="20"/>
          <w:szCs w:val="20"/>
          <w:color w:val="auto"/>
        </w:rPr>
      </w:pPr>
      <w:r>
        <w:rPr>
          <w:rFonts w:ascii="Courier New" w:cs="Courier New" w:eastAsia="Courier New" w:hAnsi="Courier New"/>
          <w:sz w:val="16"/>
          <w:szCs w:val="16"/>
          <w:color w:val="auto"/>
        </w:rPr>
        <w:t>YOUR BOARD OF DIRECTORS RECOMMENDS A VOTE FOR THE ELECTION OF THE ABOVE-NAMED CLASS II DIRECTOR NOMINEES.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COMMITTEES AND MEETINGS OF THE BOARD</w:t>
      </w:r>
    </w:p>
    <w:p>
      <w:pPr>
        <w:spacing w:after="0" w:line="183" w:lineRule="exact"/>
        <w:rPr>
          <w:sz w:val="20"/>
          <w:szCs w:val="20"/>
          <w:color w:val="auto"/>
        </w:rPr>
      </w:pPr>
    </w:p>
    <w:p>
      <w:pPr>
        <w:ind w:right="2779" w:firstLine="466"/>
        <w:spacing w:after="0" w:line="236" w:lineRule="auto"/>
        <w:rPr>
          <w:sz w:val="20"/>
          <w:szCs w:val="20"/>
          <w:color w:val="auto"/>
        </w:rPr>
      </w:pPr>
      <w:r>
        <w:rPr>
          <w:rFonts w:ascii="Courier New" w:cs="Courier New" w:eastAsia="Courier New" w:hAnsi="Courier New"/>
          <w:sz w:val="16"/>
          <w:szCs w:val="16"/>
          <w:color w:val="auto"/>
        </w:rPr>
        <w:t>The Board of Directors held six regularly scheduled or special meetings during the 1999 fiscal year. The Board of Directors has four standing committees: the Audit Committee; the Compensation and Organization Committee; the Finance Committee; and the Nominating and Board Governance Committee. Each current member of the Board attended at least 75% of the aggregate of the total number of meetings of the Board of Directors and of the committees on which he or she served during the 1999 fiscal year.</w:t>
      </w:r>
    </w:p>
    <w:p>
      <w:pPr>
        <w:spacing w:after="0" w:line="185" w:lineRule="exact"/>
        <w:rPr>
          <w:sz w:val="20"/>
          <w:szCs w:val="20"/>
          <w:color w:val="auto"/>
        </w:rPr>
      </w:pPr>
    </w:p>
    <w:p>
      <w:pPr>
        <w:ind w:right="2779" w:firstLine="466"/>
        <w:spacing w:after="0" w:line="236" w:lineRule="auto"/>
        <w:rPr>
          <w:sz w:val="20"/>
          <w:szCs w:val="20"/>
          <w:color w:val="auto"/>
        </w:rPr>
      </w:pPr>
      <w:r>
        <w:rPr>
          <w:rFonts w:ascii="Courier New" w:cs="Courier New" w:eastAsia="Courier New" w:hAnsi="Courier New"/>
          <w:sz w:val="16"/>
          <w:szCs w:val="16"/>
          <w:color w:val="auto"/>
        </w:rPr>
        <w:t>Audit Committee. The Audit Committee reviews and approves the scope and results of any outside audit of the Company and the fees therefor and makes recommendations to the Board of Directors or management concerning auditing and accounting matters and the selection of outside auditors. The Audit Committee met seven times during the 1999 fiscal year.</w:t>
      </w:r>
    </w:p>
    <w:p>
      <w:pPr>
        <w:spacing w:after="0" w:line="183" w:lineRule="exact"/>
        <w:rPr>
          <w:sz w:val="20"/>
          <w:szCs w:val="20"/>
          <w:color w:val="auto"/>
        </w:rPr>
      </w:pPr>
    </w:p>
    <w:p>
      <w:pPr>
        <w:ind w:right="2779" w:firstLine="466"/>
        <w:spacing w:after="0" w:line="236" w:lineRule="auto"/>
        <w:rPr>
          <w:sz w:val="20"/>
          <w:szCs w:val="20"/>
          <w:color w:val="auto"/>
        </w:rPr>
      </w:pPr>
      <w:r>
        <w:rPr>
          <w:rFonts w:ascii="Courier New" w:cs="Courier New" w:eastAsia="Courier New" w:hAnsi="Courier New"/>
          <w:sz w:val="16"/>
          <w:szCs w:val="16"/>
          <w:color w:val="auto"/>
        </w:rPr>
        <w:t>Compensation and Organization Committee. The Compensation and Organization Committee reviews, considers and acts upon matters concerning salary and other compensation and benefits of all executive officers and certain other employees of the Company. In addition, it acts upon all matters concerning, and exercises such authority as is delegated to it under the provisions of, any benefit, retirement or pension plan maintained by the Company. This Committee also advises the Board regarding executive officer organizational issues and succession plans. The Compensation and Organization Committee met four times during the 1999 fiscal year.</w:t>
      </w:r>
    </w:p>
    <w:p>
      <w:pPr>
        <w:spacing w:after="0" w:line="187" w:lineRule="exact"/>
        <w:rPr>
          <w:sz w:val="20"/>
          <w:szCs w:val="20"/>
          <w:color w:val="auto"/>
        </w:rPr>
      </w:pPr>
    </w:p>
    <w:p>
      <w:pPr>
        <w:ind w:right="2699" w:firstLine="466"/>
        <w:spacing w:after="0" w:line="236" w:lineRule="auto"/>
        <w:rPr>
          <w:sz w:val="20"/>
          <w:szCs w:val="20"/>
          <w:color w:val="auto"/>
        </w:rPr>
      </w:pPr>
      <w:r>
        <w:rPr>
          <w:rFonts w:ascii="Courier New" w:cs="Courier New" w:eastAsia="Courier New" w:hAnsi="Courier New"/>
          <w:sz w:val="16"/>
          <w:szCs w:val="16"/>
          <w:color w:val="auto"/>
        </w:rPr>
        <w:t>Finance Committee. The Finance Committee provides oversight of the financial plans and policies of the Company and its subsidiaries by reviewing: annual business plans; operating performance goals; investment, dividend payment and stock repurchase programs; financial forecasts; and general corporate financing matters. The Finance Committee met one time during the 1999 fiscal year.</w:t>
      </w:r>
    </w:p>
    <w:p>
      <w:pPr>
        <w:spacing w:after="0" w:line="184" w:lineRule="exact"/>
        <w:rPr>
          <w:sz w:val="20"/>
          <w:szCs w:val="20"/>
          <w:color w:val="auto"/>
        </w:rPr>
      </w:pPr>
    </w:p>
    <w:p>
      <w:pPr>
        <w:ind w:right="2699" w:firstLine="466"/>
        <w:spacing w:after="0" w:line="236" w:lineRule="auto"/>
        <w:rPr>
          <w:sz w:val="20"/>
          <w:szCs w:val="20"/>
          <w:color w:val="auto"/>
        </w:rPr>
      </w:pPr>
      <w:r>
        <w:rPr>
          <w:rFonts w:ascii="Courier New" w:cs="Courier New" w:eastAsia="Courier New" w:hAnsi="Courier New"/>
          <w:sz w:val="16"/>
          <w:szCs w:val="16"/>
          <w:color w:val="auto"/>
        </w:rPr>
        <w:t>Nominating and Board Governance Committee. The Nominating and Board Governance Committee recommends policies on the composition of the Board of Directors and nominees for membership on the Board. This Committee has not established a procedure for shareholders to recommend nominees to the Board for the Annual Meeting. Rather, it conducts, and will conduct, its own search for available, qualified nominees. The Nominating and Board Governance Committee met four times during the 1999 fiscal year.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83" w:lineRule="exact"/>
        <w:rPr>
          <w:sz w:val="20"/>
          <w:szCs w:val="20"/>
          <w:color w:val="auto"/>
        </w:rPr>
      </w:pPr>
    </w:p>
    <w:p>
      <w:pPr>
        <w:ind w:right="3059" w:firstLine="466"/>
        <w:spacing w:after="0" w:line="235" w:lineRule="auto"/>
        <w:rPr>
          <w:sz w:val="20"/>
          <w:szCs w:val="20"/>
          <w:color w:val="auto"/>
        </w:rPr>
      </w:pPr>
      <w:r>
        <w:rPr>
          <w:rFonts w:ascii="Courier New" w:cs="Courier New" w:eastAsia="Courier New" w:hAnsi="Courier New"/>
          <w:sz w:val="16"/>
          <w:szCs w:val="16"/>
          <w:color w:val="auto"/>
        </w:rPr>
        <w:t>Each director of the Company who is not an employee of the Company (the "Non-employee Directors") receives a $30,000 annual retainer for Board and committee meetings plus reimbursement of all reasonable travel and other expenses of attending such meetings.</w:t>
      </w:r>
    </w:p>
    <w:p>
      <w:pPr>
        <w:spacing w:after="0" w:line="185" w:lineRule="exact"/>
        <w:rPr>
          <w:sz w:val="20"/>
          <w:szCs w:val="20"/>
          <w:color w:val="auto"/>
        </w:rPr>
      </w:pPr>
    </w:p>
    <w:p>
      <w:pPr>
        <w:ind w:right="2699" w:firstLine="466"/>
        <w:spacing w:after="0" w:line="236" w:lineRule="auto"/>
        <w:rPr>
          <w:sz w:val="20"/>
          <w:szCs w:val="20"/>
          <w:color w:val="auto"/>
        </w:rPr>
      </w:pPr>
      <w:r>
        <w:rPr>
          <w:rFonts w:ascii="Courier New" w:cs="Courier New" w:eastAsia="Courier New" w:hAnsi="Courier New"/>
          <w:sz w:val="16"/>
          <w:szCs w:val="16"/>
          <w:color w:val="auto"/>
        </w:rPr>
        <w:t>Non-employee Directors also receive an annual grant, on the first business day following the date of each annual meeting of shareholders, of options to purchase 5,000 Common Shares at an exercise price equal to the fair market value of the Common Shares on the date of the grant. Non-employee Directors who are members of a Board committee receive options to purchase an additional 500 Common Shares for each committee on which they serve (with committee chairs receiving options to purchase a total of an additional 1,500 Common Shares for each committee they chair). Options granted to a Non-employee Director become exercisable six months after the</w:t>
      </w:r>
    </w:p>
    <w:p>
      <w:pPr>
        <w:sectPr>
          <w:pgSz w:w="11900" w:h="16838" w:orient="portrait"/>
          <w:cols w:equalWidth="0" w:num="1">
            <w:col w:w="10139"/>
          </w:cols>
          <w:pgMar w:left="320" w:top="291" w:right="1440" w:bottom="1440" w:gutter="0" w:footer="0" w:header="0"/>
        </w:sectPr>
      </w:pPr>
    </w:p>
    <w:p>
      <w:pPr>
        <w:spacing w:after="0" w:line="18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139"/>
          </w:cols>
          <w:pgMar w:left="320" w:top="291"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183" w:lineRule="exact"/>
        <w:rPr>
          <w:sz w:val="20"/>
          <w:szCs w:val="20"/>
          <w:color w:val="auto"/>
        </w:rPr>
      </w:pPr>
    </w:p>
    <w:p>
      <w:pPr>
        <w:ind w:right="2699"/>
        <w:spacing w:after="0" w:line="236" w:lineRule="auto"/>
        <w:rPr>
          <w:sz w:val="20"/>
          <w:szCs w:val="20"/>
          <w:color w:val="auto"/>
        </w:rPr>
      </w:pPr>
      <w:r>
        <w:rPr>
          <w:rFonts w:ascii="Courier New" w:cs="Courier New" w:eastAsia="Courier New" w:hAnsi="Courier New"/>
          <w:sz w:val="16"/>
          <w:szCs w:val="16"/>
          <w:color w:val="auto"/>
        </w:rPr>
        <w:t>date of grant and remain exercisable until the earlier to occur of (i) the tenth anniversary of the date of grant or (ii) the first anniversary of the date the Non-employee Director ceases to be a member of the Company's Board of Directors, except that if the Non-employee Director ceases to be a member of the Board after (a) having been convicted of, or pled guilty or nolo contendere to, a felony, his or her options will be cancelled on the date he or she ceases to be a Director, or (b) having retired, any outstanding options (whether or not then exercisable) may be exercised at any time prior to the expiration of the term of the options or within five years following retirement, whichever period is shorter.</w:t>
      </w:r>
    </w:p>
    <w:p>
      <w:pPr>
        <w:spacing w:after="0" w:line="181"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PROPOSAL NO. 2</w:t>
      </w:r>
    </w:p>
    <w:p>
      <w:pPr>
        <w:spacing w:after="0" w:line="17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PROPOSAL TO APPROVE AN AMENDMENT TO THE AMENDED</w:t>
      </w:r>
    </w:p>
    <w:p>
      <w:pPr>
        <w:ind w:left="1680"/>
        <w:spacing w:after="0" w:line="237" w:lineRule="auto"/>
        <w:rPr>
          <w:sz w:val="20"/>
          <w:szCs w:val="20"/>
          <w:color w:val="auto"/>
        </w:rPr>
      </w:pPr>
      <w:r>
        <w:rPr>
          <w:rFonts w:ascii="Courier New" w:cs="Courier New" w:eastAsia="Courier New" w:hAnsi="Courier New"/>
          <w:sz w:val="16"/>
          <w:szCs w:val="16"/>
          <w:color w:val="auto"/>
        </w:rPr>
        <w:t>ARTICLES OF INCORPORATION OF THE COMPANY TO</w:t>
      </w:r>
    </w:p>
    <w:p>
      <w:pPr>
        <w:ind w:left="1860"/>
        <w:spacing w:after="0" w:line="237" w:lineRule="auto"/>
        <w:rPr>
          <w:sz w:val="20"/>
          <w:szCs w:val="20"/>
          <w:color w:val="auto"/>
        </w:rPr>
      </w:pPr>
      <w:r>
        <w:rPr>
          <w:rFonts w:ascii="Courier New" w:cs="Courier New" w:eastAsia="Courier New" w:hAnsi="Courier New"/>
          <w:sz w:val="16"/>
          <w:szCs w:val="16"/>
          <w:color w:val="auto"/>
        </w:rPr>
        <w:t>INCREASE THE AUTHORIZED NUMBER OF COMMON</w:t>
      </w:r>
    </w:p>
    <w:p>
      <w:pPr>
        <w:ind w:left="2700"/>
        <w:spacing w:after="0" w:line="237" w:lineRule="auto"/>
        <w:rPr>
          <w:sz w:val="20"/>
          <w:szCs w:val="20"/>
          <w:color w:val="auto"/>
        </w:rPr>
      </w:pPr>
      <w:r>
        <w:rPr>
          <w:rFonts w:ascii="Courier New" w:cs="Courier New" w:eastAsia="Courier New" w:hAnsi="Courier New"/>
          <w:sz w:val="16"/>
          <w:szCs w:val="16"/>
          <w:color w:val="auto"/>
        </w:rPr>
        <w:t>SHARES TO 100,000,000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PROPOSAL</w:t>
      </w:r>
    </w:p>
    <w:p>
      <w:pPr>
        <w:spacing w:after="0" w:line="183" w:lineRule="exact"/>
        <w:rPr>
          <w:sz w:val="20"/>
          <w:szCs w:val="20"/>
          <w:color w:val="auto"/>
        </w:rPr>
      </w:pPr>
    </w:p>
    <w:p>
      <w:pPr>
        <w:ind w:right="2699" w:firstLine="466"/>
        <w:spacing w:after="0" w:line="274" w:lineRule="auto"/>
        <w:rPr>
          <w:sz w:val="20"/>
          <w:szCs w:val="20"/>
          <w:color w:val="auto"/>
        </w:rPr>
      </w:pPr>
      <w:r>
        <w:rPr>
          <w:rFonts w:ascii="Courier New" w:cs="Courier New" w:eastAsia="Courier New" w:hAnsi="Courier New"/>
          <w:sz w:val="14"/>
          <w:szCs w:val="14"/>
          <w:color w:val="auto"/>
        </w:rPr>
        <w:t>The Amended Articles of Incorporation of the Company currently authorize 50,195,000 shares, of which 50,000,000 are Common Shares and 195,000 are shares of Convertible Preferred Stock. The Board of Directors unanimously adopted a resolution proposing that Article Fourth of the Amended Articles of Incorporation be amended in order to increase the authorized number of Common Shares to 100,000,000, and recommending to the shareholders of the Company the approval of such proposed amendment. The proposed amendment will not change the authorized number of shares of Convertible Preferred Stock or the terms thereof.</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w:t>
      </w:r>
    </w:p>
    <w:p>
      <w:pPr>
        <w:spacing w:after="0" w:line="183" w:lineRule="exact"/>
        <w:rPr>
          <w:sz w:val="20"/>
          <w:szCs w:val="20"/>
          <w:color w:val="auto"/>
        </w:rPr>
      </w:pPr>
    </w:p>
    <w:p>
      <w:pPr>
        <w:ind w:right="2699" w:firstLine="466"/>
        <w:spacing w:after="0" w:line="236" w:lineRule="auto"/>
        <w:rPr>
          <w:sz w:val="20"/>
          <w:szCs w:val="20"/>
          <w:color w:val="auto"/>
        </w:rPr>
      </w:pPr>
      <w:r>
        <w:rPr>
          <w:rFonts w:ascii="Courier New" w:cs="Courier New" w:eastAsia="Courier New" w:hAnsi="Courier New"/>
          <w:sz w:val="16"/>
          <w:szCs w:val="16"/>
          <w:color w:val="auto"/>
        </w:rPr>
        <w:t>Of the 50,000,000 Common Shares currently authorized, as of December 1, 1999, 28,513,006 Common Shares were issued and outstanding, 3,000,000 Common Shares were reserved for issuance upon exercise of the Company's Warrants and 6,871,407 Common Shares were reserved for issuance under the Company's stock option and other stock-based employee benefit plans. Thus, only 11,615,587 Common Shares remain available for future issuance. The additional Common Shares to be authorized under the proposed amendment will have rights identical to the presently issued and outstanding Common Shares. Furthermore, adoption of the proposed amendment and issuance of the additional Common Shares will not affect the rights of the holders of presently issued and outstanding Common Shares, except for effects incidental to increasing the number of Common Shares outstanding. Existing shareholders will have no pre-emptive rights to purchase any Common Shares issued in the future.</w:t>
      </w:r>
    </w:p>
    <w:p>
      <w:pPr>
        <w:spacing w:after="0" w:line="190" w:lineRule="exact"/>
        <w:rPr>
          <w:sz w:val="20"/>
          <w:szCs w:val="20"/>
          <w:color w:val="auto"/>
        </w:rPr>
      </w:pPr>
    </w:p>
    <w:p>
      <w:pPr>
        <w:ind w:right="2699" w:firstLine="466"/>
        <w:spacing w:after="0" w:line="273" w:lineRule="auto"/>
        <w:rPr>
          <w:sz w:val="20"/>
          <w:szCs w:val="20"/>
          <w:color w:val="auto"/>
        </w:rPr>
      </w:pPr>
      <w:r>
        <w:rPr>
          <w:rFonts w:ascii="Courier New" w:cs="Courier New" w:eastAsia="Courier New" w:hAnsi="Courier New"/>
          <w:sz w:val="14"/>
          <w:szCs w:val="14"/>
          <w:color w:val="auto"/>
        </w:rPr>
        <w:t>The Board of Directors believes that it is prudent and in the best interests of the Company and its shareholders to increase the authorized number of Common Shares to 100,000,000 to ensure that the Company has a sufficient number of Common Shares available for future issuance. The Board believes that having a sufficient number of Common Shares available for future issuance provides the Company with additional flexibility to use its capital stock to meet its business and financial needs as they arise. In addition, the proposed amendment enables the Company to issue additional authorized Common Shares as such needs arise without further shareholder approval, except to the extent otherwise required by applicable law, the Amended Articles of Incorporation or the rules of any securities exchange on which the Common Shares are then listed. Such flexibility allows the Company to take timely advantage of available corporate opportunities and favorable market conditions.</w:t>
      </w:r>
    </w:p>
    <w:p>
      <w:pPr>
        <w:spacing w:after="0" w:line="342" w:lineRule="exact"/>
        <w:rPr>
          <w:sz w:val="20"/>
          <w:szCs w:val="20"/>
          <w:color w:val="auto"/>
        </w:rPr>
      </w:pPr>
    </w:p>
    <w:p>
      <w:pPr>
        <w:ind w:right="2779" w:firstLine="466"/>
        <w:spacing w:after="0" w:line="274" w:lineRule="auto"/>
        <w:rPr>
          <w:sz w:val="20"/>
          <w:szCs w:val="20"/>
          <w:color w:val="auto"/>
        </w:rPr>
      </w:pPr>
      <w:r>
        <w:rPr>
          <w:rFonts w:ascii="Courier New" w:cs="Courier New" w:eastAsia="Courier New" w:hAnsi="Courier New"/>
          <w:sz w:val="14"/>
          <w:szCs w:val="14"/>
          <w:color w:val="auto"/>
        </w:rPr>
        <w:t>The additional Common Shares may be used for various corporate purposes, including, without limitation, share splits and dividends, acquisitions, public offerings and stock option and other employee benefit plans. Specifically, the Board, as presently constituted, is considering using a portion of the additional authorized Common Shares for a share split or share dividend in the future, if and when the Board and management decide that market conditions and the share price warrant splitting, or issuing a share dividend upon, the Common Shares. The objective of such action would be to proportionately lower the market price of the Common Shares. Such lower price would be expected to increase liquidity and broaden the marketability of the Common Shares.</w:t>
      </w:r>
    </w:p>
    <w:p>
      <w:pPr>
        <w:spacing w:after="0" w:line="15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139"/>
          </w:cols>
          <w:pgMar w:left="320" w:top="29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14</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Board has not made a final decision with respect to effecting a share split or dividend, and may decide that it is in the best interests of the Company and its shareholders not to effect either. Therefore, no assurances can be given that the Board will decide to effect a share split or dividend even if this Proposal No. 2 is adopted.</w:t>
      </w:r>
    </w:p>
    <w:p>
      <w:pPr>
        <w:spacing w:after="0" w:line="183" w:lineRule="exact"/>
        <w:rPr>
          <w:sz w:val="20"/>
          <w:szCs w:val="20"/>
          <w:color w:val="auto"/>
        </w:rPr>
      </w:pPr>
    </w:p>
    <w:p>
      <w:pPr>
        <w:ind w:right="2699" w:firstLine="466"/>
        <w:spacing w:after="0" w:line="236" w:lineRule="auto"/>
        <w:rPr>
          <w:sz w:val="20"/>
          <w:szCs w:val="20"/>
          <w:color w:val="auto"/>
        </w:rPr>
      </w:pPr>
      <w:r>
        <w:rPr>
          <w:rFonts w:ascii="Courier New" w:cs="Courier New" w:eastAsia="Courier New" w:hAnsi="Courier New"/>
          <w:sz w:val="16"/>
          <w:szCs w:val="16"/>
          <w:color w:val="auto"/>
        </w:rPr>
        <w:t>Except for Common Shares that may be issued (a) in any future share split or dividend, (b) under existing stock option and other stock-based employee benefit plans, or (c) upon exercise of the Company's Warrants, there are no present plans to issue any of the additional Common Shares which will be authorized by the adoption of the amendment to Article Fourth, nor are there any pending negotiations, discussions, agreements or understandings with any third party which involve the issuance of any of such Common Shares. The Board of Directors does not intend to issue any of the additional Common Shares except on terms which the Board deems to be in the best interests of the Company and its shareholders.</w:t>
      </w:r>
    </w:p>
    <w:p>
      <w:pPr>
        <w:spacing w:after="0" w:line="187" w:lineRule="exact"/>
        <w:rPr>
          <w:sz w:val="20"/>
          <w:szCs w:val="20"/>
          <w:color w:val="auto"/>
        </w:rPr>
      </w:pPr>
    </w:p>
    <w:p>
      <w:pPr>
        <w:ind w:right="2699" w:firstLine="466"/>
        <w:spacing w:after="0" w:line="236" w:lineRule="auto"/>
        <w:rPr>
          <w:sz w:val="20"/>
          <w:szCs w:val="20"/>
          <w:color w:val="auto"/>
        </w:rPr>
      </w:pPr>
      <w:r>
        <w:rPr>
          <w:rFonts w:ascii="Courier New" w:cs="Courier New" w:eastAsia="Courier New" w:hAnsi="Courier New"/>
          <w:sz w:val="16"/>
          <w:szCs w:val="16"/>
          <w:color w:val="auto"/>
        </w:rPr>
        <w:t>The proposed amendment could be deemed to have an anti-takeover effect by discouraging an attempt by a third party to acquire control of the Company since the Company could issue the additional authorized Common Shares in an effort to create voting impediments or dilute the Common Share ownership of the person seeking to obtain control. However, the proposal to increase the authorized number of Common Shares is not in response to any effort of which the Company is aware to accumulate Common Shares or obtain control of the Company. The Company believes that the proposal further encourages the incentive to negotiate with the Board with respect to any proposal to acquire control of the Company, which incentive is already present given the significant ownership interest of the Hagedorn Partnership.</w:t>
      </w:r>
    </w:p>
    <w:p>
      <w:pPr>
        <w:spacing w:after="0" w:line="188" w:lineRule="exact"/>
        <w:rPr>
          <w:sz w:val="20"/>
          <w:szCs w:val="20"/>
          <w:color w:val="auto"/>
        </w:rPr>
      </w:pPr>
    </w:p>
    <w:p>
      <w:pPr>
        <w:ind w:right="2699" w:firstLine="466"/>
        <w:spacing w:after="0" w:line="272" w:lineRule="auto"/>
        <w:rPr>
          <w:sz w:val="20"/>
          <w:szCs w:val="20"/>
          <w:color w:val="auto"/>
        </w:rPr>
      </w:pPr>
      <w:r>
        <w:rPr>
          <w:rFonts w:ascii="Courier New" w:cs="Courier New" w:eastAsia="Courier New" w:hAnsi="Courier New"/>
          <w:sz w:val="14"/>
          <w:szCs w:val="14"/>
          <w:color w:val="auto"/>
        </w:rPr>
        <w:t>The proposed amendment is not part of a plan by the Company to adopt other measures intended to have or having potential anti-takeover effects. The Company's Amended Articles of Incorporation and Code of Regulations currently include the following provisions which may be considered to have anti-takeover effects: (a) the classification of the Board of Directors of the Company into three classes of directors so that each director serves a three-year term, with one class being elected each year; (b) the elimination of cumulative voting in the election of directors; (c) the requirement of the affirmative vote of two-thirds of the voting power of the Company as a condition to certain major corporate transactions (e.g., adoption of certain amendments to the Company's Amended Articles of Incorporation, approval of a merger or consolidation involving the Company, approval of a combination or majority share acquisition involving the issuance of shares of the Company, approval of a sale, exchange, transfer or other disposition of all or substantially all of the Company's assets, or approval of the dissolution of the Company); (d) the authorization of 195,000 shares of Convertible Preferred Stock, none of which are currently outstanding; and (e) certain procedural requirements, including provisions limiting who may call special shareholder meetings.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AND VOTE</w:t>
      </w:r>
    </w:p>
    <w:p>
      <w:pPr>
        <w:spacing w:after="0" w:line="183" w:lineRule="exact"/>
        <w:rPr>
          <w:sz w:val="20"/>
          <w:szCs w:val="20"/>
          <w:color w:val="auto"/>
        </w:rPr>
      </w:pPr>
    </w:p>
    <w:p>
      <w:pPr>
        <w:ind w:right="3059" w:firstLine="466"/>
        <w:spacing w:after="0" w:line="279" w:lineRule="auto"/>
        <w:rPr>
          <w:sz w:val="20"/>
          <w:szCs w:val="20"/>
          <w:color w:val="auto"/>
        </w:rPr>
      </w:pPr>
      <w:r>
        <w:rPr>
          <w:rFonts w:ascii="Courier New" w:cs="Courier New" w:eastAsia="Courier New" w:hAnsi="Courier New"/>
          <w:sz w:val="14"/>
          <w:szCs w:val="14"/>
          <w:color w:val="auto"/>
        </w:rPr>
        <w:t>The affirmative vote of the holders of Common Shares entitling them to exercise a majority of the voting power of the Company on the proposal, is required to approve the proposed amendment. Abstentions and broker non-votes will have the same legal effect as a vote against the proposed amendment.</w:t>
      </w:r>
    </w:p>
    <w:p>
      <w:pPr>
        <w:spacing w:after="0" w:line="152"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YOUR BOARD OF DIRECTORS RECOMMENDS A VOTE FOR APPROVAL OF THE AMENDMENT.</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139"/>
          </w:cols>
          <w:pgMar w:left="320" w:top="291" w:right="1440" w:bottom="1440" w:gutter="0" w:footer="0" w:header="0"/>
        </w:sectPr>
      </w:pPr>
    </w:p>
    <w:bookmarkStart w:id="14" w:name="page15"/>
    <w:bookmarkEnd w:id="14"/>
    <w:p>
      <w:pPr>
        <w:ind w:left="285"/>
        <w:spacing w:after="0"/>
        <w:rPr>
          <w:sz w:val="20"/>
          <w:szCs w:val="20"/>
          <w:color w:val="auto"/>
        </w:rPr>
      </w:pPr>
      <w:r>
        <w:rPr>
          <w:rFonts w:ascii="Courier New" w:cs="Courier New" w:eastAsia="Courier New" w:hAnsi="Courier New"/>
          <w:sz w:val="16"/>
          <w:szCs w:val="16"/>
          <w:color w:val="auto"/>
        </w:rPr>
        <w:t>15</w:t>
      </w:r>
    </w:p>
    <w:p>
      <w:pPr>
        <w:spacing w:after="0" w:line="177" w:lineRule="exact"/>
        <w:rPr>
          <w:sz w:val="20"/>
          <w:szCs w:val="20"/>
          <w:color w:val="auto"/>
        </w:rPr>
      </w:pPr>
    </w:p>
    <w:p>
      <w:pPr>
        <w:ind w:left="2705"/>
        <w:spacing w:after="0"/>
        <w:rPr>
          <w:sz w:val="20"/>
          <w:szCs w:val="20"/>
          <w:color w:val="auto"/>
        </w:rPr>
      </w:pPr>
      <w:r>
        <w:rPr>
          <w:rFonts w:ascii="Courier New" w:cs="Courier New" w:eastAsia="Courier New" w:hAnsi="Courier New"/>
          <w:sz w:val="16"/>
          <w:szCs w:val="16"/>
          <w:color w:val="auto"/>
        </w:rPr>
        <w:t>EXECUTIVE COMPENSATION</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SUMMARY OF CASH AND CERTAIN OTHER COMPENSATION</w:t>
      </w:r>
    </w:p>
    <w:p>
      <w:pPr>
        <w:spacing w:after="0" w:line="183" w:lineRule="exact"/>
        <w:rPr>
          <w:sz w:val="20"/>
          <w:szCs w:val="20"/>
          <w:color w:val="auto"/>
        </w:rPr>
      </w:pPr>
    </w:p>
    <w:p>
      <w:pPr>
        <w:ind w:left="5" w:right="2980" w:firstLine="466"/>
        <w:spacing w:after="0" w:line="235" w:lineRule="auto"/>
        <w:rPr>
          <w:sz w:val="20"/>
          <w:szCs w:val="20"/>
          <w:color w:val="auto"/>
        </w:rPr>
      </w:pPr>
      <w:r>
        <w:rPr>
          <w:rFonts w:ascii="Courier New" w:cs="Courier New" w:eastAsia="Courier New" w:hAnsi="Courier New"/>
          <w:sz w:val="16"/>
          <w:szCs w:val="16"/>
          <w:color w:val="auto"/>
        </w:rPr>
        <w:t>The following table shows, for the fiscal years ended September 30, 1999, 1998 and 1997, compensation awarded or paid to, or earned by, the Company's Chief Executive Officer and the four other most highly compensated executive officers of the Company.</w:t>
      </w:r>
    </w:p>
    <w:p>
      <w:pPr>
        <w:spacing w:after="0" w:line="179"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400" w:type="dxa"/>
            <w:vAlign w:val="bottom"/>
            <w:gridSpan w:val="3"/>
          </w:tcPr>
          <w:p>
            <w:pPr>
              <w:ind w:left="2500"/>
              <w:spacing w:after="0"/>
              <w:rPr>
                <w:sz w:val="20"/>
                <w:szCs w:val="20"/>
                <w:color w:val="auto"/>
              </w:rPr>
            </w:pPr>
            <w:r>
              <w:rPr>
                <w:rFonts w:ascii="Courier New" w:cs="Courier New" w:eastAsia="Courier New" w:hAnsi="Courier New"/>
                <w:sz w:val="16"/>
                <w:szCs w:val="16"/>
                <w:color w:val="auto"/>
              </w:rPr>
              <w:t>SUMMARY COMPENSATION TABLE</w:t>
            </w:r>
          </w:p>
        </w:tc>
        <w:tc>
          <w:tcPr>
            <w:tcW w:w="1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716"/>
        </w:trPr>
        <w:tc>
          <w:tcPr>
            <w:tcW w:w="2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4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LONG-TERM</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9"/>
        </w:trPr>
        <w:tc>
          <w:tcPr>
            <w:tcW w:w="2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4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7"/>
              </w:rPr>
              <w:t>COMPENSATION</w:t>
            </w: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2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w:t>
            </w: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2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4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7"/>
              </w:rPr>
              <w:t>AWARDS</w:t>
            </w: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2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w:t>
            </w: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2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0" w:type="dxa"/>
            <w:vAlign w:val="bottom"/>
            <w:gridSpan w:val="2"/>
          </w:tcPr>
          <w:p>
            <w:pPr>
              <w:jc w:val="right"/>
              <w:ind w:right="442"/>
              <w:spacing w:after="0" w:line="179" w:lineRule="exact"/>
              <w:rPr>
                <w:sz w:val="20"/>
                <w:szCs w:val="20"/>
                <w:color w:val="auto"/>
              </w:rPr>
            </w:pPr>
            <w:r>
              <w:rPr>
                <w:rFonts w:ascii="Courier New" w:cs="Courier New" w:eastAsia="Courier New" w:hAnsi="Courier New"/>
                <w:sz w:val="16"/>
                <w:szCs w:val="16"/>
                <w:color w:val="auto"/>
              </w:rPr>
              <w:t>ANNUAL COMPENSATION</w:t>
            </w:r>
          </w:p>
        </w:tc>
        <w:tc>
          <w:tcPr>
            <w:tcW w:w="204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5"/>
              </w:rPr>
              <w:t>SECURITIES</w:t>
            </w: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2880" w:type="dxa"/>
            <w:vAlign w:val="bottom"/>
          </w:tcPr>
          <w:p>
            <w:pPr>
              <w:spacing w:after="0"/>
              <w:rPr>
                <w:sz w:val="15"/>
                <w:szCs w:val="15"/>
                <w:color w:val="auto"/>
              </w:rPr>
            </w:pPr>
          </w:p>
        </w:tc>
        <w:tc>
          <w:tcPr>
            <w:tcW w:w="880" w:type="dxa"/>
            <w:vAlign w:val="bottom"/>
          </w:tcPr>
          <w:p>
            <w:pPr>
              <w:jc w:val="center"/>
              <w:ind w:right="42"/>
              <w:spacing w:after="0" w:line="179" w:lineRule="exact"/>
              <w:rPr>
                <w:sz w:val="20"/>
                <w:szCs w:val="20"/>
                <w:color w:val="auto"/>
              </w:rPr>
            </w:pPr>
            <w:r>
              <w:rPr>
                <w:rFonts w:ascii="Courier New" w:cs="Courier New" w:eastAsia="Courier New" w:hAnsi="Courier New"/>
                <w:sz w:val="16"/>
                <w:szCs w:val="16"/>
                <w:color w:val="auto"/>
                <w:w w:val="97"/>
              </w:rPr>
              <w:t>FISCAL</w:t>
            </w:r>
          </w:p>
        </w:tc>
        <w:tc>
          <w:tcPr>
            <w:tcW w:w="28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5"/>
              </w:rPr>
              <w:t>UNDERLYING</w:t>
            </w:r>
          </w:p>
        </w:tc>
        <w:tc>
          <w:tcPr>
            <w:tcW w:w="420" w:type="dxa"/>
            <w:vAlign w:val="bottom"/>
          </w:tcPr>
          <w:p>
            <w:pPr>
              <w:spacing w:after="0"/>
              <w:rPr>
                <w:sz w:val="15"/>
                <w:szCs w:val="15"/>
                <w:color w:val="auto"/>
              </w:rPr>
            </w:pP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4"/>
              </w:rPr>
              <w:t>ALL OTHER</w:t>
            </w:r>
          </w:p>
        </w:tc>
      </w:tr>
      <w:tr>
        <w:trPr>
          <w:trHeight w:val="179"/>
        </w:trPr>
        <w:tc>
          <w:tcPr>
            <w:tcW w:w="28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NAME AND PRINCIPAL POSITION</w:t>
            </w:r>
          </w:p>
        </w:tc>
        <w:tc>
          <w:tcPr>
            <w:tcW w:w="88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8"/>
              </w:rPr>
              <w:t>YEAR</w:t>
            </w:r>
          </w:p>
        </w:tc>
        <w:tc>
          <w:tcPr>
            <w:tcW w:w="1640" w:type="dxa"/>
            <w:vAlign w:val="bottom"/>
          </w:tcPr>
          <w:p>
            <w:pPr>
              <w:jc w:val="center"/>
              <w:ind w:right="162"/>
              <w:spacing w:after="0" w:line="179" w:lineRule="exact"/>
              <w:rPr>
                <w:sz w:val="20"/>
                <w:szCs w:val="20"/>
                <w:color w:val="auto"/>
              </w:rPr>
            </w:pPr>
            <w:r>
              <w:rPr>
                <w:rFonts w:ascii="Courier New" w:cs="Courier New" w:eastAsia="Courier New" w:hAnsi="Courier New"/>
                <w:sz w:val="16"/>
                <w:szCs w:val="16"/>
                <w:color w:val="auto"/>
                <w:w w:val="97"/>
              </w:rPr>
              <w:t>SALARY($)(1)</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BONUS($)(1)</w:t>
            </w:r>
          </w:p>
        </w:tc>
        <w:tc>
          <w:tcPr>
            <w:tcW w:w="20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OPTIONS(#)(2)</w:t>
            </w:r>
          </w:p>
        </w:tc>
        <w:tc>
          <w:tcPr>
            <w:tcW w:w="16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COMPENSATION($)</w:t>
            </w:r>
          </w:p>
        </w:tc>
      </w:tr>
      <w:tr>
        <w:trPr>
          <w:trHeight w:val="179"/>
        </w:trPr>
        <w:tc>
          <w:tcPr>
            <w:tcW w:w="28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w:t>
            </w:r>
          </w:p>
        </w:tc>
        <w:tc>
          <w:tcPr>
            <w:tcW w:w="20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w:t>
            </w:r>
          </w:p>
        </w:tc>
        <w:tc>
          <w:tcPr>
            <w:tcW w:w="16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2880" w:type="dxa"/>
            <w:vAlign w:val="bottom"/>
          </w:tcPr>
          <w:p>
            <w:pPr>
              <w:spacing w:after="0"/>
              <w:rPr>
                <w:sz w:val="20"/>
                <w:szCs w:val="20"/>
                <w:color w:val="auto"/>
              </w:rPr>
            </w:pPr>
            <w:r>
              <w:rPr>
                <w:rFonts w:ascii="Courier New" w:cs="Courier New" w:eastAsia="Courier New" w:hAnsi="Courier New"/>
                <w:sz w:val="16"/>
                <w:szCs w:val="16"/>
                <w:color w:val="auto"/>
                <w:w w:val="99"/>
              </w:rPr>
              <w:t>Charles M. Berger.............</w:t>
            </w:r>
          </w:p>
        </w:tc>
        <w:tc>
          <w:tcPr>
            <w:tcW w:w="88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8"/>
              </w:rPr>
              <w:t>1999</w:t>
            </w:r>
          </w:p>
        </w:tc>
        <w:tc>
          <w:tcPr>
            <w:tcW w:w="1640" w:type="dxa"/>
            <w:vAlign w:val="bottom"/>
          </w:tcPr>
          <w:p>
            <w:pPr>
              <w:jc w:val="center"/>
              <w:ind w:right="142"/>
              <w:spacing w:after="0"/>
              <w:rPr>
                <w:sz w:val="20"/>
                <w:szCs w:val="20"/>
                <w:color w:val="auto"/>
              </w:rPr>
            </w:pPr>
            <w:r>
              <w:rPr>
                <w:rFonts w:ascii="Courier New" w:cs="Courier New" w:eastAsia="Courier New" w:hAnsi="Courier New"/>
                <w:sz w:val="16"/>
                <w:szCs w:val="16"/>
                <w:color w:val="auto"/>
                <w:w w:val="96"/>
              </w:rPr>
              <w:t>$512,855</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$634,605</w:t>
            </w:r>
          </w:p>
        </w:tc>
        <w:tc>
          <w:tcPr>
            <w:tcW w:w="2040" w:type="dxa"/>
            <w:vAlign w:val="bottom"/>
          </w:tcPr>
          <w:p>
            <w:pPr>
              <w:jc w:val="right"/>
              <w:ind w:right="602"/>
              <w:spacing w:after="0"/>
              <w:rPr>
                <w:sz w:val="20"/>
                <w:szCs w:val="20"/>
                <w:color w:val="auto"/>
              </w:rPr>
            </w:pPr>
            <w:r>
              <w:rPr>
                <w:rFonts w:ascii="Courier New" w:cs="Courier New" w:eastAsia="Courier New" w:hAnsi="Courier New"/>
                <w:sz w:val="16"/>
                <w:szCs w:val="16"/>
                <w:color w:val="auto"/>
              </w:rPr>
              <w:t>150,000</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12,074(4)</w:t>
            </w: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Chairman of the Board,</w:t>
            </w:r>
          </w:p>
        </w:tc>
        <w:tc>
          <w:tcPr>
            <w:tcW w:w="88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8"/>
              </w:rPr>
              <w:t>1998</w:t>
            </w:r>
          </w:p>
        </w:tc>
        <w:tc>
          <w:tcPr>
            <w:tcW w:w="164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w w:val="96"/>
              </w:rPr>
              <w:t>$461,290</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$382,536</w:t>
            </w:r>
          </w:p>
        </w:tc>
        <w:tc>
          <w:tcPr>
            <w:tcW w:w="2040" w:type="dxa"/>
            <w:vAlign w:val="bottom"/>
          </w:tcPr>
          <w:p>
            <w:pPr>
              <w:jc w:val="right"/>
              <w:ind w:right="602"/>
              <w:spacing w:after="0" w:line="179" w:lineRule="exact"/>
              <w:rPr>
                <w:sz w:val="20"/>
                <w:szCs w:val="20"/>
                <w:color w:val="auto"/>
              </w:rPr>
            </w:pPr>
            <w:r>
              <w:rPr>
                <w:rFonts w:ascii="Courier New" w:cs="Courier New" w:eastAsia="Courier New" w:hAnsi="Courier New"/>
                <w:sz w:val="16"/>
                <w:szCs w:val="16"/>
                <w:color w:val="auto"/>
              </w:rPr>
              <w:t>150,000</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28,189(5)</w:t>
            </w: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President and Chief</w:t>
            </w:r>
          </w:p>
        </w:tc>
        <w:tc>
          <w:tcPr>
            <w:tcW w:w="88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8"/>
              </w:rPr>
              <w:t>1997</w:t>
            </w:r>
          </w:p>
        </w:tc>
        <w:tc>
          <w:tcPr>
            <w:tcW w:w="164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w w:val="96"/>
              </w:rPr>
              <w:t>$407,000</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$352,000</w:t>
            </w:r>
          </w:p>
        </w:tc>
        <w:tc>
          <w:tcPr>
            <w:tcW w:w="2040" w:type="dxa"/>
            <w:vAlign w:val="bottom"/>
          </w:tcPr>
          <w:p>
            <w:pPr>
              <w:jc w:val="right"/>
              <w:ind w:right="602"/>
              <w:spacing w:after="0" w:line="179" w:lineRule="exact"/>
              <w:rPr>
                <w:sz w:val="20"/>
                <w:szCs w:val="20"/>
                <w:color w:val="auto"/>
              </w:rPr>
            </w:pPr>
            <w:r>
              <w:rPr>
                <w:rFonts w:ascii="Courier New" w:cs="Courier New" w:eastAsia="Courier New" w:hAnsi="Courier New"/>
                <w:sz w:val="16"/>
                <w:szCs w:val="16"/>
                <w:color w:val="auto"/>
              </w:rPr>
              <w:t>0</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3,200(4)</w:t>
            </w: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Executive Officer(3)</w:t>
            </w: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58"/>
        </w:trPr>
        <w:tc>
          <w:tcPr>
            <w:tcW w:w="2880" w:type="dxa"/>
            <w:vAlign w:val="bottom"/>
          </w:tcPr>
          <w:p>
            <w:pPr>
              <w:spacing w:after="0"/>
              <w:rPr>
                <w:sz w:val="20"/>
                <w:szCs w:val="20"/>
                <w:color w:val="auto"/>
              </w:rPr>
            </w:pPr>
            <w:r>
              <w:rPr>
                <w:rFonts w:ascii="Courier New" w:cs="Courier New" w:eastAsia="Courier New" w:hAnsi="Courier New"/>
                <w:sz w:val="16"/>
                <w:szCs w:val="16"/>
                <w:color w:val="auto"/>
                <w:w w:val="99"/>
              </w:rPr>
              <w:t>James Hagedorn................</w:t>
            </w:r>
          </w:p>
        </w:tc>
        <w:tc>
          <w:tcPr>
            <w:tcW w:w="88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8"/>
              </w:rPr>
              <w:t>1999</w:t>
            </w:r>
          </w:p>
        </w:tc>
        <w:tc>
          <w:tcPr>
            <w:tcW w:w="1640" w:type="dxa"/>
            <w:vAlign w:val="bottom"/>
          </w:tcPr>
          <w:p>
            <w:pPr>
              <w:jc w:val="center"/>
              <w:ind w:right="142"/>
              <w:spacing w:after="0"/>
              <w:rPr>
                <w:sz w:val="20"/>
                <w:szCs w:val="20"/>
                <w:color w:val="auto"/>
              </w:rPr>
            </w:pPr>
            <w:r>
              <w:rPr>
                <w:rFonts w:ascii="Courier New" w:cs="Courier New" w:eastAsia="Courier New" w:hAnsi="Courier New"/>
                <w:sz w:val="16"/>
                <w:szCs w:val="16"/>
                <w:color w:val="auto"/>
                <w:w w:val="96"/>
              </w:rPr>
              <w:t>$369,000</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$421,254</w:t>
            </w:r>
          </w:p>
        </w:tc>
        <w:tc>
          <w:tcPr>
            <w:tcW w:w="2040" w:type="dxa"/>
            <w:vAlign w:val="bottom"/>
          </w:tcPr>
          <w:p>
            <w:pPr>
              <w:jc w:val="right"/>
              <w:ind w:right="602"/>
              <w:spacing w:after="0"/>
              <w:rPr>
                <w:sz w:val="20"/>
                <w:szCs w:val="20"/>
                <w:color w:val="auto"/>
              </w:rPr>
            </w:pPr>
            <w:r>
              <w:rPr>
                <w:rFonts w:ascii="Courier New" w:cs="Courier New" w:eastAsia="Courier New" w:hAnsi="Courier New"/>
                <w:sz w:val="16"/>
                <w:szCs w:val="16"/>
                <w:color w:val="auto"/>
              </w:rPr>
              <w:t>80,000</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11,744(4)</w:t>
            </w: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President, Scotts</w:t>
            </w:r>
          </w:p>
        </w:tc>
        <w:tc>
          <w:tcPr>
            <w:tcW w:w="88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8"/>
              </w:rPr>
              <w:t>1998</w:t>
            </w:r>
          </w:p>
        </w:tc>
        <w:tc>
          <w:tcPr>
            <w:tcW w:w="164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w w:val="96"/>
              </w:rPr>
              <w:t>$294,667</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$218,003</w:t>
            </w:r>
          </w:p>
        </w:tc>
        <w:tc>
          <w:tcPr>
            <w:tcW w:w="2040" w:type="dxa"/>
            <w:vAlign w:val="bottom"/>
          </w:tcPr>
          <w:p>
            <w:pPr>
              <w:jc w:val="right"/>
              <w:ind w:right="602"/>
              <w:spacing w:after="0" w:line="179" w:lineRule="exact"/>
              <w:rPr>
                <w:sz w:val="20"/>
                <w:szCs w:val="20"/>
                <w:color w:val="auto"/>
              </w:rPr>
            </w:pPr>
            <w:r>
              <w:rPr>
                <w:rFonts w:ascii="Courier New" w:cs="Courier New" w:eastAsia="Courier New" w:hAnsi="Courier New"/>
                <w:sz w:val="16"/>
                <w:szCs w:val="16"/>
                <w:color w:val="auto"/>
              </w:rPr>
              <w:t>90,000</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14,679(4)</w:t>
            </w: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North America(6)</w:t>
            </w:r>
          </w:p>
        </w:tc>
        <w:tc>
          <w:tcPr>
            <w:tcW w:w="88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8"/>
              </w:rPr>
              <w:t>1997</w:t>
            </w:r>
          </w:p>
        </w:tc>
        <w:tc>
          <w:tcPr>
            <w:tcW w:w="164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w w:val="96"/>
              </w:rPr>
              <w:t>$253,500</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$180,000</w:t>
            </w:r>
          </w:p>
        </w:tc>
        <w:tc>
          <w:tcPr>
            <w:tcW w:w="2040" w:type="dxa"/>
            <w:vAlign w:val="bottom"/>
          </w:tcPr>
          <w:p>
            <w:pPr>
              <w:jc w:val="right"/>
              <w:ind w:right="602"/>
              <w:spacing w:after="0" w:line="179" w:lineRule="exact"/>
              <w:rPr>
                <w:sz w:val="20"/>
                <w:szCs w:val="20"/>
                <w:color w:val="auto"/>
              </w:rPr>
            </w:pPr>
            <w:r>
              <w:rPr>
                <w:rFonts w:ascii="Courier New" w:cs="Courier New" w:eastAsia="Courier New" w:hAnsi="Courier New"/>
                <w:sz w:val="16"/>
                <w:szCs w:val="16"/>
                <w:color w:val="auto"/>
              </w:rPr>
              <w:t>126,000</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3,200(4)</w:t>
            </w:r>
          </w:p>
        </w:tc>
      </w:tr>
      <w:tr>
        <w:trPr>
          <w:trHeight w:val="358"/>
        </w:trPr>
        <w:tc>
          <w:tcPr>
            <w:tcW w:w="2880" w:type="dxa"/>
            <w:vAlign w:val="bottom"/>
          </w:tcPr>
          <w:p>
            <w:pPr>
              <w:spacing w:after="0"/>
              <w:rPr>
                <w:sz w:val="20"/>
                <w:szCs w:val="20"/>
                <w:color w:val="auto"/>
              </w:rPr>
            </w:pPr>
            <w:r>
              <w:rPr>
                <w:rFonts w:ascii="Courier New" w:cs="Courier New" w:eastAsia="Courier New" w:hAnsi="Courier New"/>
                <w:sz w:val="16"/>
                <w:szCs w:val="16"/>
                <w:color w:val="auto"/>
                <w:w w:val="99"/>
              </w:rPr>
              <w:t>Jean H. Mordo.................</w:t>
            </w:r>
          </w:p>
        </w:tc>
        <w:tc>
          <w:tcPr>
            <w:tcW w:w="88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8"/>
              </w:rPr>
              <w:t>1999</w:t>
            </w:r>
          </w:p>
        </w:tc>
        <w:tc>
          <w:tcPr>
            <w:tcW w:w="1640" w:type="dxa"/>
            <w:vAlign w:val="bottom"/>
          </w:tcPr>
          <w:p>
            <w:pPr>
              <w:jc w:val="center"/>
              <w:ind w:right="142"/>
              <w:spacing w:after="0"/>
              <w:rPr>
                <w:sz w:val="20"/>
                <w:szCs w:val="20"/>
                <w:color w:val="auto"/>
              </w:rPr>
            </w:pPr>
            <w:r>
              <w:rPr>
                <w:rFonts w:ascii="Courier New" w:cs="Courier New" w:eastAsia="Courier New" w:hAnsi="Courier New"/>
                <w:sz w:val="16"/>
                <w:szCs w:val="16"/>
                <w:color w:val="auto"/>
                <w:w w:val="96"/>
              </w:rPr>
              <w:t>$364,000</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$326,063</w:t>
            </w:r>
          </w:p>
        </w:tc>
        <w:tc>
          <w:tcPr>
            <w:tcW w:w="2040" w:type="dxa"/>
            <w:vAlign w:val="bottom"/>
          </w:tcPr>
          <w:p>
            <w:pPr>
              <w:jc w:val="right"/>
              <w:ind w:right="602"/>
              <w:spacing w:after="0"/>
              <w:rPr>
                <w:sz w:val="20"/>
                <w:szCs w:val="20"/>
                <w:color w:val="auto"/>
              </w:rPr>
            </w:pPr>
            <w:r>
              <w:rPr>
                <w:rFonts w:ascii="Courier New" w:cs="Courier New" w:eastAsia="Courier New" w:hAnsi="Courier New"/>
                <w:sz w:val="16"/>
                <w:szCs w:val="16"/>
                <w:color w:val="auto"/>
              </w:rPr>
              <w:t>60,000</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11,741(4)</w:t>
            </w: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Group Executive Vice</w:t>
            </w:r>
          </w:p>
        </w:tc>
        <w:tc>
          <w:tcPr>
            <w:tcW w:w="88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8"/>
              </w:rPr>
              <w:t>1998</w:t>
            </w:r>
          </w:p>
        </w:tc>
        <w:tc>
          <w:tcPr>
            <w:tcW w:w="164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w w:val="96"/>
              </w:rPr>
              <w:t>$312,750</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$186,708</w:t>
            </w:r>
          </w:p>
        </w:tc>
        <w:tc>
          <w:tcPr>
            <w:tcW w:w="2040" w:type="dxa"/>
            <w:vAlign w:val="bottom"/>
          </w:tcPr>
          <w:p>
            <w:pPr>
              <w:jc w:val="right"/>
              <w:ind w:right="602"/>
              <w:spacing w:after="0" w:line="179" w:lineRule="exact"/>
              <w:rPr>
                <w:sz w:val="20"/>
                <w:szCs w:val="20"/>
                <w:color w:val="auto"/>
              </w:rPr>
            </w:pPr>
            <w:r>
              <w:rPr>
                <w:rFonts w:ascii="Courier New" w:cs="Courier New" w:eastAsia="Courier New" w:hAnsi="Courier New"/>
                <w:sz w:val="16"/>
                <w:szCs w:val="16"/>
                <w:color w:val="auto"/>
              </w:rPr>
              <w:t>60,000</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29,647(8)</w:t>
            </w: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President, International(7)</w:t>
            </w:r>
          </w:p>
        </w:tc>
        <w:tc>
          <w:tcPr>
            <w:tcW w:w="88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8"/>
              </w:rPr>
              <w:t>1997</w:t>
            </w:r>
          </w:p>
        </w:tc>
        <w:tc>
          <w:tcPr>
            <w:tcW w:w="164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w w:val="96"/>
              </w:rPr>
              <w:t>$232,707</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$190,000</w:t>
            </w:r>
          </w:p>
        </w:tc>
        <w:tc>
          <w:tcPr>
            <w:tcW w:w="2040" w:type="dxa"/>
            <w:vAlign w:val="bottom"/>
          </w:tcPr>
          <w:p>
            <w:pPr>
              <w:jc w:val="right"/>
              <w:ind w:right="602"/>
              <w:spacing w:after="0" w:line="179" w:lineRule="exact"/>
              <w:rPr>
                <w:sz w:val="20"/>
                <w:szCs w:val="20"/>
                <w:color w:val="auto"/>
              </w:rPr>
            </w:pPr>
            <w:r>
              <w:rPr>
                <w:rFonts w:ascii="Courier New" w:cs="Courier New" w:eastAsia="Courier New" w:hAnsi="Courier New"/>
                <w:sz w:val="16"/>
                <w:szCs w:val="16"/>
                <w:color w:val="auto"/>
              </w:rPr>
              <w:t>150,000</w:t>
            </w:r>
          </w:p>
        </w:tc>
        <w:tc>
          <w:tcPr>
            <w:tcW w:w="16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$ 110,810(9)</w:t>
            </w:r>
          </w:p>
        </w:tc>
      </w:tr>
      <w:tr>
        <w:trPr>
          <w:trHeight w:val="358"/>
        </w:trPr>
        <w:tc>
          <w:tcPr>
            <w:tcW w:w="2880" w:type="dxa"/>
            <w:vAlign w:val="bottom"/>
          </w:tcPr>
          <w:p>
            <w:pPr>
              <w:spacing w:after="0"/>
              <w:rPr>
                <w:sz w:val="20"/>
                <w:szCs w:val="20"/>
                <w:color w:val="auto"/>
              </w:rPr>
            </w:pPr>
            <w:r>
              <w:rPr>
                <w:rFonts w:ascii="Courier New" w:cs="Courier New" w:eastAsia="Courier New" w:hAnsi="Courier New"/>
                <w:sz w:val="16"/>
                <w:szCs w:val="16"/>
                <w:color w:val="auto"/>
                <w:w w:val="99"/>
              </w:rPr>
              <w:t>G. Robert Lucas...............</w:t>
            </w:r>
          </w:p>
        </w:tc>
        <w:tc>
          <w:tcPr>
            <w:tcW w:w="88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8"/>
              </w:rPr>
              <w:t>1999</w:t>
            </w:r>
          </w:p>
        </w:tc>
        <w:tc>
          <w:tcPr>
            <w:tcW w:w="1640" w:type="dxa"/>
            <w:vAlign w:val="bottom"/>
          </w:tcPr>
          <w:p>
            <w:pPr>
              <w:jc w:val="center"/>
              <w:ind w:right="142"/>
              <w:spacing w:after="0"/>
              <w:rPr>
                <w:sz w:val="20"/>
                <w:szCs w:val="20"/>
                <w:color w:val="auto"/>
              </w:rPr>
            </w:pPr>
            <w:r>
              <w:rPr>
                <w:rFonts w:ascii="Courier New" w:cs="Courier New" w:eastAsia="Courier New" w:hAnsi="Courier New"/>
                <w:sz w:val="16"/>
                <w:szCs w:val="16"/>
                <w:color w:val="auto"/>
                <w:w w:val="96"/>
              </w:rPr>
              <w:t>$277,749</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$255,469</w:t>
            </w:r>
          </w:p>
        </w:tc>
        <w:tc>
          <w:tcPr>
            <w:tcW w:w="2040" w:type="dxa"/>
            <w:vAlign w:val="bottom"/>
          </w:tcPr>
          <w:p>
            <w:pPr>
              <w:jc w:val="right"/>
              <w:ind w:right="602"/>
              <w:spacing w:after="0"/>
              <w:rPr>
                <w:sz w:val="20"/>
                <w:szCs w:val="20"/>
                <w:color w:val="auto"/>
              </w:rPr>
            </w:pPr>
            <w:r>
              <w:rPr>
                <w:rFonts w:ascii="Courier New" w:cs="Courier New" w:eastAsia="Courier New" w:hAnsi="Courier New"/>
                <w:sz w:val="16"/>
                <w:szCs w:val="16"/>
                <w:color w:val="auto"/>
              </w:rPr>
              <w:t>15,000</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11,673(4)</w:t>
            </w: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Executive Vice President,</w:t>
            </w:r>
          </w:p>
        </w:tc>
        <w:tc>
          <w:tcPr>
            <w:tcW w:w="88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8"/>
              </w:rPr>
              <w:t>1998</w:t>
            </w:r>
          </w:p>
        </w:tc>
        <w:tc>
          <w:tcPr>
            <w:tcW w:w="164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w w:val="96"/>
              </w:rPr>
              <w:t>$242,830</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$145,789</w:t>
            </w:r>
          </w:p>
        </w:tc>
        <w:tc>
          <w:tcPr>
            <w:tcW w:w="2040" w:type="dxa"/>
            <w:vAlign w:val="bottom"/>
          </w:tcPr>
          <w:p>
            <w:pPr>
              <w:jc w:val="right"/>
              <w:ind w:right="602"/>
              <w:spacing w:after="0" w:line="179" w:lineRule="exact"/>
              <w:rPr>
                <w:sz w:val="20"/>
                <w:szCs w:val="20"/>
                <w:color w:val="auto"/>
              </w:rPr>
            </w:pPr>
            <w:r>
              <w:rPr>
                <w:rFonts w:ascii="Courier New" w:cs="Courier New" w:eastAsia="Courier New" w:hAnsi="Courier New"/>
                <w:sz w:val="16"/>
                <w:szCs w:val="16"/>
                <w:color w:val="auto"/>
              </w:rPr>
              <w:t>25,000</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11,880(4)</w:t>
            </w: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General Counsel and</w:t>
            </w:r>
          </w:p>
        </w:tc>
        <w:tc>
          <w:tcPr>
            <w:tcW w:w="88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8"/>
              </w:rPr>
              <w:t>1997</w:t>
            </w:r>
          </w:p>
        </w:tc>
        <w:tc>
          <w:tcPr>
            <w:tcW w:w="164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w w:val="96"/>
              </w:rPr>
              <w:t>$ 98,242</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$ 60,800</w:t>
            </w:r>
          </w:p>
        </w:tc>
        <w:tc>
          <w:tcPr>
            <w:tcW w:w="2040" w:type="dxa"/>
            <w:vAlign w:val="bottom"/>
          </w:tcPr>
          <w:p>
            <w:pPr>
              <w:jc w:val="right"/>
              <w:ind w:right="602"/>
              <w:spacing w:after="0" w:line="179" w:lineRule="exact"/>
              <w:rPr>
                <w:sz w:val="20"/>
                <w:szCs w:val="20"/>
                <w:color w:val="auto"/>
              </w:rPr>
            </w:pPr>
            <w:r>
              <w:rPr>
                <w:rFonts w:ascii="Courier New" w:cs="Courier New" w:eastAsia="Courier New" w:hAnsi="Courier New"/>
                <w:sz w:val="16"/>
                <w:szCs w:val="16"/>
                <w:color w:val="auto"/>
              </w:rPr>
              <w:t>70,000</w:t>
            </w:r>
          </w:p>
        </w:tc>
        <w:tc>
          <w:tcPr>
            <w:tcW w:w="16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$ 50,000(11)</w:t>
            </w: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Corporate Secretary(10)</w:t>
            </w: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58"/>
        </w:trPr>
        <w:tc>
          <w:tcPr>
            <w:tcW w:w="2880" w:type="dxa"/>
            <w:vAlign w:val="bottom"/>
          </w:tcPr>
          <w:p>
            <w:pPr>
              <w:spacing w:after="0"/>
              <w:rPr>
                <w:sz w:val="20"/>
                <w:szCs w:val="20"/>
                <w:color w:val="auto"/>
              </w:rPr>
            </w:pPr>
            <w:r>
              <w:rPr>
                <w:rFonts w:ascii="Courier New" w:cs="Courier New" w:eastAsia="Courier New" w:hAnsi="Courier New"/>
                <w:sz w:val="16"/>
                <w:szCs w:val="16"/>
                <w:color w:val="auto"/>
                <w:w w:val="99"/>
              </w:rPr>
              <w:t>James L. Rogula...............</w:t>
            </w:r>
          </w:p>
        </w:tc>
        <w:tc>
          <w:tcPr>
            <w:tcW w:w="88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8"/>
              </w:rPr>
              <w:t>1999</w:t>
            </w:r>
          </w:p>
        </w:tc>
        <w:tc>
          <w:tcPr>
            <w:tcW w:w="1640" w:type="dxa"/>
            <w:vAlign w:val="bottom"/>
          </w:tcPr>
          <w:p>
            <w:pPr>
              <w:jc w:val="center"/>
              <w:ind w:right="142"/>
              <w:spacing w:after="0"/>
              <w:rPr>
                <w:sz w:val="20"/>
                <w:szCs w:val="20"/>
                <w:color w:val="auto"/>
              </w:rPr>
            </w:pPr>
            <w:r>
              <w:rPr>
                <w:rFonts w:ascii="Courier New" w:cs="Courier New" w:eastAsia="Courier New" w:hAnsi="Courier New"/>
                <w:sz w:val="16"/>
                <w:szCs w:val="16"/>
                <w:color w:val="auto"/>
                <w:w w:val="96"/>
              </w:rPr>
              <w:t>$257,748</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$204,312</w:t>
            </w:r>
          </w:p>
        </w:tc>
        <w:tc>
          <w:tcPr>
            <w:tcW w:w="2040" w:type="dxa"/>
            <w:vAlign w:val="bottom"/>
          </w:tcPr>
          <w:p>
            <w:pPr>
              <w:jc w:val="right"/>
              <w:ind w:right="602"/>
              <w:spacing w:after="0"/>
              <w:rPr>
                <w:sz w:val="20"/>
                <w:szCs w:val="20"/>
                <w:color w:val="auto"/>
              </w:rPr>
            </w:pPr>
            <w:r>
              <w:rPr>
                <w:rFonts w:ascii="Courier New" w:cs="Courier New" w:eastAsia="Courier New" w:hAnsi="Courier New"/>
                <w:sz w:val="16"/>
                <w:szCs w:val="16"/>
                <w:color w:val="auto"/>
              </w:rPr>
              <w:t>0</w:t>
            </w:r>
          </w:p>
        </w:tc>
        <w:tc>
          <w:tcPr>
            <w:tcW w:w="16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$ 55,752(13)</w:t>
            </w: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Senior Vice President,</w:t>
            </w:r>
          </w:p>
        </w:tc>
        <w:tc>
          <w:tcPr>
            <w:tcW w:w="88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8"/>
              </w:rPr>
              <w:t>1998</w:t>
            </w:r>
          </w:p>
        </w:tc>
        <w:tc>
          <w:tcPr>
            <w:tcW w:w="164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w w:val="96"/>
              </w:rPr>
              <w:t>$235,850</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$178,486</w:t>
            </w:r>
          </w:p>
        </w:tc>
        <w:tc>
          <w:tcPr>
            <w:tcW w:w="2040" w:type="dxa"/>
            <w:vAlign w:val="bottom"/>
          </w:tcPr>
          <w:p>
            <w:pPr>
              <w:jc w:val="right"/>
              <w:ind w:right="602"/>
              <w:spacing w:after="0" w:line="179" w:lineRule="exact"/>
              <w:rPr>
                <w:sz w:val="20"/>
                <w:szCs w:val="20"/>
                <w:color w:val="auto"/>
              </w:rPr>
            </w:pPr>
            <w:r>
              <w:rPr>
                <w:rFonts w:ascii="Courier New" w:cs="Courier New" w:eastAsia="Courier New" w:hAnsi="Courier New"/>
                <w:sz w:val="16"/>
                <w:szCs w:val="16"/>
                <w:color w:val="auto"/>
              </w:rPr>
              <w:t>25,000</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14,848(4)</w:t>
            </w: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Consumer Ortho</w:t>
            </w:r>
          </w:p>
        </w:tc>
        <w:tc>
          <w:tcPr>
            <w:tcW w:w="88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8"/>
              </w:rPr>
              <w:t>1997</w:t>
            </w:r>
          </w:p>
        </w:tc>
        <w:tc>
          <w:tcPr>
            <w:tcW w:w="1640" w:type="dxa"/>
            <w:vAlign w:val="bottom"/>
          </w:tcPr>
          <w:p>
            <w:pPr>
              <w:jc w:val="center"/>
              <w:ind w:right="142"/>
              <w:spacing w:after="0" w:line="179" w:lineRule="exact"/>
              <w:rPr>
                <w:sz w:val="20"/>
                <w:szCs w:val="20"/>
                <w:color w:val="auto"/>
              </w:rPr>
            </w:pPr>
            <w:r>
              <w:rPr>
                <w:rFonts w:ascii="Courier New" w:cs="Courier New" w:eastAsia="Courier New" w:hAnsi="Courier New"/>
                <w:sz w:val="16"/>
                <w:szCs w:val="16"/>
                <w:color w:val="auto"/>
                <w:w w:val="96"/>
              </w:rPr>
              <w:t>$213,000</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$165,946</w:t>
            </w:r>
          </w:p>
        </w:tc>
        <w:tc>
          <w:tcPr>
            <w:tcW w:w="2040" w:type="dxa"/>
            <w:vAlign w:val="bottom"/>
          </w:tcPr>
          <w:p>
            <w:pPr>
              <w:jc w:val="right"/>
              <w:ind w:right="602"/>
              <w:spacing w:after="0" w:line="179" w:lineRule="exact"/>
              <w:rPr>
                <w:sz w:val="20"/>
                <w:szCs w:val="20"/>
                <w:color w:val="auto"/>
              </w:rPr>
            </w:pPr>
            <w:r>
              <w:rPr>
                <w:rFonts w:ascii="Courier New" w:cs="Courier New" w:eastAsia="Courier New" w:hAnsi="Courier New"/>
                <w:sz w:val="16"/>
                <w:szCs w:val="16"/>
                <w:color w:val="auto"/>
              </w:rPr>
              <w:t>55,000</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3,200(4)</w:t>
            </w:r>
          </w:p>
        </w:tc>
      </w:tr>
      <w:tr>
        <w:trPr>
          <w:trHeight w:val="179"/>
        </w:trPr>
        <w:tc>
          <w:tcPr>
            <w:tcW w:w="28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Business Group(12)</w:t>
            </w: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r>
    </w:tbl>
    <w:p>
      <w:pPr>
        <w:spacing w:after="0" w:line="356" w:lineRule="exact"/>
        <w:rPr>
          <w:sz w:val="20"/>
          <w:szCs w:val="20"/>
          <w:color w:val="auto"/>
        </w:rPr>
      </w:pPr>
    </w:p>
    <w:p>
      <w:pPr>
        <w:ind w:left="185" w:hanging="185"/>
        <w:spacing w:after="0"/>
        <w:tabs>
          <w:tab w:leader="none" w:pos="18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76" w:lineRule="exact"/>
        <w:rPr>
          <w:rFonts w:ascii="Courier New" w:cs="Courier New" w:eastAsia="Courier New" w:hAnsi="Courier New"/>
          <w:sz w:val="16"/>
          <w:szCs w:val="16"/>
          <w:color w:val="auto"/>
        </w:rPr>
      </w:pPr>
    </w:p>
    <w:p>
      <w:pPr>
        <w:ind w:left="465" w:hanging="371"/>
        <w:spacing w:after="0"/>
        <w:tabs>
          <w:tab w:leader="none" w:pos="465"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compensation which may be deferred under the Executive Plan.</w:t>
      </w:r>
    </w:p>
    <w:p>
      <w:pPr>
        <w:spacing w:after="0" w:line="182" w:lineRule="exact"/>
        <w:rPr>
          <w:rFonts w:ascii="Courier New" w:cs="Courier New" w:eastAsia="Courier New" w:hAnsi="Courier New"/>
          <w:sz w:val="16"/>
          <w:szCs w:val="16"/>
          <w:color w:val="auto"/>
        </w:rPr>
      </w:pPr>
    </w:p>
    <w:p>
      <w:pPr>
        <w:ind w:left="465" w:right="2880" w:hanging="371"/>
        <w:spacing w:after="0" w:line="236" w:lineRule="auto"/>
        <w:tabs>
          <w:tab w:leader="none" w:pos="465"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numbers represent options for Common Shares granted pursuant to the Company's 1992 Long Term Incentive Plan (the "1992 Plan") or the Company's 1996 Stock Option Plan, as amended (the "1996 Plan"). See the table under " -- Grants of Options in 1999 Fiscal Year" for more detailed information on such options.</w:t>
      </w:r>
    </w:p>
    <w:p>
      <w:pPr>
        <w:spacing w:after="0" w:line="183" w:lineRule="exact"/>
        <w:rPr>
          <w:rFonts w:ascii="Courier New" w:cs="Courier New" w:eastAsia="Courier New" w:hAnsi="Courier New"/>
          <w:sz w:val="16"/>
          <w:szCs w:val="16"/>
          <w:color w:val="auto"/>
        </w:rPr>
      </w:pPr>
    </w:p>
    <w:p>
      <w:pPr>
        <w:ind w:left="465" w:right="2800" w:hanging="371"/>
        <w:spacing w:after="0" w:line="234" w:lineRule="auto"/>
        <w:tabs>
          <w:tab w:leader="none" w:pos="465"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Berger was named Chairman, President and Chief Executive Officer of the Company in August 1996.</w:t>
      </w:r>
    </w:p>
    <w:p>
      <w:pPr>
        <w:spacing w:after="0" w:line="177" w:lineRule="exact"/>
        <w:rPr>
          <w:rFonts w:ascii="Courier New" w:cs="Courier New" w:eastAsia="Courier New" w:hAnsi="Courier New"/>
          <w:sz w:val="16"/>
          <w:szCs w:val="16"/>
          <w:color w:val="auto"/>
        </w:rPr>
      </w:pPr>
    </w:p>
    <w:p>
      <w:pPr>
        <w:ind w:left="465" w:hanging="371"/>
        <w:spacing w:after="0"/>
        <w:tabs>
          <w:tab w:leader="none" w:pos="465"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Contributions made by the Company to the RSP.</w:t>
      </w:r>
    </w:p>
    <w:p>
      <w:pPr>
        <w:spacing w:after="0" w:line="182" w:lineRule="exact"/>
        <w:rPr>
          <w:rFonts w:ascii="Courier New" w:cs="Courier New" w:eastAsia="Courier New" w:hAnsi="Courier New"/>
          <w:sz w:val="16"/>
          <w:szCs w:val="16"/>
          <w:color w:val="auto"/>
        </w:rPr>
      </w:pPr>
    </w:p>
    <w:p>
      <w:pPr>
        <w:ind w:left="465" w:right="3260" w:hanging="371"/>
        <w:spacing w:after="0" w:line="234" w:lineRule="auto"/>
        <w:tabs>
          <w:tab w:leader="none" w:pos="465"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$13,281 reimbursement for taxable relocation expense, and a $14,908 contribution by the Company to the RSP.</w:t>
      </w:r>
    </w:p>
    <w:p>
      <w:pPr>
        <w:spacing w:after="0" w:line="183" w:lineRule="exact"/>
        <w:rPr>
          <w:rFonts w:ascii="Courier New" w:cs="Courier New" w:eastAsia="Courier New" w:hAnsi="Courier New"/>
          <w:sz w:val="16"/>
          <w:szCs w:val="16"/>
          <w:color w:val="auto"/>
        </w:rPr>
      </w:pPr>
    </w:p>
    <w:p>
      <w:pPr>
        <w:ind w:left="465" w:right="2880" w:hanging="371"/>
        <w:spacing w:after="0" w:line="235" w:lineRule="auto"/>
        <w:tabs>
          <w:tab w:leader="none" w:pos="465"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James Hagedorn was named President, Scotts North America, of the Company in December 1998. He was previously Executive Vice President, U.S. Business Groups, of the Company since October 1996.</w:t>
      </w:r>
    </w:p>
    <w:p>
      <w:pPr>
        <w:spacing w:after="0" w:line="183" w:lineRule="exact"/>
        <w:rPr>
          <w:rFonts w:ascii="Courier New" w:cs="Courier New" w:eastAsia="Courier New" w:hAnsi="Courier New"/>
          <w:sz w:val="16"/>
          <w:szCs w:val="16"/>
          <w:color w:val="auto"/>
        </w:rPr>
      </w:pPr>
    </w:p>
    <w:p>
      <w:pPr>
        <w:ind w:left="465" w:right="2880" w:hanging="371"/>
        <w:spacing w:after="0" w:line="235" w:lineRule="auto"/>
        <w:tabs>
          <w:tab w:leader="none" w:pos="465"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Mordo was named Group Executive Vice President, International, of the Company, in May 1999. He was previously Executive Vice President and Chief Financial Officer since January 1997.</w:t>
      </w:r>
    </w:p>
    <w:p>
      <w:pPr>
        <w:spacing w:after="0" w:line="183" w:lineRule="exact"/>
        <w:rPr>
          <w:rFonts w:ascii="Courier New" w:cs="Courier New" w:eastAsia="Courier New" w:hAnsi="Courier New"/>
          <w:sz w:val="16"/>
          <w:szCs w:val="16"/>
          <w:color w:val="auto"/>
        </w:rPr>
      </w:pPr>
    </w:p>
    <w:p>
      <w:pPr>
        <w:ind w:left="465" w:right="3260" w:hanging="371"/>
        <w:spacing w:after="0" w:line="234" w:lineRule="auto"/>
        <w:tabs>
          <w:tab w:leader="none" w:pos="465"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$15,911 reimbursement for taxable relocation expense, and a $13,736 contribution by the Company to the RSP.</w:t>
      </w:r>
    </w:p>
    <w:p>
      <w:pPr>
        <w:spacing w:after="0" w:line="183" w:lineRule="exact"/>
        <w:rPr>
          <w:rFonts w:ascii="Courier New" w:cs="Courier New" w:eastAsia="Courier New" w:hAnsi="Courier New"/>
          <w:sz w:val="16"/>
          <w:szCs w:val="16"/>
          <w:color w:val="auto"/>
        </w:rPr>
      </w:pPr>
    </w:p>
    <w:p>
      <w:pPr>
        <w:ind w:left="465" w:right="2880" w:hanging="371"/>
        <w:spacing w:after="0" w:line="234" w:lineRule="auto"/>
        <w:tabs>
          <w:tab w:leader="none" w:pos="465"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$107,610 (net $70,000) sign-on bonus, and a $3,200 contribution by the Company to the RSP.</w:t>
      </w:r>
    </w:p>
    <w:p>
      <w:pPr>
        <w:sectPr>
          <w:pgSz w:w="11900" w:h="16838" w:orient="portrait"/>
          <w:cols w:equalWidth="0" w:num="1">
            <w:col w:w="10245"/>
          </w:cols>
          <w:pgMar w:left="315" w:top="291" w:right="1339" w:bottom="1440" w:gutter="0" w:footer="0" w:header="0"/>
        </w:sectPr>
      </w:pPr>
    </w:p>
    <w:p>
      <w:pPr>
        <w:spacing w:after="0" w:line="17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45"/>
          </w:cols>
          <w:pgMar w:left="315" w:top="291" w:right="1339" w:bottom="1440" w:gutter="0" w:footer="0" w:header="0"/>
          <w:type w:val="continuous"/>
        </w:sectPr>
      </w:pPr>
    </w:p>
    <w:bookmarkStart w:id="15" w:name="page16"/>
    <w:bookmarkEnd w:id="15"/>
    <w:p>
      <w:pPr>
        <w:ind w:left="285"/>
        <w:spacing w:after="0"/>
        <w:rPr>
          <w:sz w:val="20"/>
          <w:szCs w:val="20"/>
          <w:color w:val="auto"/>
        </w:rPr>
      </w:pPr>
      <w:r>
        <w:rPr>
          <w:rFonts w:ascii="Courier New" w:cs="Courier New" w:eastAsia="Courier New" w:hAnsi="Courier New"/>
          <w:sz w:val="16"/>
          <w:szCs w:val="16"/>
          <w:color w:val="auto"/>
        </w:rPr>
        <w:t>16</w:t>
      </w:r>
    </w:p>
    <w:p>
      <w:pPr>
        <w:spacing w:after="0" w:line="183" w:lineRule="exact"/>
        <w:rPr>
          <w:sz w:val="20"/>
          <w:szCs w:val="20"/>
          <w:color w:val="auto"/>
        </w:rPr>
      </w:pPr>
    </w:p>
    <w:p>
      <w:pPr>
        <w:ind w:left="465" w:right="2780" w:hanging="465"/>
        <w:spacing w:after="0" w:line="283" w:lineRule="auto"/>
        <w:tabs>
          <w:tab w:leader="none" w:pos="46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Lucas was named Executive Vice President in February 1999, and General Counsel and Corporate Secretary in May 1997. He was previously a Senior Vice President of the Company from May 1997 until February 1999.</w:t>
      </w:r>
    </w:p>
    <w:p>
      <w:pPr>
        <w:spacing w:after="0" w:line="149" w:lineRule="exact"/>
        <w:rPr>
          <w:rFonts w:ascii="Courier New" w:cs="Courier New" w:eastAsia="Courier New" w:hAnsi="Courier New"/>
          <w:sz w:val="14"/>
          <w:szCs w:val="14"/>
          <w:color w:val="auto"/>
        </w:rPr>
      </w:pPr>
    </w:p>
    <w:p>
      <w:pPr>
        <w:ind w:left="465" w:hanging="465"/>
        <w:spacing w:after="0"/>
        <w:tabs>
          <w:tab w:leader="none" w:pos="46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a $50,000 sign-on bonus.</w:t>
      </w:r>
    </w:p>
    <w:p>
      <w:pPr>
        <w:spacing w:after="0" w:line="182" w:lineRule="exact"/>
        <w:rPr>
          <w:rFonts w:ascii="Courier New" w:cs="Courier New" w:eastAsia="Courier New" w:hAnsi="Courier New"/>
          <w:sz w:val="16"/>
          <w:szCs w:val="16"/>
          <w:color w:val="auto"/>
        </w:rPr>
      </w:pPr>
    </w:p>
    <w:p>
      <w:pPr>
        <w:ind w:left="465" w:right="2780" w:hanging="465"/>
        <w:spacing w:after="0" w:line="235" w:lineRule="auto"/>
        <w:tabs>
          <w:tab w:leader="none" w:pos="46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Rogula was named Senior Vice President, Consumer Ortho Business Group, of the Company in October 1998. He was previously Senior Vice President, Consumer Lawns Group, of the Company, since October 1996.</w:t>
      </w:r>
    </w:p>
    <w:p>
      <w:pPr>
        <w:spacing w:after="0" w:line="183" w:lineRule="exact"/>
        <w:rPr>
          <w:rFonts w:ascii="Courier New" w:cs="Courier New" w:eastAsia="Courier New" w:hAnsi="Courier New"/>
          <w:sz w:val="16"/>
          <w:szCs w:val="16"/>
          <w:color w:val="auto"/>
        </w:rPr>
      </w:pPr>
    </w:p>
    <w:p>
      <w:pPr>
        <w:ind w:left="465" w:right="2780" w:hanging="465"/>
        <w:spacing w:after="0" w:line="235" w:lineRule="auto"/>
        <w:tabs>
          <w:tab w:leader="none" w:pos="46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housing allowance of $41,831, a $5,079 tax equalization payment in connection with a temporary relocation to California and a $8,842 contribution by the Company to the RSP.</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GRANTS OF OPTIONS IN 1999 FISCAL YEAR</w:t>
      </w:r>
    </w:p>
    <w:p>
      <w:pPr>
        <w:spacing w:after="0" w:line="183" w:lineRule="exact"/>
        <w:rPr>
          <w:sz w:val="20"/>
          <w:szCs w:val="20"/>
          <w:color w:val="auto"/>
        </w:rPr>
      </w:pPr>
    </w:p>
    <w:p>
      <w:pPr>
        <w:jc w:val="both"/>
        <w:ind w:left="5" w:right="2700" w:firstLine="466"/>
        <w:spacing w:after="0" w:line="235" w:lineRule="auto"/>
        <w:rPr>
          <w:sz w:val="20"/>
          <w:szCs w:val="20"/>
          <w:color w:val="auto"/>
        </w:rPr>
      </w:pPr>
      <w:r>
        <w:rPr>
          <w:rFonts w:ascii="Courier New" w:cs="Courier New" w:eastAsia="Courier New" w:hAnsi="Courier New"/>
          <w:sz w:val="16"/>
          <w:szCs w:val="16"/>
          <w:color w:val="auto"/>
        </w:rPr>
        <w:t>The following table sets forth information concerning individual grants of non-qualified stock options made during the 1999 fiscal year under the 1996 Plan to each of the individuals named in the Summary Compensation Table. The Company has never granted stock appreciation rights.</w:t>
      </w:r>
    </w:p>
    <w:p>
      <w:pPr>
        <w:spacing w:after="0" w:line="200" w:lineRule="exact"/>
        <w:rPr>
          <w:sz w:val="20"/>
          <w:szCs w:val="20"/>
          <w:color w:val="auto"/>
        </w:rPr>
      </w:pPr>
    </w:p>
    <w:p>
      <w:pPr>
        <w:spacing w:after="0" w:line="338"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20" w:type="dxa"/>
            <w:vAlign w:val="bottom"/>
            <w:gridSpan w:val="3"/>
          </w:tcPr>
          <w:p>
            <w:pPr>
              <w:spacing w:after="0"/>
              <w:rPr>
                <w:sz w:val="20"/>
                <w:szCs w:val="20"/>
                <w:color w:val="auto"/>
              </w:rPr>
            </w:pPr>
            <w:r>
              <w:rPr>
                <w:rFonts w:ascii="Courier New" w:cs="Courier New" w:eastAsia="Courier New" w:hAnsi="Courier New"/>
                <w:sz w:val="16"/>
                <w:szCs w:val="16"/>
                <w:color w:val="auto"/>
              </w:rPr>
              <w:t>POTENTIAL REALIZABLE</w:t>
            </w:r>
          </w:p>
        </w:tc>
      </w:tr>
      <w:tr>
        <w:trPr>
          <w:trHeight w:val="179"/>
        </w:trPr>
        <w:tc>
          <w:tcPr>
            <w:tcW w:w="2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 OF</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20" w:type="dxa"/>
            <w:vAlign w:val="bottom"/>
            <w:gridSpan w:val="3"/>
          </w:tcPr>
          <w:p>
            <w:pPr>
              <w:ind w:left="200"/>
              <w:spacing w:after="0" w:line="179" w:lineRule="exact"/>
              <w:rPr>
                <w:sz w:val="20"/>
                <w:szCs w:val="20"/>
                <w:color w:val="auto"/>
              </w:rPr>
            </w:pPr>
            <w:r>
              <w:rPr>
                <w:rFonts w:ascii="Courier New" w:cs="Courier New" w:eastAsia="Courier New" w:hAnsi="Courier New"/>
                <w:sz w:val="16"/>
                <w:szCs w:val="16"/>
                <w:color w:val="auto"/>
              </w:rPr>
              <w:t>VALUE AT ASSUMED</w:t>
            </w:r>
          </w:p>
        </w:tc>
      </w:tr>
      <w:tr>
        <w:trPr>
          <w:trHeight w:val="179"/>
        </w:trPr>
        <w:tc>
          <w:tcPr>
            <w:tcW w:w="2320" w:type="dxa"/>
            <w:vAlign w:val="bottom"/>
          </w:tcPr>
          <w:p>
            <w:pPr>
              <w:spacing w:after="0"/>
              <w:rPr>
                <w:sz w:val="15"/>
                <w:szCs w:val="15"/>
                <w:color w:val="auto"/>
              </w:rPr>
            </w:pP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NUMBER OF</w:t>
            </w:r>
          </w:p>
        </w:tc>
        <w:tc>
          <w:tcPr>
            <w:tcW w:w="140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TOTAL</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2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ANNUAL RATES OF STOCK</w:t>
            </w:r>
          </w:p>
        </w:tc>
      </w:tr>
      <w:tr>
        <w:trPr>
          <w:trHeight w:val="179"/>
        </w:trPr>
        <w:tc>
          <w:tcPr>
            <w:tcW w:w="2320" w:type="dxa"/>
            <w:vAlign w:val="bottom"/>
          </w:tcPr>
          <w:p>
            <w:pPr>
              <w:spacing w:after="0"/>
              <w:rPr>
                <w:sz w:val="15"/>
                <w:szCs w:val="15"/>
                <w:color w:val="auto"/>
              </w:rPr>
            </w:pP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SECURITIES</w:t>
            </w:r>
          </w:p>
        </w:tc>
        <w:tc>
          <w:tcPr>
            <w:tcW w:w="14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OPTIONS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20" w:type="dxa"/>
            <w:vAlign w:val="bottom"/>
            <w:gridSpan w:val="3"/>
          </w:tcPr>
          <w:p>
            <w:pPr>
              <w:ind w:left="100"/>
              <w:spacing w:after="0" w:line="179" w:lineRule="exact"/>
              <w:rPr>
                <w:sz w:val="20"/>
                <w:szCs w:val="20"/>
                <w:color w:val="auto"/>
              </w:rPr>
            </w:pPr>
            <w:r>
              <w:rPr>
                <w:rFonts w:ascii="Courier New" w:cs="Courier New" w:eastAsia="Courier New" w:hAnsi="Courier New"/>
                <w:sz w:val="16"/>
                <w:szCs w:val="16"/>
                <w:color w:val="auto"/>
              </w:rPr>
              <w:t>PRICE APPRECIATION</w:t>
            </w:r>
          </w:p>
        </w:tc>
      </w:tr>
      <w:tr>
        <w:trPr>
          <w:trHeight w:val="179"/>
        </w:trPr>
        <w:tc>
          <w:tcPr>
            <w:tcW w:w="2320" w:type="dxa"/>
            <w:vAlign w:val="bottom"/>
          </w:tcPr>
          <w:p>
            <w:pPr>
              <w:spacing w:after="0"/>
              <w:rPr>
                <w:sz w:val="15"/>
                <w:szCs w:val="15"/>
                <w:color w:val="auto"/>
              </w:rPr>
            </w:pPr>
          </w:p>
        </w:tc>
        <w:tc>
          <w:tcPr>
            <w:tcW w:w="14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UNDERLYING</w:t>
            </w:r>
          </w:p>
        </w:tc>
        <w:tc>
          <w:tcPr>
            <w:tcW w:w="14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GRANTED TO</w:t>
            </w:r>
          </w:p>
        </w:tc>
        <w:tc>
          <w:tcPr>
            <w:tcW w:w="1120" w:type="dxa"/>
            <w:vAlign w:val="bottom"/>
            <w:gridSpan w:val="2"/>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EXERCISE</w:t>
            </w: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9"/>
              </w:rPr>
              <w:t>FOR OPTION</w:t>
            </w:r>
          </w:p>
        </w:tc>
        <w:tc>
          <w:tcPr>
            <w:tcW w:w="134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TERM(2)</w:t>
            </w:r>
          </w:p>
        </w:tc>
      </w:tr>
      <w:tr>
        <w:trPr>
          <w:trHeight w:val="179"/>
        </w:trPr>
        <w:tc>
          <w:tcPr>
            <w:tcW w:w="2320" w:type="dxa"/>
            <w:vAlign w:val="bottom"/>
          </w:tcPr>
          <w:p>
            <w:pPr>
              <w:spacing w:after="0"/>
              <w:rPr>
                <w:sz w:val="15"/>
                <w:szCs w:val="15"/>
                <w:color w:val="auto"/>
              </w:rPr>
            </w:pPr>
          </w:p>
        </w:tc>
        <w:tc>
          <w:tcPr>
            <w:tcW w:w="14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OPTIONS</w:t>
            </w:r>
          </w:p>
        </w:tc>
        <w:tc>
          <w:tcPr>
            <w:tcW w:w="14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EMPLOYEES IN</w:t>
            </w:r>
          </w:p>
        </w:tc>
        <w:tc>
          <w:tcPr>
            <w:tcW w:w="240" w:type="dxa"/>
            <w:vAlign w:val="bottom"/>
          </w:tcPr>
          <w:p>
            <w:pPr>
              <w:spacing w:after="0"/>
              <w:rPr>
                <w:sz w:val="15"/>
                <w:szCs w:val="15"/>
                <w:color w:val="auto"/>
              </w:rPr>
            </w:pPr>
          </w:p>
        </w:tc>
        <w:tc>
          <w:tcPr>
            <w:tcW w:w="880" w:type="dxa"/>
            <w:vAlign w:val="bottom"/>
          </w:tcPr>
          <w:p>
            <w:pPr>
              <w:jc w:val="center"/>
              <w:ind w:right="162"/>
              <w:spacing w:after="0" w:line="179" w:lineRule="exact"/>
              <w:rPr>
                <w:sz w:val="20"/>
                <w:szCs w:val="20"/>
                <w:color w:val="auto"/>
              </w:rPr>
            </w:pPr>
            <w:r>
              <w:rPr>
                <w:rFonts w:ascii="Courier New" w:cs="Courier New" w:eastAsia="Courier New" w:hAnsi="Courier New"/>
                <w:sz w:val="16"/>
                <w:szCs w:val="16"/>
                <w:color w:val="auto"/>
                <w:w w:val="99"/>
              </w:rPr>
              <w:t>PRICE</w:t>
            </w:r>
          </w:p>
        </w:tc>
        <w:tc>
          <w:tcPr>
            <w:tcW w:w="12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EXPIRATION</w:t>
            </w:r>
          </w:p>
        </w:tc>
        <w:tc>
          <w:tcPr>
            <w:tcW w:w="1300" w:type="dxa"/>
            <w:vAlign w:val="bottom"/>
            <w:gridSpan w:val="2"/>
          </w:tcPr>
          <w:p>
            <w:pPr>
              <w:ind w:left="140"/>
              <w:spacing w:after="0"/>
              <w:rPr>
                <w:sz w:val="20"/>
                <w:szCs w:val="20"/>
                <w:color w:val="auto"/>
              </w:rPr>
            </w:pPr>
            <w:r>
              <w:rPr>
                <w:rFonts w:ascii="Courier New" w:cs="Courier New" w:eastAsia="Courier New" w:hAnsi="Courier New"/>
                <w:sz w:val="11"/>
                <w:szCs w:val="11"/>
                <w:color w:val="auto"/>
                <w:w w:val="75"/>
              </w:rPr>
              <w:t>-----------------------</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NAME</w:t>
            </w:r>
          </w:p>
        </w:tc>
        <w:tc>
          <w:tcPr>
            <w:tcW w:w="1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GRANTED(#)(1)</w:t>
            </w:r>
          </w:p>
        </w:tc>
        <w:tc>
          <w:tcPr>
            <w:tcW w:w="14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FISCAL YEAR</w:t>
            </w:r>
          </w:p>
        </w:tc>
        <w:tc>
          <w:tcPr>
            <w:tcW w:w="11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($/SHARE)</w:t>
            </w:r>
          </w:p>
        </w:tc>
        <w:tc>
          <w:tcPr>
            <w:tcW w:w="12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DATE</w:t>
            </w:r>
          </w:p>
        </w:tc>
        <w:tc>
          <w:tcPr>
            <w:tcW w:w="220" w:type="dxa"/>
            <w:vAlign w:val="bottom"/>
          </w:tcPr>
          <w:p>
            <w:pPr>
              <w:spacing w:after="0"/>
              <w:rPr>
                <w:sz w:val="15"/>
                <w:szCs w:val="15"/>
                <w:color w:val="auto"/>
              </w:rPr>
            </w:pPr>
          </w:p>
        </w:tc>
        <w:tc>
          <w:tcPr>
            <w:tcW w:w="10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5%($)</w:t>
            </w:r>
          </w:p>
        </w:tc>
        <w:tc>
          <w:tcPr>
            <w:tcW w:w="180" w:type="dxa"/>
            <w:vAlign w:val="bottom"/>
          </w:tcPr>
          <w:p>
            <w:pPr>
              <w:spacing w:after="0"/>
              <w:rPr>
                <w:sz w:val="15"/>
                <w:szCs w:val="15"/>
                <w:color w:val="auto"/>
              </w:rPr>
            </w:pPr>
          </w:p>
        </w:tc>
        <w:tc>
          <w:tcPr>
            <w:tcW w:w="11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 - ----</w:t>
            </w:r>
          </w:p>
        </w:tc>
        <w:tc>
          <w:tcPr>
            <w:tcW w:w="30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23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126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9"/>
              </w:rPr>
              <w:t>----------</w:t>
            </w:r>
          </w:p>
        </w:tc>
        <w:tc>
          <w:tcPr>
            <w:tcW w:w="11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w w:val="99"/>
              </w:rPr>
              <w:t>Charles M. Berger.......</w:t>
            </w: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75,000(3)</w:t>
            </w:r>
          </w:p>
        </w:tc>
        <w:tc>
          <w:tcPr>
            <w:tcW w:w="14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5.22%</w:t>
            </w:r>
          </w:p>
        </w:tc>
        <w:tc>
          <w:tcPr>
            <w:tcW w:w="240" w:type="dxa"/>
            <w:vAlign w:val="bottom"/>
          </w:tcPr>
          <w:p>
            <w:pPr>
              <w:spacing w:after="0"/>
              <w:rPr>
                <w:sz w:val="24"/>
                <w:szCs w:val="24"/>
                <w:color w:val="auto"/>
              </w:rPr>
            </w:pPr>
          </w:p>
        </w:tc>
        <w:tc>
          <w:tcPr>
            <w:tcW w:w="88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5"/>
              </w:rPr>
              <w:t>$30.000</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w w:val="96"/>
              </w:rPr>
              <w:t>10/20/08</w:t>
            </w:r>
          </w:p>
        </w:tc>
        <w:tc>
          <w:tcPr>
            <w:tcW w:w="13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$1,415,013</w:t>
            </w:r>
          </w:p>
        </w:tc>
        <w:tc>
          <w:tcPr>
            <w:tcW w:w="13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$3,585,921</w:t>
            </w:r>
          </w:p>
        </w:tc>
      </w:tr>
      <w:tr>
        <w:trPr>
          <w:trHeight w:val="179"/>
        </w:trPr>
        <w:tc>
          <w:tcPr>
            <w:tcW w:w="2320" w:type="dxa"/>
            <w:vAlign w:val="bottom"/>
          </w:tcPr>
          <w:p>
            <w:pPr>
              <w:spacing w:after="0"/>
              <w:rPr>
                <w:sz w:val="15"/>
                <w:szCs w:val="15"/>
                <w:color w:val="auto"/>
              </w:rPr>
            </w:pPr>
          </w:p>
        </w:tc>
        <w:tc>
          <w:tcPr>
            <w:tcW w:w="1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75,000(4)</w:t>
            </w:r>
          </w:p>
        </w:tc>
        <w:tc>
          <w:tcPr>
            <w:tcW w:w="14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5.22%</w:t>
            </w:r>
          </w:p>
        </w:tc>
        <w:tc>
          <w:tcPr>
            <w:tcW w:w="240" w:type="dxa"/>
            <w:vAlign w:val="bottom"/>
          </w:tcPr>
          <w:p>
            <w:pPr>
              <w:spacing w:after="0"/>
              <w:rPr>
                <w:sz w:val="15"/>
                <w:szCs w:val="15"/>
                <w:color w:val="auto"/>
              </w:rPr>
            </w:pPr>
          </w:p>
        </w:tc>
        <w:tc>
          <w:tcPr>
            <w:tcW w:w="880" w:type="dxa"/>
            <w:vAlign w:val="bottom"/>
          </w:tcPr>
          <w:p>
            <w:pPr>
              <w:jc w:val="center"/>
              <w:ind w:right="162"/>
              <w:spacing w:after="0" w:line="179" w:lineRule="exact"/>
              <w:rPr>
                <w:sz w:val="20"/>
                <w:szCs w:val="20"/>
                <w:color w:val="auto"/>
              </w:rPr>
            </w:pPr>
            <w:r>
              <w:rPr>
                <w:rFonts w:ascii="Courier New" w:cs="Courier New" w:eastAsia="Courier New" w:hAnsi="Courier New"/>
                <w:sz w:val="16"/>
                <w:szCs w:val="16"/>
                <w:color w:val="auto"/>
                <w:w w:val="95"/>
              </w:rPr>
              <w:t>$35.250</w:t>
            </w:r>
          </w:p>
        </w:tc>
        <w:tc>
          <w:tcPr>
            <w:tcW w:w="12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09/24/09</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$1,662,640</w:t>
            </w:r>
          </w:p>
        </w:tc>
        <w:tc>
          <w:tcPr>
            <w:tcW w:w="134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$4,213,457</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w w:val="99"/>
              </w:rPr>
              <w:t>James Hagedorn..........</w:t>
            </w: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35,000(5)</w:t>
            </w:r>
          </w:p>
        </w:tc>
        <w:tc>
          <w:tcPr>
            <w:tcW w:w="14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2.44%</w:t>
            </w:r>
          </w:p>
        </w:tc>
        <w:tc>
          <w:tcPr>
            <w:tcW w:w="240" w:type="dxa"/>
            <w:vAlign w:val="bottom"/>
          </w:tcPr>
          <w:p>
            <w:pPr>
              <w:spacing w:after="0"/>
              <w:rPr>
                <w:sz w:val="24"/>
                <w:szCs w:val="24"/>
                <w:color w:val="auto"/>
              </w:rPr>
            </w:pPr>
          </w:p>
        </w:tc>
        <w:tc>
          <w:tcPr>
            <w:tcW w:w="88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5"/>
              </w:rPr>
              <w:t>$35.125</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w w:val="96"/>
              </w:rPr>
              <w:t>03/04/09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773,147</w:t>
            </w:r>
          </w:p>
        </w:tc>
        <w:tc>
          <w:tcPr>
            <w:tcW w:w="13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$1,959,307</w:t>
            </w:r>
          </w:p>
        </w:tc>
      </w:tr>
      <w:tr>
        <w:trPr>
          <w:trHeight w:val="179"/>
        </w:trPr>
        <w:tc>
          <w:tcPr>
            <w:tcW w:w="2320" w:type="dxa"/>
            <w:vAlign w:val="bottom"/>
          </w:tcPr>
          <w:p>
            <w:pPr>
              <w:spacing w:after="0"/>
              <w:rPr>
                <w:sz w:val="15"/>
                <w:szCs w:val="15"/>
                <w:color w:val="auto"/>
              </w:rPr>
            </w:pPr>
          </w:p>
        </w:tc>
        <w:tc>
          <w:tcPr>
            <w:tcW w:w="1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45,000(6)</w:t>
            </w:r>
          </w:p>
        </w:tc>
        <w:tc>
          <w:tcPr>
            <w:tcW w:w="14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3.13%</w:t>
            </w:r>
          </w:p>
        </w:tc>
        <w:tc>
          <w:tcPr>
            <w:tcW w:w="240" w:type="dxa"/>
            <w:vAlign w:val="bottom"/>
          </w:tcPr>
          <w:p>
            <w:pPr>
              <w:spacing w:after="0"/>
              <w:rPr>
                <w:sz w:val="15"/>
                <w:szCs w:val="15"/>
                <w:color w:val="auto"/>
              </w:rPr>
            </w:pPr>
          </w:p>
        </w:tc>
        <w:tc>
          <w:tcPr>
            <w:tcW w:w="880" w:type="dxa"/>
            <w:vAlign w:val="bottom"/>
          </w:tcPr>
          <w:p>
            <w:pPr>
              <w:jc w:val="center"/>
              <w:ind w:right="162"/>
              <w:spacing w:after="0" w:line="179" w:lineRule="exact"/>
              <w:rPr>
                <w:sz w:val="20"/>
                <w:szCs w:val="20"/>
                <w:color w:val="auto"/>
              </w:rPr>
            </w:pPr>
            <w:r>
              <w:rPr>
                <w:rFonts w:ascii="Courier New" w:cs="Courier New" w:eastAsia="Courier New" w:hAnsi="Courier New"/>
                <w:sz w:val="16"/>
                <w:szCs w:val="16"/>
                <w:color w:val="auto"/>
                <w:w w:val="95"/>
              </w:rPr>
              <w:t>$35.750</w:t>
            </w:r>
          </w:p>
        </w:tc>
        <w:tc>
          <w:tcPr>
            <w:tcW w:w="12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09/21/09</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$1,011,734</w:t>
            </w:r>
          </w:p>
        </w:tc>
        <w:tc>
          <w:tcPr>
            <w:tcW w:w="134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$2,563,933</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w w:val="99"/>
              </w:rPr>
              <w:t>Jean H. Mordo...........</w:t>
            </w: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35,000(5)</w:t>
            </w:r>
          </w:p>
        </w:tc>
        <w:tc>
          <w:tcPr>
            <w:tcW w:w="14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2.44%</w:t>
            </w:r>
          </w:p>
        </w:tc>
        <w:tc>
          <w:tcPr>
            <w:tcW w:w="240" w:type="dxa"/>
            <w:vAlign w:val="bottom"/>
          </w:tcPr>
          <w:p>
            <w:pPr>
              <w:spacing w:after="0"/>
              <w:rPr>
                <w:sz w:val="24"/>
                <w:szCs w:val="24"/>
                <w:color w:val="auto"/>
              </w:rPr>
            </w:pPr>
          </w:p>
        </w:tc>
        <w:tc>
          <w:tcPr>
            <w:tcW w:w="88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5"/>
              </w:rPr>
              <w:t>$35.125</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w w:val="96"/>
              </w:rPr>
              <w:t>03/04/09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773,147</w:t>
            </w:r>
          </w:p>
        </w:tc>
        <w:tc>
          <w:tcPr>
            <w:tcW w:w="13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$1,959,307</w:t>
            </w:r>
          </w:p>
        </w:tc>
      </w:tr>
      <w:tr>
        <w:trPr>
          <w:trHeight w:val="179"/>
        </w:trPr>
        <w:tc>
          <w:tcPr>
            <w:tcW w:w="2320" w:type="dxa"/>
            <w:vAlign w:val="bottom"/>
          </w:tcPr>
          <w:p>
            <w:pPr>
              <w:spacing w:after="0"/>
              <w:rPr>
                <w:sz w:val="15"/>
                <w:szCs w:val="15"/>
                <w:color w:val="auto"/>
              </w:rPr>
            </w:pPr>
          </w:p>
        </w:tc>
        <w:tc>
          <w:tcPr>
            <w:tcW w:w="14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25,000(6)</w:t>
            </w:r>
          </w:p>
        </w:tc>
        <w:tc>
          <w:tcPr>
            <w:tcW w:w="14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1.74%</w:t>
            </w:r>
          </w:p>
        </w:tc>
        <w:tc>
          <w:tcPr>
            <w:tcW w:w="240" w:type="dxa"/>
            <w:vAlign w:val="bottom"/>
          </w:tcPr>
          <w:p>
            <w:pPr>
              <w:spacing w:after="0"/>
              <w:rPr>
                <w:sz w:val="15"/>
                <w:szCs w:val="15"/>
                <w:color w:val="auto"/>
              </w:rPr>
            </w:pPr>
          </w:p>
        </w:tc>
        <w:tc>
          <w:tcPr>
            <w:tcW w:w="880" w:type="dxa"/>
            <w:vAlign w:val="bottom"/>
          </w:tcPr>
          <w:p>
            <w:pPr>
              <w:jc w:val="center"/>
              <w:ind w:right="162"/>
              <w:spacing w:after="0" w:line="179" w:lineRule="exact"/>
              <w:rPr>
                <w:sz w:val="20"/>
                <w:szCs w:val="20"/>
                <w:color w:val="auto"/>
              </w:rPr>
            </w:pPr>
            <w:r>
              <w:rPr>
                <w:rFonts w:ascii="Courier New" w:cs="Courier New" w:eastAsia="Courier New" w:hAnsi="Courier New"/>
                <w:sz w:val="16"/>
                <w:szCs w:val="16"/>
                <w:color w:val="auto"/>
                <w:w w:val="95"/>
              </w:rPr>
              <w:t>$35.750</w:t>
            </w:r>
          </w:p>
        </w:tc>
        <w:tc>
          <w:tcPr>
            <w:tcW w:w="122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09/21/09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562,075</w:t>
            </w:r>
          </w:p>
        </w:tc>
        <w:tc>
          <w:tcPr>
            <w:tcW w:w="134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$1,424,407</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w w:val="99"/>
              </w:rPr>
              <w:t>G. Robert Lucas.........</w:t>
            </w: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15,000(6)</w:t>
            </w:r>
          </w:p>
        </w:tc>
        <w:tc>
          <w:tcPr>
            <w:tcW w:w="14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1.04%</w:t>
            </w:r>
          </w:p>
        </w:tc>
        <w:tc>
          <w:tcPr>
            <w:tcW w:w="240" w:type="dxa"/>
            <w:vAlign w:val="bottom"/>
          </w:tcPr>
          <w:p>
            <w:pPr>
              <w:spacing w:after="0"/>
              <w:rPr>
                <w:sz w:val="24"/>
                <w:szCs w:val="24"/>
                <w:color w:val="auto"/>
              </w:rPr>
            </w:pPr>
          </w:p>
        </w:tc>
        <w:tc>
          <w:tcPr>
            <w:tcW w:w="88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5"/>
              </w:rPr>
              <w:t>$35.750</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w w:val="96"/>
              </w:rPr>
              <w:t>09/21/09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337,245</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854,644</w:t>
            </w: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w w:val="99"/>
              </w:rPr>
              <w:t>James L. Rogula.........</w:t>
            </w: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0(7)</w:t>
            </w:r>
          </w:p>
        </w:tc>
        <w:tc>
          <w:tcPr>
            <w:tcW w:w="140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24"/>
                <w:szCs w:val="24"/>
                <w:color w:val="auto"/>
              </w:rPr>
            </w:pPr>
          </w:p>
        </w:tc>
        <w:tc>
          <w:tcPr>
            <w:tcW w:w="8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24"/>
                <w:szCs w:val="2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24"/>
                <w:szCs w:val="24"/>
                <w:color w:val="auto"/>
              </w:rPr>
            </w:pPr>
          </w:p>
        </w:tc>
        <w:tc>
          <w:tcPr>
            <w:tcW w:w="11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bl>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 ---------------</w:t>
      </w:r>
    </w:p>
    <w:p>
      <w:pPr>
        <w:spacing w:after="0" w:line="183" w:lineRule="exact"/>
        <w:rPr>
          <w:sz w:val="20"/>
          <w:szCs w:val="20"/>
          <w:color w:val="auto"/>
        </w:rPr>
      </w:pPr>
    </w:p>
    <w:p>
      <w:pPr>
        <w:ind w:left="365" w:right="2700" w:hanging="365"/>
        <w:spacing w:after="0" w:line="272" w:lineRule="auto"/>
        <w:tabs>
          <w:tab w:leader="none" w:pos="36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"Change in Control" (as defined in the 1996 Plan), each optionee will be permitted in his discretion, to surrender any option or portion thereof in exchange for the payment in cash of an amount equal to the excess of the highest price paid (or offered) for Common Shares of the Company during the preceding 30-day period over the exercise price for such option. Notwithstanding the foregoing, if the Compensation and Organization Committee determines that the optionee will receive a new award (or have the option honored or assumed) in a manner which preserves its value and eliminates the risk that the value of the award will be forfeited due to involuntary termination, no cash payment will be made as a result of a Change in Control. If any cash payment is to be made with respect to options granted within six months of the date on which a Change in Control occurs, the cash payment will not occur unless and until the cash payment may be made without subjecting the optionee to potential liability under Section 16(b) of the Securities Exchange Act of 1934 (the "Exchange Act"), by reason of such cash payment. In the event of termination of employment by reason of retirement, long-term disability or death, the options may thereafter be exercised in full for a period of five years, subject to the stated term of the options. The options are forfeited if the optionee's employment is terminated for cause. In the event an optionee's employment is terminated for any reason other than retirement, long-term disability, death or for cause, any exercisable options held by him at the date of termination may be exercised for a period of 90 days, subject to the stated terms of the options.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01" w:lineRule="exact"/>
        <w:rPr>
          <w:rFonts w:ascii="Courier New" w:cs="Courier New" w:eastAsia="Courier New" w:hAnsi="Courier New"/>
          <w:sz w:val="14"/>
          <w:szCs w:val="14"/>
          <w:color w:val="auto"/>
        </w:rPr>
      </w:pPr>
    </w:p>
    <w:p>
      <w:pPr>
        <w:ind w:left="365" w:right="2780" w:hanging="365"/>
        <w:spacing w:after="0" w:line="277" w:lineRule="auto"/>
        <w:tabs>
          <w:tab w:leader="none" w:pos="36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reflected in this table represent certain assumed rates of appreciation only. Actual realized values, if any, on option exercises will be dependent on the actual appreciation of the Common Shares of the Company over the term of the options. There can be no assurances that the Potential Realizable Values reflected in this table will be achieved.</w:t>
      </w:r>
    </w:p>
    <w:p>
      <w:pPr>
        <w:sectPr>
          <w:pgSz w:w="11900" w:h="16838" w:orient="portrait"/>
          <w:cols w:equalWidth="0" w:num="1">
            <w:col w:w="10145"/>
          </w:cols>
          <w:pgMar w:left="315" w:top="291" w:right="1439" w:bottom="1440" w:gutter="0" w:footer="0" w:header="0"/>
        </w:sectPr>
      </w:pPr>
    </w:p>
    <w:p>
      <w:pPr>
        <w:spacing w:after="0" w:line="153"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145"/>
          </w:cols>
          <w:pgMar w:left="315" w:top="291" w:right="1439" w:bottom="1440" w:gutter="0" w:footer="0" w:header="0"/>
          <w:type w:val="continuous"/>
        </w:sectPr>
      </w:pPr>
    </w:p>
    <w:bookmarkStart w:id="16" w:name="page17"/>
    <w:bookmarkEnd w:id="16"/>
    <w:p>
      <w:pPr>
        <w:ind w:left="285"/>
        <w:spacing w:after="0"/>
        <w:rPr>
          <w:sz w:val="20"/>
          <w:szCs w:val="20"/>
          <w:color w:val="auto"/>
        </w:rPr>
      </w:pPr>
      <w:r>
        <w:rPr>
          <w:rFonts w:ascii="Courier New" w:cs="Courier New" w:eastAsia="Courier New" w:hAnsi="Courier New"/>
          <w:sz w:val="16"/>
          <w:szCs w:val="16"/>
          <w:color w:val="auto"/>
        </w:rPr>
        <w:t>17</w:t>
      </w:r>
    </w:p>
    <w:p>
      <w:pPr>
        <w:spacing w:after="0" w:line="183" w:lineRule="exact"/>
        <w:rPr>
          <w:sz w:val="20"/>
          <w:szCs w:val="20"/>
          <w:color w:val="auto"/>
        </w:rPr>
      </w:pPr>
    </w:p>
    <w:p>
      <w:pPr>
        <w:ind w:left="365" w:right="3820" w:hanging="365"/>
        <w:spacing w:after="0" w:line="234" w:lineRule="auto"/>
        <w:tabs>
          <w:tab w:leader="none" w:pos="36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options were granted on October 21, 1998 under the 1996 Plan and became exercisable on October 21, 1999.</w:t>
      </w:r>
    </w:p>
    <w:p>
      <w:pPr>
        <w:spacing w:after="0" w:line="183" w:lineRule="exact"/>
        <w:rPr>
          <w:rFonts w:ascii="Courier New" w:cs="Courier New" w:eastAsia="Courier New" w:hAnsi="Courier New"/>
          <w:sz w:val="16"/>
          <w:szCs w:val="16"/>
          <w:color w:val="auto"/>
        </w:rPr>
      </w:pPr>
    </w:p>
    <w:p>
      <w:pPr>
        <w:ind w:left="365" w:right="3620" w:hanging="365"/>
        <w:spacing w:after="0" w:line="234" w:lineRule="auto"/>
        <w:tabs>
          <w:tab w:leader="none" w:pos="36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options were granted on September 24, 1999 under the 1996 Plan and become exercisable on September 24, 2000.</w:t>
      </w:r>
    </w:p>
    <w:p>
      <w:pPr>
        <w:spacing w:after="0" w:line="183" w:lineRule="exact"/>
        <w:rPr>
          <w:rFonts w:ascii="Courier New" w:cs="Courier New" w:eastAsia="Courier New" w:hAnsi="Courier New"/>
          <w:sz w:val="16"/>
          <w:szCs w:val="16"/>
          <w:color w:val="auto"/>
        </w:rPr>
      </w:pPr>
    </w:p>
    <w:p>
      <w:pPr>
        <w:ind w:left="365" w:right="3440" w:hanging="365"/>
        <w:spacing w:after="0" w:line="234" w:lineRule="auto"/>
        <w:tabs>
          <w:tab w:leader="none" w:pos="36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options were granted on March 5, 1999 under the 1996 Plan and become exercisable on March 5, 2002.</w:t>
      </w:r>
    </w:p>
    <w:p>
      <w:pPr>
        <w:spacing w:after="0" w:line="183" w:lineRule="exact"/>
        <w:rPr>
          <w:rFonts w:ascii="Courier New" w:cs="Courier New" w:eastAsia="Courier New" w:hAnsi="Courier New"/>
          <w:sz w:val="16"/>
          <w:szCs w:val="16"/>
          <w:color w:val="auto"/>
        </w:rPr>
      </w:pPr>
    </w:p>
    <w:p>
      <w:pPr>
        <w:ind w:left="365" w:right="3620" w:hanging="365"/>
        <w:spacing w:after="0" w:line="234" w:lineRule="auto"/>
        <w:tabs>
          <w:tab w:leader="none" w:pos="36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options were granted on September 22, 1999 under the 1996 Plan and become exercisable on September 22, 2002.</w:t>
      </w:r>
    </w:p>
    <w:p>
      <w:pPr>
        <w:spacing w:after="0" w:line="183" w:lineRule="exact"/>
        <w:rPr>
          <w:rFonts w:ascii="Courier New" w:cs="Courier New" w:eastAsia="Courier New" w:hAnsi="Courier New"/>
          <w:sz w:val="16"/>
          <w:szCs w:val="16"/>
          <w:color w:val="auto"/>
        </w:rPr>
      </w:pPr>
    </w:p>
    <w:p>
      <w:pPr>
        <w:ind w:left="365" w:right="3440" w:hanging="365"/>
        <w:spacing w:after="0" w:line="277" w:lineRule="auto"/>
        <w:tabs>
          <w:tab w:leader="none" w:pos="36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Rogula is eligible to receive a grant of options to purchase Common Shares in September 2000, which grant will be based primarily upon the performance of the Consumer Ortho Business Group during both the 1999 and 2000 fiscal years. The grant will be based upon two years of results, covering the expected time to transition and integrate the Ortho business.</w:t>
      </w:r>
    </w:p>
    <w:p>
      <w:pPr>
        <w:spacing w:after="0" w:line="159" w:lineRule="exact"/>
        <w:rPr>
          <w:sz w:val="20"/>
          <w:szCs w:val="20"/>
          <w:color w:val="auto"/>
        </w:rPr>
      </w:pPr>
    </w:p>
    <w:p>
      <w:pPr>
        <w:ind w:left="5" w:right="3620"/>
        <w:spacing w:after="0" w:line="234" w:lineRule="auto"/>
        <w:rPr>
          <w:sz w:val="20"/>
          <w:szCs w:val="20"/>
          <w:color w:val="auto"/>
        </w:rPr>
      </w:pPr>
      <w:r>
        <w:rPr>
          <w:rFonts w:ascii="Courier New" w:cs="Courier New" w:eastAsia="Courier New" w:hAnsi="Courier New"/>
          <w:sz w:val="16"/>
          <w:szCs w:val="16"/>
          <w:color w:val="auto"/>
        </w:rPr>
        <w:t>OPTION EXERCISES IN 1999 FISCAL YEAR AND OPTION VALUES AT END OF 1999 FISCAL YEAR</w:t>
      </w:r>
    </w:p>
    <w:p>
      <w:pPr>
        <w:spacing w:after="0" w:line="184" w:lineRule="exact"/>
        <w:rPr>
          <w:sz w:val="20"/>
          <w:szCs w:val="20"/>
          <w:color w:val="auto"/>
        </w:rPr>
      </w:pPr>
    </w:p>
    <w:p>
      <w:pPr>
        <w:ind w:left="5" w:right="3260" w:firstLine="466"/>
        <w:spacing w:after="0" w:line="235" w:lineRule="auto"/>
        <w:rPr>
          <w:sz w:val="20"/>
          <w:szCs w:val="20"/>
          <w:color w:val="auto"/>
        </w:rPr>
      </w:pPr>
      <w:r>
        <w:rPr>
          <w:rFonts w:ascii="Courier New" w:cs="Courier New" w:eastAsia="Courier New" w:hAnsi="Courier New"/>
          <w:sz w:val="16"/>
          <w:szCs w:val="16"/>
          <w:color w:val="auto"/>
        </w:rPr>
        <w:t>The following table sets forth information with respect to options exercised during the 1999 fiscal year and unexercised options held as of the end of the 1999 fiscal year by each of the individuals named in the Summary Compensation Table.</w:t>
      </w:r>
    </w:p>
    <w:p>
      <w:pPr>
        <w:spacing w:after="0" w:line="200" w:lineRule="exact"/>
        <w:rPr>
          <w:sz w:val="20"/>
          <w:szCs w:val="20"/>
          <w:color w:val="auto"/>
        </w:rPr>
      </w:pPr>
    </w:p>
    <w:p>
      <w:pPr>
        <w:spacing w:after="0" w:line="338"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80" w:type="dxa"/>
            <w:vAlign w:val="bottom"/>
            <w:gridSpan w:val="2"/>
          </w:tcPr>
          <w:p>
            <w:pPr>
              <w:jc w:val="center"/>
              <w:ind w:right="342"/>
              <w:spacing w:after="0"/>
              <w:rPr>
                <w:sz w:val="20"/>
                <w:szCs w:val="20"/>
                <w:color w:val="auto"/>
              </w:rPr>
            </w:pPr>
            <w:r>
              <w:rPr>
                <w:rFonts w:ascii="Courier New" w:cs="Courier New" w:eastAsia="Courier New" w:hAnsi="Courier New"/>
                <w:sz w:val="16"/>
                <w:szCs w:val="16"/>
                <w:color w:val="auto"/>
                <w:w w:val="96"/>
              </w:rPr>
              <w:t>NUMBER OF SECURITIES</w:t>
            </w:r>
          </w:p>
        </w:tc>
        <w:tc>
          <w:tcPr>
            <w:tcW w:w="240" w:type="dxa"/>
            <w:vAlign w:val="bottom"/>
          </w:tcPr>
          <w:p>
            <w:pPr>
              <w:spacing w:after="0"/>
              <w:rPr>
                <w:sz w:val="15"/>
                <w:szCs w:val="15"/>
                <w:color w:val="auto"/>
              </w:rPr>
            </w:pPr>
          </w:p>
        </w:tc>
        <w:tc>
          <w:tcPr>
            <w:tcW w:w="2780" w:type="dxa"/>
            <w:vAlign w:val="bottom"/>
            <w:gridSpan w:val="3"/>
          </w:tcPr>
          <w:p>
            <w:pPr>
              <w:jc w:val="center"/>
              <w:ind w:right="482"/>
              <w:spacing w:after="0"/>
              <w:rPr>
                <w:sz w:val="20"/>
                <w:szCs w:val="20"/>
                <w:color w:val="auto"/>
              </w:rPr>
            </w:pPr>
            <w:r>
              <w:rPr>
                <w:rFonts w:ascii="Courier New" w:cs="Courier New" w:eastAsia="Courier New" w:hAnsi="Courier New"/>
                <w:sz w:val="16"/>
                <w:szCs w:val="16"/>
                <w:color w:val="auto"/>
                <w:w w:val="96"/>
              </w:rPr>
              <w:t>VALUE OF UNEXERCISED</w:t>
            </w:r>
          </w:p>
        </w:tc>
      </w:tr>
      <w:tr>
        <w:trPr>
          <w:trHeight w:val="179"/>
        </w:trPr>
        <w:tc>
          <w:tcPr>
            <w:tcW w:w="2140" w:type="dxa"/>
            <w:vAlign w:val="bottom"/>
          </w:tcPr>
          <w:p>
            <w:pPr>
              <w:spacing w:after="0"/>
              <w:rPr>
                <w:sz w:val="15"/>
                <w:szCs w:val="15"/>
                <w:color w:val="auto"/>
              </w:rPr>
            </w:pPr>
          </w:p>
        </w:tc>
        <w:tc>
          <w:tcPr>
            <w:tcW w:w="1440" w:type="dxa"/>
            <w:vAlign w:val="bottom"/>
          </w:tcPr>
          <w:p>
            <w:pPr>
              <w:jc w:val="center"/>
              <w:ind w:right="82"/>
              <w:spacing w:after="0" w:line="179" w:lineRule="exact"/>
              <w:rPr>
                <w:sz w:val="20"/>
                <w:szCs w:val="20"/>
                <w:color w:val="auto"/>
              </w:rPr>
            </w:pPr>
            <w:r>
              <w:rPr>
                <w:rFonts w:ascii="Courier New" w:cs="Courier New" w:eastAsia="Courier New" w:hAnsi="Courier New"/>
                <w:sz w:val="16"/>
                <w:szCs w:val="16"/>
                <w:color w:val="auto"/>
                <w:w w:val="97"/>
              </w:rPr>
              <w:t>NUMBER</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80" w:type="dxa"/>
            <w:vAlign w:val="bottom"/>
            <w:gridSpan w:val="2"/>
          </w:tcPr>
          <w:p>
            <w:pPr>
              <w:jc w:val="center"/>
              <w:ind w:right="342"/>
              <w:spacing w:after="0" w:line="179" w:lineRule="exact"/>
              <w:rPr>
                <w:sz w:val="20"/>
                <w:szCs w:val="20"/>
                <w:color w:val="auto"/>
              </w:rPr>
            </w:pPr>
            <w:r>
              <w:rPr>
                <w:rFonts w:ascii="Courier New" w:cs="Courier New" w:eastAsia="Courier New" w:hAnsi="Courier New"/>
                <w:sz w:val="16"/>
                <w:szCs w:val="16"/>
                <w:color w:val="auto"/>
                <w:w w:val="97"/>
              </w:rPr>
              <w:t>UNDERLYING UNEXERCISED</w:t>
            </w:r>
          </w:p>
        </w:tc>
        <w:tc>
          <w:tcPr>
            <w:tcW w:w="240" w:type="dxa"/>
            <w:vAlign w:val="bottom"/>
          </w:tcPr>
          <w:p>
            <w:pPr>
              <w:spacing w:after="0"/>
              <w:rPr>
                <w:sz w:val="15"/>
                <w:szCs w:val="15"/>
                <w:color w:val="auto"/>
              </w:rPr>
            </w:pPr>
          </w:p>
        </w:tc>
        <w:tc>
          <w:tcPr>
            <w:tcW w:w="2780" w:type="dxa"/>
            <w:vAlign w:val="bottom"/>
            <w:gridSpan w:val="3"/>
          </w:tcPr>
          <w:p>
            <w:pPr>
              <w:jc w:val="center"/>
              <w:ind w:right="502"/>
              <w:spacing w:after="0" w:line="179" w:lineRule="exact"/>
              <w:rPr>
                <w:sz w:val="20"/>
                <w:szCs w:val="20"/>
                <w:color w:val="auto"/>
              </w:rPr>
            </w:pPr>
            <w:r>
              <w:rPr>
                <w:rFonts w:ascii="Courier New" w:cs="Courier New" w:eastAsia="Courier New" w:hAnsi="Courier New"/>
                <w:sz w:val="16"/>
                <w:szCs w:val="16"/>
                <w:color w:val="auto"/>
                <w:w w:val="97"/>
              </w:rPr>
              <w:t>IN-THE-MONEY</w:t>
            </w:r>
          </w:p>
        </w:tc>
      </w:tr>
      <w:tr>
        <w:trPr>
          <w:trHeight w:val="179"/>
        </w:trPr>
        <w:tc>
          <w:tcPr>
            <w:tcW w:w="2140" w:type="dxa"/>
            <w:vAlign w:val="bottom"/>
          </w:tcPr>
          <w:p>
            <w:pPr>
              <w:spacing w:after="0"/>
              <w:rPr>
                <w:sz w:val="15"/>
                <w:szCs w:val="15"/>
                <w:color w:val="auto"/>
              </w:rPr>
            </w:pPr>
          </w:p>
        </w:tc>
        <w:tc>
          <w:tcPr>
            <w:tcW w:w="14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OF SECURITIES</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80" w:type="dxa"/>
            <w:vAlign w:val="bottom"/>
            <w:gridSpan w:val="2"/>
          </w:tcPr>
          <w:p>
            <w:pPr>
              <w:jc w:val="center"/>
              <w:ind w:right="342"/>
              <w:spacing w:after="0" w:line="179" w:lineRule="exact"/>
              <w:rPr>
                <w:sz w:val="20"/>
                <w:szCs w:val="20"/>
                <w:color w:val="auto"/>
              </w:rPr>
            </w:pPr>
            <w:r>
              <w:rPr>
                <w:rFonts w:ascii="Courier New" w:cs="Courier New" w:eastAsia="Courier New" w:hAnsi="Courier New"/>
                <w:sz w:val="16"/>
                <w:szCs w:val="16"/>
                <w:color w:val="auto"/>
                <w:w w:val="97"/>
              </w:rPr>
              <w:t>OPTIONS AT</w:t>
            </w:r>
          </w:p>
        </w:tc>
        <w:tc>
          <w:tcPr>
            <w:tcW w:w="240" w:type="dxa"/>
            <w:vAlign w:val="bottom"/>
          </w:tcPr>
          <w:p>
            <w:pPr>
              <w:spacing w:after="0"/>
              <w:rPr>
                <w:sz w:val="15"/>
                <w:szCs w:val="15"/>
                <w:color w:val="auto"/>
              </w:rPr>
            </w:pPr>
          </w:p>
        </w:tc>
        <w:tc>
          <w:tcPr>
            <w:tcW w:w="2780" w:type="dxa"/>
            <w:vAlign w:val="bottom"/>
            <w:gridSpan w:val="3"/>
          </w:tcPr>
          <w:p>
            <w:pPr>
              <w:jc w:val="center"/>
              <w:ind w:right="482"/>
              <w:spacing w:after="0" w:line="179" w:lineRule="exact"/>
              <w:rPr>
                <w:sz w:val="20"/>
                <w:szCs w:val="20"/>
                <w:color w:val="auto"/>
              </w:rPr>
            </w:pPr>
            <w:r>
              <w:rPr>
                <w:rFonts w:ascii="Courier New" w:cs="Courier New" w:eastAsia="Courier New" w:hAnsi="Courier New"/>
                <w:sz w:val="16"/>
                <w:szCs w:val="16"/>
                <w:color w:val="auto"/>
                <w:w w:val="97"/>
              </w:rPr>
              <w:t>OPTIONS AT</w:t>
            </w:r>
          </w:p>
        </w:tc>
      </w:tr>
      <w:tr>
        <w:trPr>
          <w:trHeight w:val="179"/>
        </w:trPr>
        <w:tc>
          <w:tcPr>
            <w:tcW w:w="2140" w:type="dxa"/>
            <w:vAlign w:val="bottom"/>
          </w:tcPr>
          <w:p>
            <w:pPr>
              <w:spacing w:after="0"/>
              <w:rPr>
                <w:sz w:val="15"/>
                <w:szCs w:val="15"/>
                <w:color w:val="auto"/>
              </w:rPr>
            </w:pPr>
          </w:p>
        </w:tc>
        <w:tc>
          <w:tcPr>
            <w:tcW w:w="1440" w:type="dxa"/>
            <w:vAlign w:val="bottom"/>
          </w:tcPr>
          <w:p>
            <w:pPr>
              <w:jc w:val="center"/>
              <w:ind w:right="62"/>
              <w:spacing w:after="0" w:line="179" w:lineRule="exact"/>
              <w:rPr>
                <w:sz w:val="20"/>
                <w:szCs w:val="20"/>
                <w:color w:val="auto"/>
              </w:rPr>
            </w:pPr>
            <w:r>
              <w:rPr>
                <w:rFonts w:ascii="Courier New" w:cs="Courier New" w:eastAsia="Courier New" w:hAnsi="Courier New"/>
                <w:sz w:val="16"/>
                <w:szCs w:val="16"/>
                <w:color w:val="auto"/>
                <w:w w:val="97"/>
              </w:rPr>
              <w:t>UNDERLYING</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80" w:type="dxa"/>
            <w:vAlign w:val="bottom"/>
            <w:gridSpan w:val="2"/>
          </w:tcPr>
          <w:p>
            <w:pPr>
              <w:jc w:val="center"/>
              <w:ind w:right="322"/>
              <w:spacing w:after="0" w:line="179" w:lineRule="exact"/>
              <w:rPr>
                <w:sz w:val="20"/>
                <w:szCs w:val="20"/>
                <w:color w:val="auto"/>
              </w:rPr>
            </w:pPr>
            <w:r>
              <w:rPr>
                <w:rFonts w:ascii="Courier New" w:cs="Courier New" w:eastAsia="Courier New" w:hAnsi="Courier New"/>
                <w:sz w:val="16"/>
                <w:szCs w:val="16"/>
                <w:color w:val="auto"/>
                <w:w w:val="97"/>
              </w:rPr>
              <w:t>FISCAL YEAR-END(#)</w:t>
            </w:r>
          </w:p>
        </w:tc>
        <w:tc>
          <w:tcPr>
            <w:tcW w:w="240" w:type="dxa"/>
            <w:vAlign w:val="bottom"/>
          </w:tcPr>
          <w:p>
            <w:pPr>
              <w:spacing w:after="0"/>
              <w:rPr>
                <w:sz w:val="15"/>
                <w:szCs w:val="15"/>
                <w:color w:val="auto"/>
              </w:rPr>
            </w:pPr>
          </w:p>
        </w:tc>
        <w:tc>
          <w:tcPr>
            <w:tcW w:w="2780" w:type="dxa"/>
            <w:vAlign w:val="bottom"/>
            <w:gridSpan w:val="3"/>
          </w:tcPr>
          <w:p>
            <w:pPr>
              <w:jc w:val="center"/>
              <w:ind w:right="382"/>
              <w:spacing w:after="0" w:line="179" w:lineRule="exact"/>
              <w:rPr>
                <w:sz w:val="20"/>
                <w:szCs w:val="20"/>
                <w:color w:val="auto"/>
              </w:rPr>
            </w:pPr>
            <w:r>
              <w:rPr>
                <w:rFonts w:ascii="Courier New" w:cs="Courier New" w:eastAsia="Courier New" w:hAnsi="Courier New"/>
                <w:sz w:val="16"/>
                <w:szCs w:val="16"/>
                <w:color w:val="auto"/>
                <w:w w:val="97"/>
              </w:rPr>
              <w:t>FISCAL YEAR-END($)(1)</w:t>
            </w:r>
          </w:p>
        </w:tc>
      </w:tr>
      <w:tr>
        <w:trPr>
          <w:trHeight w:val="179"/>
        </w:trPr>
        <w:tc>
          <w:tcPr>
            <w:tcW w:w="2140" w:type="dxa"/>
            <w:vAlign w:val="bottom"/>
          </w:tcPr>
          <w:p>
            <w:pPr>
              <w:spacing w:after="0"/>
              <w:rPr>
                <w:sz w:val="15"/>
                <w:szCs w:val="15"/>
                <w:color w:val="auto"/>
              </w:rPr>
            </w:pPr>
          </w:p>
        </w:tc>
        <w:tc>
          <w:tcPr>
            <w:tcW w:w="14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OPTIONS</w:t>
            </w:r>
          </w:p>
        </w:tc>
        <w:tc>
          <w:tcPr>
            <w:tcW w:w="240" w:type="dxa"/>
            <w:vAlign w:val="bottom"/>
          </w:tcPr>
          <w:p>
            <w:pPr>
              <w:spacing w:after="0"/>
              <w:rPr>
                <w:sz w:val="15"/>
                <w:szCs w:val="15"/>
                <w:color w:val="auto"/>
              </w:rPr>
            </w:pPr>
          </w:p>
        </w:tc>
        <w:tc>
          <w:tcPr>
            <w:tcW w:w="10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VALUE</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w:t>
            </w:r>
          </w:p>
        </w:tc>
        <w:tc>
          <w:tcPr>
            <w:tcW w:w="1160" w:type="dxa"/>
            <w:vAlign w:val="bottom"/>
          </w:tcPr>
          <w:p>
            <w:pPr>
              <w:spacing w:after="0"/>
              <w:rPr>
                <w:sz w:val="15"/>
                <w:szCs w:val="15"/>
                <w:color w:val="auto"/>
              </w:rPr>
            </w:pPr>
          </w:p>
        </w:tc>
        <w:tc>
          <w:tcPr>
            <w:tcW w:w="3020" w:type="dxa"/>
            <w:vAlign w:val="bottom"/>
            <w:gridSpan w:val="4"/>
          </w:tcPr>
          <w:p>
            <w:pPr>
              <w:jc w:val="center"/>
              <w:ind w:right="14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NAME</w:t>
            </w:r>
          </w:p>
        </w:tc>
        <w:tc>
          <w:tcPr>
            <w:tcW w:w="14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EXERCISED</w:t>
            </w:r>
          </w:p>
        </w:tc>
        <w:tc>
          <w:tcPr>
            <w:tcW w:w="13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REALIZED($)</w:t>
            </w:r>
          </w:p>
        </w:tc>
        <w:tc>
          <w:tcPr>
            <w:tcW w:w="2800" w:type="dxa"/>
            <w:vAlign w:val="bottom"/>
            <w:gridSpan w:val="3"/>
          </w:tcPr>
          <w:p>
            <w:pPr>
              <w:jc w:val="right"/>
              <w:ind w:right="62"/>
              <w:spacing w:after="0" w:line="179" w:lineRule="exact"/>
              <w:rPr>
                <w:sz w:val="20"/>
                <w:szCs w:val="20"/>
                <w:color w:val="auto"/>
              </w:rPr>
            </w:pPr>
            <w:r>
              <w:rPr>
                <w:rFonts w:ascii="Courier New" w:cs="Courier New" w:eastAsia="Courier New" w:hAnsi="Courier New"/>
                <w:sz w:val="16"/>
                <w:szCs w:val="16"/>
                <w:color w:val="auto"/>
              </w:rPr>
              <w:t>EXERCISABLE   UNEXERCISABLE</w:t>
            </w:r>
          </w:p>
        </w:tc>
        <w:tc>
          <w:tcPr>
            <w:tcW w:w="3020" w:type="dxa"/>
            <w:vAlign w:val="bottom"/>
            <w:gridSpan w:val="4"/>
          </w:tcPr>
          <w:p>
            <w:pPr>
              <w:jc w:val="center"/>
              <w:ind w:right="142"/>
              <w:spacing w:after="0" w:line="179" w:lineRule="exact"/>
              <w:rPr>
                <w:sz w:val="20"/>
                <w:szCs w:val="20"/>
                <w:color w:val="auto"/>
              </w:rPr>
            </w:pPr>
            <w:r>
              <w:rPr>
                <w:rFonts w:ascii="Courier New" w:cs="Courier New" w:eastAsia="Courier New" w:hAnsi="Courier New"/>
                <w:sz w:val="16"/>
                <w:szCs w:val="16"/>
                <w:color w:val="auto"/>
                <w:w w:val="97"/>
              </w:rPr>
              <w:t>EXERCISABLE   UNEXERCISABLE</w:t>
            </w: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 - ----</w:t>
            </w:r>
          </w:p>
        </w:tc>
        <w:tc>
          <w:tcPr>
            <w:tcW w:w="16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140" w:type="dxa"/>
            <w:vAlign w:val="bottom"/>
          </w:tcPr>
          <w:p>
            <w:pPr>
              <w:spacing w:after="0"/>
              <w:rPr>
                <w:sz w:val="20"/>
                <w:szCs w:val="20"/>
                <w:color w:val="auto"/>
              </w:rPr>
            </w:pPr>
            <w:r>
              <w:rPr>
                <w:rFonts w:ascii="Courier New" w:cs="Courier New" w:eastAsia="Courier New" w:hAnsi="Courier New"/>
                <w:sz w:val="16"/>
                <w:szCs w:val="16"/>
                <w:color w:val="auto"/>
              </w:rPr>
              <w:t>Charles M. Berger.....</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0</w:t>
            </w:r>
          </w:p>
        </w:tc>
        <w:tc>
          <w:tcPr>
            <w:tcW w:w="240" w:type="dxa"/>
            <w:vAlign w:val="bottom"/>
          </w:tcPr>
          <w:p>
            <w:pPr>
              <w:spacing w:after="0"/>
              <w:rPr>
                <w:sz w:val="24"/>
                <w:szCs w:val="24"/>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24"/>
                <w:szCs w:val="24"/>
                <w:color w:val="auto"/>
              </w:rPr>
            </w:pPr>
          </w:p>
        </w:tc>
        <w:tc>
          <w:tcPr>
            <w:tcW w:w="1320" w:type="dxa"/>
            <w:vAlign w:val="bottom"/>
          </w:tcPr>
          <w:p>
            <w:pPr>
              <w:jc w:val="right"/>
              <w:ind w:right="582"/>
              <w:spacing w:after="0"/>
              <w:rPr>
                <w:sz w:val="20"/>
                <w:szCs w:val="20"/>
                <w:color w:val="auto"/>
              </w:rPr>
            </w:pPr>
            <w:r>
              <w:rPr>
                <w:rFonts w:ascii="Courier New" w:cs="Courier New" w:eastAsia="Courier New" w:hAnsi="Courier New"/>
                <w:sz w:val="16"/>
                <w:szCs w:val="16"/>
                <w:color w:val="auto"/>
                <w:w w:val="95"/>
              </w:rPr>
              <w:t>325,000</w:t>
            </w:r>
          </w:p>
        </w:tc>
        <w:tc>
          <w:tcPr>
            <w:tcW w:w="11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225,000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2"/>
              </w:rPr>
              <w:t>4,556,250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956,250</w:t>
            </w: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James Hagedorn........</w:t>
            </w:r>
          </w:p>
        </w:tc>
        <w:tc>
          <w:tcPr>
            <w:tcW w:w="14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rPr>
              <w:t>0</w:t>
            </w:r>
          </w:p>
        </w:tc>
        <w:tc>
          <w:tcPr>
            <w:tcW w:w="240" w:type="dxa"/>
            <w:vAlign w:val="bottom"/>
          </w:tcPr>
          <w:p>
            <w:pPr>
              <w:spacing w:after="0"/>
              <w:rPr>
                <w:sz w:val="15"/>
                <w:szCs w:val="15"/>
                <w:color w:val="auto"/>
              </w:rPr>
            </w:pPr>
          </w:p>
        </w:tc>
        <w:tc>
          <w:tcPr>
            <w:tcW w:w="10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3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39,000</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281,000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573,375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w w:val="94"/>
              </w:rPr>
              <w:t>2,260,875</w:t>
            </w: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Jean H. Mordo.........</w:t>
            </w:r>
          </w:p>
        </w:tc>
        <w:tc>
          <w:tcPr>
            <w:tcW w:w="14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rPr>
              <w:t>0</w:t>
            </w:r>
          </w:p>
        </w:tc>
        <w:tc>
          <w:tcPr>
            <w:tcW w:w="240" w:type="dxa"/>
            <w:vAlign w:val="bottom"/>
          </w:tcPr>
          <w:p>
            <w:pPr>
              <w:spacing w:after="0"/>
              <w:rPr>
                <w:sz w:val="15"/>
                <w:szCs w:val="15"/>
                <w:color w:val="auto"/>
              </w:rPr>
            </w:pPr>
          </w:p>
        </w:tc>
        <w:tc>
          <w:tcPr>
            <w:tcW w:w="10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3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w w:val="95"/>
              </w:rPr>
              <w:t>150,000</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120,000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w w:val="92"/>
              </w:rPr>
              <w:t>2,006,250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396,875</w:t>
            </w: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G. Robert Lucas.......</w:t>
            </w:r>
          </w:p>
        </w:tc>
        <w:tc>
          <w:tcPr>
            <w:tcW w:w="144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rPr>
              <w:t>0</w:t>
            </w:r>
          </w:p>
        </w:tc>
        <w:tc>
          <w:tcPr>
            <w:tcW w:w="240" w:type="dxa"/>
            <w:vAlign w:val="bottom"/>
          </w:tcPr>
          <w:p>
            <w:pPr>
              <w:spacing w:after="0"/>
              <w:rPr>
                <w:sz w:val="15"/>
                <w:szCs w:val="15"/>
                <w:color w:val="auto"/>
              </w:rPr>
            </w:pPr>
          </w:p>
        </w:tc>
        <w:tc>
          <w:tcPr>
            <w:tcW w:w="10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3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70,000</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40,000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586,250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72,500</w:t>
            </w: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James L. Rogula.......</w:t>
            </w:r>
          </w:p>
        </w:tc>
        <w:tc>
          <w:tcPr>
            <w:tcW w:w="1440" w:type="dxa"/>
            <w:vAlign w:val="bottom"/>
          </w:tcPr>
          <w:p>
            <w:pPr>
              <w:jc w:val="center"/>
              <w:ind w:right="82"/>
              <w:spacing w:after="0" w:line="179" w:lineRule="exact"/>
              <w:rPr>
                <w:sz w:val="20"/>
                <w:szCs w:val="20"/>
                <w:color w:val="auto"/>
              </w:rPr>
            </w:pPr>
            <w:r>
              <w:rPr>
                <w:rFonts w:ascii="Courier New" w:cs="Courier New" w:eastAsia="Courier New" w:hAnsi="Courier New"/>
                <w:sz w:val="16"/>
                <w:szCs w:val="16"/>
                <w:color w:val="auto"/>
                <w:w w:val="97"/>
              </w:rPr>
              <w:t>23,000</w:t>
            </w:r>
          </w:p>
        </w:tc>
        <w:tc>
          <w:tcPr>
            <w:tcW w:w="240" w:type="dxa"/>
            <w:vAlign w:val="bottom"/>
          </w:tcPr>
          <w:p>
            <w:pPr>
              <w:spacing w:after="0"/>
              <w:rPr>
                <w:sz w:val="15"/>
                <w:szCs w:val="15"/>
                <w:color w:val="auto"/>
              </w:rPr>
            </w:pPr>
          </w:p>
        </w:tc>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rPr>
              <w:t>$530,475</w:t>
            </w:r>
          </w:p>
        </w:tc>
        <w:tc>
          <w:tcPr>
            <w:tcW w:w="320" w:type="dxa"/>
            <w:vAlign w:val="bottom"/>
          </w:tcPr>
          <w:p>
            <w:pPr>
              <w:spacing w:after="0"/>
              <w:rPr>
                <w:sz w:val="15"/>
                <w:szCs w:val="15"/>
                <w:color w:val="auto"/>
              </w:rPr>
            </w:pPr>
          </w:p>
        </w:tc>
        <w:tc>
          <w:tcPr>
            <w:tcW w:w="13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10,000</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65,000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166,250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758,750</w:t>
            </w:r>
          </w:p>
        </w:tc>
      </w:tr>
    </w:tbl>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 ---------------</w:t>
      </w:r>
    </w:p>
    <w:p>
      <w:pPr>
        <w:spacing w:after="0" w:line="183" w:lineRule="exact"/>
        <w:rPr>
          <w:sz w:val="20"/>
          <w:szCs w:val="20"/>
          <w:color w:val="auto"/>
        </w:rPr>
      </w:pPr>
    </w:p>
    <w:p>
      <w:pPr>
        <w:ind w:left="365" w:right="3260" w:hanging="365"/>
        <w:spacing w:after="0" w:line="235" w:lineRule="auto"/>
        <w:tabs>
          <w:tab w:leader="none" w:pos="36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 of Unexercised In-the-Money Options at Fiscal Year-End" is based upon the fair market value of the Company's Common Shares on September 30, 1999 ($34.63) less the exercise price of in-the-money options at the end of the 1999 fiscal year.</w:t>
      </w:r>
    </w:p>
    <w:p>
      <w:pPr>
        <w:spacing w:after="0" w:line="179"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PENSION PLANS</w:t>
      </w:r>
    </w:p>
    <w:p>
      <w:pPr>
        <w:spacing w:after="0" w:line="183" w:lineRule="exact"/>
        <w:rPr>
          <w:sz w:val="20"/>
          <w:szCs w:val="20"/>
          <w:color w:val="auto"/>
        </w:rPr>
      </w:pPr>
    </w:p>
    <w:p>
      <w:pPr>
        <w:ind w:left="5" w:right="3620" w:firstLine="466"/>
        <w:spacing w:after="0" w:line="235" w:lineRule="auto"/>
        <w:rPr>
          <w:sz w:val="20"/>
          <w:szCs w:val="20"/>
          <w:color w:val="auto"/>
        </w:rPr>
      </w:pPr>
      <w:r>
        <w:rPr>
          <w:rFonts w:ascii="Courier New" w:cs="Courier New" w:eastAsia="Courier New" w:hAnsi="Courier New"/>
          <w:sz w:val="16"/>
          <w:szCs w:val="16"/>
          <w:color w:val="auto"/>
        </w:rPr>
        <w:t>The Company maintains a tax-qualified, non-contributory defined benefit pension plan (the "Pension Plan"). Eligibility for and accruals under the Pension Plan were frozen as of December 31, 1997.</w:t>
      </w:r>
    </w:p>
    <w:p>
      <w:pPr>
        <w:spacing w:after="0" w:line="184" w:lineRule="exact"/>
        <w:rPr>
          <w:sz w:val="20"/>
          <w:szCs w:val="20"/>
          <w:color w:val="auto"/>
        </w:rPr>
      </w:pPr>
    </w:p>
    <w:p>
      <w:pPr>
        <w:ind w:left="5" w:right="3260" w:firstLine="466"/>
        <w:spacing w:after="0" w:line="234" w:lineRule="auto"/>
        <w:rPr>
          <w:sz w:val="20"/>
          <w:szCs w:val="20"/>
          <w:color w:val="auto"/>
        </w:rPr>
      </w:pPr>
      <w:r>
        <w:rPr>
          <w:rFonts w:ascii="Courier New" w:cs="Courier New" w:eastAsia="Courier New" w:hAnsi="Courier New"/>
          <w:sz w:val="16"/>
          <w:szCs w:val="16"/>
          <w:color w:val="auto"/>
        </w:rPr>
        <w:t>Monthly benefits under the Pension Plan upon normal retirement (age 65) are determined under the following formula:</w:t>
      </w:r>
    </w:p>
    <w:p>
      <w:pPr>
        <w:spacing w:after="0" w:line="200" w:lineRule="exact"/>
        <w:rPr>
          <w:sz w:val="20"/>
          <w:szCs w:val="20"/>
          <w:color w:val="auto"/>
        </w:rPr>
      </w:pPr>
    </w:p>
    <w:p>
      <w:pPr>
        <w:spacing w:after="0" w:line="342" w:lineRule="exact"/>
        <w:rPr>
          <w:sz w:val="20"/>
          <w:szCs w:val="20"/>
          <w:color w:val="auto"/>
        </w:rPr>
      </w:pPr>
    </w:p>
    <w:p>
      <w:pPr>
        <w:ind w:left="1405" w:right="3720" w:hanging="1032"/>
        <w:spacing w:after="0" w:line="235" w:lineRule="auto"/>
        <w:tabs>
          <w:tab w:leader="none" w:pos="846"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1.5% of the individual's highest average annual compensation for 60 consecutive months during the ten-year period ending December 31, 1997; times</w:t>
      </w:r>
    </w:p>
    <w:p>
      <w:pPr>
        <w:spacing w:after="0" w:line="4" w:lineRule="exact"/>
        <w:rPr>
          <w:rFonts w:ascii="Courier New" w:cs="Courier New" w:eastAsia="Courier New" w:hAnsi="Courier New"/>
          <w:sz w:val="16"/>
          <w:szCs w:val="16"/>
          <w:color w:val="auto"/>
        </w:rPr>
      </w:pPr>
    </w:p>
    <w:p>
      <w:pPr>
        <w:ind w:left="1405" w:right="3820" w:hanging="566"/>
        <w:spacing w:after="0" w:line="234" w:lineRule="auto"/>
        <w:tabs>
          <w:tab w:leader="none" w:pos="1405"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of benefit service through December 31, 1997; reduced by</w:t>
      </w:r>
    </w:p>
    <w:p>
      <w:pPr>
        <w:spacing w:after="0" w:line="4" w:lineRule="exact"/>
        <w:rPr>
          <w:rFonts w:ascii="Courier New" w:cs="Courier New" w:eastAsia="Courier New" w:hAnsi="Courier New"/>
          <w:sz w:val="16"/>
          <w:szCs w:val="16"/>
          <w:color w:val="auto"/>
        </w:rPr>
      </w:pPr>
    </w:p>
    <w:p>
      <w:pPr>
        <w:ind w:left="1405" w:right="4000" w:hanging="1032"/>
        <w:spacing w:after="0" w:line="234" w:lineRule="auto"/>
        <w:tabs>
          <w:tab w:leader="none" w:pos="846"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1.25% of the individual's primary Social Security benefit (as of December 31, 1997); times</w:t>
      </w:r>
    </w:p>
    <w:p>
      <w:pPr>
        <w:ind w:left="1405" w:hanging="566"/>
        <w:spacing w:after="0" w:line="237" w:lineRule="auto"/>
        <w:tabs>
          <w:tab w:leader="none" w:pos="1405"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of benefit service through December 31, 1997.</w:t>
      </w:r>
    </w:p>
    <w:p>
      <w:pPr>
        <w:spacing w:after="0" w:line="362" w:lineRule="exact"/>
        <w:rPr>
          <w:sz w:val="20"/>
          <w:szCs w:val="20"/>
          <w:color w:val="auto"/>
        </w:rPr>
      </w:pPr>
    </w:p>
    <w:p>
      <w:pPr>
        <w:ind w:left="5" w:right="3340" w:firstLine="466"/>
        <w:spacing w:after="0" w:line="236" w:lineRule="auto"/>
        <w:rPr>
          <w:sz w:val="20"/>
          <w:szCs w:val="20"/>
          <w:color w:val="auto"/>
        </w:rPr>
      </w:pPr>
      <w:r>
        <w:rPr>
          <w:rFonts w:ascii="Courier New" w:cs="Courier New" w:eastAsia="Courier New" w:hAnsi="Courier New"/>
          <w:sz w:val="16"/>
          <w:szCs w:val="16"/>
          <w:color w:val="auto"/>
        </w:rPr>
        <w:t>Compensation includes all earnings plus 401(k) contributions and salary reduction contributions for welfare benefits, but does not include earnings in connection with foreign service, the value of a company car or separation or other special allowances. An individual's primary Social Security benefit is based on the Social Security Act as in effect on December 31, 1997, and assumes constant compensation through age 65 and that the</w:t>
      </w:r>
    </w:p>
    <w:p>
      <w:pPr>
        <w:sectPr>
          <w:pgSz w:w="11900" w:h="16838" w:orient="portrait"/>
          <w:cols w:equalWidth="0" w:num="1">
            <w:col w:w="10705"/>
          </w:cols>
          <w:pgMar w:left="315" w:top="291" w:right="879" w:bottom="1440" w:gutter="0" w:footer="0" w:header="0"/>
        </w:sectPr>
      </w:pPr>
    </w:p>
    <w:p>
      <w:pPr>
        <w:spacing w:after="0" w:line="178"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705"/>
          </w:cols>
          <w:pgMar w:left="315" w:top="291" w:right="879"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18</w:t>
      </w:r>
    </w:p>
    <w:p>
      <w:pPr>
        <w:spacing w:after="0" w:line="183" w:lineRule="exact"/>
        <w:rPr>
          <w:sz w:val="20"/>
          <w:szCs w:val="20"/>
          <w:color w:val="auto"/>
        </w:rPr>
      </w:pPr>
    </w:p>
    <w:p>
      <w:pPr>
        <w:jc w:val="both"/>
        <w:ind w:right="2699"/>
        <w:spacing w:after="0" w:line="235" w:lineRule="auto"/>
        <w:rPr>
          <w:sz w:val="20"/>
          <w:szCs w:val="20"/>
          <w:color w:val="auto"/>
        </w:rPr>
      </w:pPr>
      <w:r>
        <w:rPr>
          <w:rFonts w:ascii="Courier New" w:cs="Courier New" w:eastAsia="Courier New" w:hAnsi="Courier New"/>
          <w:sz w:val="16"/>
          <w:szCs w:val="16"/>
          <w:color w:val="auto"/>
        </w:rPr>
        <w:t>individual will not retire earlier than age 65. No more than 40 years of benefit service are taken into account. The Pension Plan includes additional provisions for early retirement.</w:t>
      </w:r>
    </w:p>
    <w:p>
      <w:pPr>
        <w:spacing w:after="0" w:line="184" w:lineRule="exact"/>
        <w:rPr>
          <w:sz w:val="20"/>
          <w:szCs w:val="20"/>
          <w:color w:val="auto"/>
        </w:rPr>
      </w:pPr>
    </w:p>
    <w:p>
      <w:pPr>
        <w:ind w:right="2699" w:firstLine="466"/>
        <w:spacing w:after="0" w:line="236" w:lineRule="auto"/>
        <w:rPr>
          <w:sz w:val="20"/>
          <w:szCs w:val="20"/>
          <w:color w:val="auto"/>
        </w:rPr>
      </w:pPr>
      <w:r>
        <w:rPr>
          <w:rFonts w:ascii="Courier New" w:cs="Courier New" w:eastAsia="Courier New" w:hAnsi="Courier New"/>
          <w:sz w:val="16"/>
          <w:szCs w:val="16"/>
          <w:color w:val="auto"/>
        </w:rPr>
        <w:t>Benefits under the Pension Plan are supplemented by benefits under The O.M. Scotts &amp; Sons Company Excess Benefit Plan (the "Excess Benefit Plan"). The Excess Benefit Plan was established October 1, 1993 and was frozen as of December 31, 1997. The Excess Benefit Plan provides additional benefits to participants in the Pension Plan whose benefits are reduced by limitations imposed under Sections 415 and 401(a)(17) of the Internal Revenue Code of 1986 (the "Code"). Under the Excess Benefit Plan, executive officers and certain key employees will receive, at the time and in the same form as benefits are paid under the Pension Plan, additional monthly benefits in an amount which, when added to the benefits paid to each participant under the Pension Plan, will equal the benefit amount such participant would have earned but for the limitations imposed by the Code.</w:t>
      </w:r>
    </w:p>
    <w:p>
      <w:pPr>
        <w:spacing w:after="0" w:line="189" w:lineRule="exact"/>
        <w:rPr>
          <w:sz w:val="20"/>
          <w:szCs w:val="20"/>
          <w:color w:val="auto"/>
        </w:rPr>
      </w:pPr>
    </w:p>
    <w:p>
      <w:pPr>
        <w:jc w:val="both"/>
        <w:ind w:right="2699" w:firstLine="466"/>
        <w:spacing w:after="0" w:line="283" w:lineRule="auto"/>
        <w:rPr>
          <w:sz w:val="20"/>
          <w:szCs w:val="20"/>
          <w:color w:val="auto"/>
        </w:rPr>
      </w:pPr>
      <w:r>
        <w:rPr>
          <w:rFonts w:ascii="Courier New" w:cs="Courier New" w:eastAsia="Courier New" w:hAnsi="Courier New"/>
          <w:sz w:val="14"/>
          <w:szCs w:val="14"/>
          <w:color w:val="auto"/>
        </w:rPr>
        <w:t>The estimated annual benefits under the Pension Plan and the Excess Benefit Plan payable upon retirement at normal retirement age for each of the executive officers of the Company named in the Summary Compensation Table are:</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40" w:type="dxa"/>
            <w:vAlign w:val="bottom"/>
          </w:tcPr>
          <w:p>
            <w:pPr>
              <w:spacing w:after="0"/>
              <w:rPr>
                <w:sz w:val="15"/>
                <w:szCs w:val="15"/>
                <w:color w:val="auto"/>
              </w:rPr>
            </w:pPr>
          </w:p>
        </w:tc>
        <w:tc>
          <w:tcPr>
            <w:tcW w:w="252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9"/>
              </w:rPr>
              <w:t>YEARS OF BENEFIT SERVICE</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TOTAL BENEFIT</w:t>
            </w:r>
          </w:p>
        </w:tc>
      </w:tr>
      <w:tr>
        <w:trPr>
          <w:trHeight w:val="179"/>
        </w:trPr>
        <w:tc>
          <w:tcPr>
            <w:tcW w:w="3440" w:type="dxa"/>
            <w:vAlign w:val="bottom"/>
          </w:tcPr>
          <w:p>
            <w:pPr>
              <w:spacing w:after="0"/>
              <w:rPr>
                <w:sz w:val="15"/>
                <w:szCs w:val="15"/>
                <w:color w:val="auto"/>
              </w:rPr>
            </w:pPr>
          </w:p>
        </w:tc>
        <w:tc>
          <w:tcPr>
            <w:tcW w:w="25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9"/>
              </w:rPr>
              <w:t>------------------------</w:t>
            </w:r>
          </w:p>
        </w:tc>
        <w:tc>
          <w:tcPr>
            <w:tcW w:w="14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440" w:type="dxa"/>
            <w:vAlign w:val="bottom"/>
          </w:tcPr>
          <w:p>
            <w:pPr>
              <w:spacing w:after="0"/>
              <w:rPr>
                <w:sz w:val="20"/>
                <w:szCs w:val="20"/>
                <w:color w:val="auto"/>
              </w:rPr>
            </w:pPr>
            <w:r>
              <w:rPr>
                <w:rFonts w:ascii="Courier New" w:cs="Courier New" w:eastAsia="Courier New" w:hAnsi="Courier New"/>
                <w:sz w:val="16"/>
                <w:szCs w:val="16"/>
                <w:color w:val="auto"/>
                <w:w w:val="98"/>
              </w:rPr>
              <w:t>Charles M. Berger...................</w:t>
            </w:r>
          </w:p>
        </w:tc>
        <w:tc>
          <w:tcPr>
            <w:tcW w:w="252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0.333</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134.01</w:t>
            </w: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James Hagedorn......................</w:t>
            </w:r>
          </w:p>
        </w:tc>
        <w:tc>
          <w:tcPr>
            <w:tcW w:w="252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9.9167</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3,368.46</w:t>
            </w: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Jean H. Mordo.......................</w:t>
            </w:r>
          </w:p>
        </w:tc>
        <w:tc>
          <w:tcPr>
            <w:tcW w:w="252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N/A</w:t>
            </w:r>
          </w:p>
        </w:tc>
        <w:tc>
          <w:tcPr>
            <w:tcW w:w="4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N/A</w:t>
            </w: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G. Robert Lucas.....................</w:t>
            </w:r>
          </w:p>
        </w:tc>
        <w:tc>
          <w:tcPr>
            <w:tcW w:w="252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N/A</w:t>
            </w:r>
          </w:p>
        </w:tc>
        <w:tc>
          <w:tcPr>
            <w:tcW w:w="460" w:type="dxa"/>
            <w:vAlign w:val="bottom"/>
          </w:tcPr>
          <w:p>
            <w:pPr>
              <w:spacing w:after="0"/>
              <w:rPr>
                <w:sz w:val="15"/>
                <w:szCs w:val="15"/>
                <w:color w:val="auto"/>
              </w:rPr>
            </w:pP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N/A</w:t>
            </w:r>
          </w:p>
        </w:tc>
      </w:tr>
      <w:tr>
        <w:trPr>
          <w:trHeight w:val="179"/>
        </w:trPr>
        <w:tc>
          <w:tcPr>
            <w:tcW w:w="34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James L. Rogula.....................</w:t>
            </w:r>
          </w:p>
        </w:tc>
        <w:tc>
          <w:tcPr>
            <w:tcW w:w="252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1.9167</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461.93</w:t>
            </w:r>
          </w:p>
        </w:tc>
      </w:tr>
    </w:tbl>
    <w:p>
      <w:pPr>
        <w:spacing w:after="0" w:line="362" w:lineRule="exact"/>
        <w:rPr>
          <w:sz w:val="20"/>
          <w:szCs w:val="20"/>
          <w:color w:val="auto"/>
        </w:rPr>
      </w:pPr>
    </w:p>
    <w:p>
      <w:pPr>
        <w:ind w:right="2699" w:firstLine="466"/>
        <w:spacing w:after="0" w:line="236" w:lineRule="auto"/>
        <w:rPr>
          <w:sz w:val="20"/>
          <w:szCs w:val="20"/>
          <w:color w:val="auto"/>
        </w:rPr>
      </w:pPr>
      <w:r>
        <w:rPr>
          <w:rFonts w:ascii="Courier New" w:cs="Courier New" w:eastAsia="Courier New" w:hAnsi="Courier New"/>
          <w:sz w:val="16"/>
          <w:szCs w:val="16"/>
          <w:color w:val="auto"/>
        </w:rPr>
        <w:t>Associates participate in the RSP, formerly known as "The Scotts Company Profit Sharing and Savings Plan." The RSP, as amended and restated effective as of December 31, 1997, consolidated various defined contribution retirement plans in effect at the Company and its domestic subsidiaries. The RSP permits 401(k) contributions, employee after-tax contributions, Company matching contributions, Company retirement contributions, and, between 1998 and 2002 for participants whose benefits were frozen under the Pension Plan (and the Scotts-Sierra Horticultural Products Company Retirement Plan for Salaried Employees), certain transitional contributions based on age and service.</w:t>
      </w:r>
    </w:p>
    <w:p>
      <w:pPr>
        <w:spacing w:after="0" w:line="187" w:lineRule="exact"/>
        <w:rPr>
          <w:sz w:val="20"/>
          <w:szCs w:val="20"/>
          <w:color w:val="auto"/>
        </w:rPr>
      </w:pPr>
    </w:p>
    <w:p>
      <w:pPr>
        <w:ind w:right="3339"/>
        <w:spacing w:after="0" w:line="234" w:lineRule="auto"/>
        <w:rPr>
          <w:sz w:val="20"/>
          <w:szCs w:val="20"/>
          <w:color w:val="auto"/>
        </w:rPr>
      </w:pPr>
      <w:r>
        <w:rPr>
          <w:rFonts w:ascii="Courier New" w:cs="Courier New" w:eastAsia="Courier New" w:hAnsi="Courier New"/>
          <w:sz w:val="16"/>
          <w:szCs w:val="16"/>
          <w:color w:val="auto"/>
        </w:rPr>
        <w:t>EMPLOYMENT AGREEMENTS AND TERMINATION OF EMPLOYMENT AND CHANGE-IN-CONTROL ARRANGEMENTS</w:t>
      </w:r>
    </w:p>
    <w:p>
      <w:pPr>
        <w:spacing w:after="0" w:line="184" w:lineRule="exact"/>
        <w:rPr>
          <w:sz w:val="20"/>
          <w:szCs w:val="20"/>
          <w:color w:val="auto"/>
        </w:rPr>
      </w:pPr>
    </w:p>
    <w:p>
      <w:pPr>
        <w:ind w:right="2699" w:firstLine="466"/>
        <w:spacing w:after="0" w:line="272" w:lineRule="auto"/>
        <w:rPr>
          <w:sz w:val="20"/>
          <w:szCs w:val="20"/>
          <w:color w:val="auto"/>
        </w:rPr>
      </w:pPr>
      <w:r>
        <w:rPr>
          <w:rFonts w:ascii="Courier New" w:cs="Courier New" w:eastAsia="Courier New" w:hAnsi="Courier New"/>
          <w:sz w:val="14"/>
          <w:szCs w:val="14"/>
          <w:color w:val="auto"/>
        </w:rPr>
        <w:t>The Company entered into an Employment Agreement with Mr. Berger effective as of August 7, 1998 (the "Berger Agreement"), providing for his employment as Chairman, President and Chief Executive Officer of the Company until August 2001, at an annual base salary of $500,000, plus an incentive bonus under The Scotts Company Executive and Management Incentive Plan (the "Bonus Plan"). If Mr. Berger's employment is terminated by the Company without "cause" (as defined in the Berger Agreement), as a result of his death or disability, as a result of "cause" by Mr. Berger (also as defined) or as a result of a "change of control" (also as defined), he will be entitled to have his base salary continued at the rate then in effect for two years thereafter, and to receive incentive compensation equal to the lesser of his target percentage under the Bonus Plan then in effect or the amount of his last actual bonus under the Bonus Plan, also for the two-year period after the date of termination. If Mr. Berger voluntarily terminates his employment, or if his employment is terminated for any other reason (including for "cause" by the Company), Mr. Berger is entitled to receive his base salary through the date of termination. In connection with entering into his Employment Agreement, Mr. Berger entered into three Stock Option Agreements with the Company dated as of September 23, 1998, October 21, 1998 and September 24, 1999. Mr. Berger was granted options to purchase 150,000 Common Shares of the Company under the two agreements dated as of 1998, and 75,000 Common Shares under the agreement dated as of 1999, totaling 225,000 Common Shares. The options vest one year from the respective dates of grant. The options are exercisable at a purchase price of $30.125 per share under the September 23, 1998 agreement, $30.000 per share under the October 21, 1998 agreement and $35.250 per share under the September 24, 1999 agreement. The exercise price is subject to adjustment in the event of certain corporate changes. These options expire ten years from the respective dates of grant.</w:t>
      </w:r>
    </w:p>
    <w:p>
      <w:pPr>
        <w:sectPr>
          <w:pgSz w:w="11900" w:h="16838" w:orient="portrait"/>
          <w:cols w:equalWidth="0" w:num="1">
            <w:col w:w="10139"/>
          </w:cols>
          <w:pgMar w:left="320" w:top="291"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139"/>
          </w:cols>
          <w:pgMar w:left="320" w:top="291" w:right="1440" w:bottom="1440" w:gutter="0" w:footer="0" w:header="0"/>
          <w:type w:val="continuous"/>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19</w:t>
      </w:r>
    </w:p>
    <w:p>
      <w:pPr>
        <w:spacing w:after="0" w:line="183" w:lineRule="exact"/>
        <w:rPr>
          <w:sz w:val="20"/>
          <w:szCs w:val="20"/>
          <w:color w:val="auto"/>
        </w:rPr>
      </w:pPr>
    </w:p>
    <w:p>
      <w:pPr>
        <w:ind w:right="2699" w:firstLine="466"/>
        <w:spacing w:after="0" w:line="272" w:lineRule="auto"/>
        <w:rPr>
          <w:sz w:val="20"/>
          <w:szCs w:val="20"/>
          <w:color w:val="auto"/>
        </w:rPr>
      </w:pPr>
      <w:r>
        <w:rPr>
          <w:rFonts w:ascii="Courier New" w:cs="Courier New" w:eastAsia="Courier New" w:hAnsi="Courier New"/>
          <w:sz w:val="14"/>
          <w:szCs w:val="14"/>
          <w:color w:val="auto"/>
        </w:rPr>
        <w:t>In connection with the transactions contemplated by the Merger Agreement, the Company entered into an employment agreement with Mr. James Hagedorn (the "Hagedorn Agreement"). The Hagedorn Agreement has a term of three years, and is automatically renewed for an additional year each subsequent year, unless either party notifies the other party of his/its desire not to renew. The Hagedorn Agreement provides for a minimum annual base salary of $200,000 for Mr. Hagedorn and participation in the various benefit plans available to senior executive officers of the Company. In addition, pursuant to the Hagedorn Agreement, the Company granted to Mr. Hagedorn options to acquire 24,000 Common Shares. Upon certain types of termination of employment (e.g., a termination by the Company for any reason other than "cause" (as defined in the Hagedorn Agreement) or a termination by Mr. Hagedorn constituting "good reason" (also as defined)), he will become entitled to receive certain severance benefits including a payment equal to three times the sum of his base salary then in effect plus his highest annual bonus in any of the three preceding years. Upon termination of employment for any other reason, Mr. Hagedorn or his beneficiary will be entitled to receive all unpaid amounts of base salary and benefits under the executive benefit plans in which he participated. The Hagedorn Agreement also contains confidentiality and noncompetition provisions which prevent Mr. Hagedorn from disclosing confidential information about the Company and from competing with the Company during his employment therewith and for an additional three years thereafter.</w:t>
      </w:r>
    </w:p>
    <w:p>
      <w:pPr>
        <w:spacing w:after="0" w:line="200" w:lineRule="exact"/>
        <w:rPr>
          <w:sz w:val="20"/>
          <w:szCs w:val="20"/>
          <w:color w:val="auto"/>
        </w:rPr>
      </w:pPr>
    </w:p>
    <w:p>
      <w:pPr>
        <w:spacing w:after="0" w:line="324" w:lineRule="exact"/>
        <w:rPr>
          <w:sz w:val="20"/>
          <w:szCs w:val="20"/>
          <w:color w:val="auto"/>
        </w:rPr>
      </w:pPr>
    </w:p>
    <w:p>
      <w:pPr>
        <w:ind w:right="2699" w:firstLine="466"/>
        <w:spacing w:after="0" w:line="236" w:lineRule="auto"/>
        <w:rPr>
          <w:sz w:val="20"/>
          <w:szCs w:val="20"/>
          <w:color w:val="auto"/>
        </w:rPr>
      </w:pPr>
      <w:r>
        <w:rPr>
          <w:rFonts w:ascii="Courier New" w:cs="Courier New" w:eastAsia="Courier New" w:hAnsi="Courier New"/>
          <w:sz w:val="16"/>
          <w:szCs w:val="16"/>
          <w:color w:val="auto"/>
        </w:rPr>
        <w:t>The Company entered into an employment arrangement with Mr. Mordo effective March 1, 1997, relating to his employment with the Company. If Mr. Mordo's employment is terminated by the Company without "cause" (as defined in such employment agreement), as a result of his death or disability or as a result of a "change of control" (also as defined), he will be entitled to have his base salary continued at the rate then in effect for two years thereafter, and to receive incentive compensation at least comparable to the prior year's level for the two-year period after termination. Mr. Mordo was also granted options to purchase 150,000 Common Shares of the Company, one-third of which vested in each of March 1997, March 1998 and March 1999.</w:t>
      </w:r>
    </w:p>
    <w:p>
      <w:pPr>
        <w:spacing w:after="0" w:line="187" w:lineRule="exact"/>
        <w:rPr>
          <w:sz w:val="20"/>
          <w:szCs w:val="20"/>
          <w:color w:val="auto"/>
        </w:rPr>
      </w:pPr>
    </w:p>
    <w:p>
      <w:pPr>
        <w:ind w:right="2699" w:firstLine="466"/>
        <w:spacing w:after="0" w:line="274" w:lineRule="auto"/>
        <w:rPr>
          <w:sz w:val="20"/>
          <w:szCs w:val="20"/>
          <w:color w:val="auto"/>
        </w:rPr>
      </w:pPr>
      <w:r>
        <w:rPr>
          <w:rFonts w:ascii="Courier New" w:cs="Courier New" w:eastAsia="Courier New" w:hAnsi="Courier New"/>
          <w:sz w:val="14"/>
          <w:szCs w:val="14"/>
          <w:color w:val="auto"/>
        </w:rPr>
        <w:t>The Company entered into an employment arrangement with Mr. Lucas effective May 1, 1997, relating to his employment with the Company. If Mr. Lucas' employment is terminated by the Company without "cause," as a result of his death or disability or as a result of a "change of control," he will be entitled to have his base salary continued at the rate then in effect for two years thereafter, and to receive incentive compensation at least comparable to the prior year's level for the two-year period after termination. Mr. Lucas was also granted options to purchase 70,000 Common Shares of the Company, one-third of which vested in each of May 1997, May 1998 and May 1999.</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THE COMPENSATION AND ORGANIZATION COMMITTEE ON EXECUTIVE COMPENSATION</w:t>
      </w:r>
    </w:p>
    <w:p>
      <w:pPr>
        <w:spacing w:after="0" w:line="200" w:lineRule="exact"/>
        <w:rPr>
          <w:sz w:val="20"/>
          <w:szCs w:val="20"/>
          <w:color w:val="auto"/>
        </w:rPr>
      </w:pPr>
    </w:p>
    <w:p>
      <w:pPr>
        <w:ind w:right="2699" w:firstLine="466"/>
        <w:spacing w:after="0" w:line="235" w:lineRule="auto"/>
        <w:rPr>
          <w:sz w:val="20"/>
          <w:szCs w:val="20"/>
          <w:color w:val="auto"/>
        </w:rPr>
      </w:pPr>
      <w:r>
        <w:rPr>
          <w:rFonts w:ascii="Courier New" w:cs="Courier New" w:eastAsia="Courier New" w:hAnsi="Courier New"/>
          <w:sz w:val="16"/>
          <w:szCs w:val="16"/>
          <w:color w:val="auto"/>
        </w:rPr>
        <w:t>NOTWITHSTANDING ANYTHING TO THE CONTRARY SET FORTH IN THE COMPANY'S PREVIOUS FILINGS UNDER THE SECURITIES ACT OF 1933 OR THE EXCHANGE ACT THAT MIGHT INCORPORATE FUTURE FILINGS, INCLUDING THIS PROXY STATEMENT, IN WHOLE OR IN PART, THIS REPORT AND THE GRAPH SET FORTH BELOW UNDER "EXECUTIVE</w:t>
      </w:r>
    </w:p>
    <w:p>
      <w:pPr>
        <w:spacing w:after="0" w:line="6"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COMPENSATION -- PERFORMANCE GRAPH" SHALL NOT BE INCORPORATED BY REFERENCE INTO ANY SUCH FILINGS.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ROLE OF THE COMPENSATION AND ORGANIZATION COMMITTEE</w:t>
      </w:r>
    </w:p>
    <w:p>
      <w:pPr>
        <w:spacing w:after="0" w:line="183" w:lineRule="exact"/>
        <w:rPr>
          <w:sz w:val="20"/>
          <w:szCs w:val="20"/>
          <w:color w:val="auto"/>
        </w:rPr>
      </w:pPr>
    </w:p>
    <w:p>
      <w:pPr>
        <w:ind w:right="2699" w:firstLine="466"/>
        <w:spacing w:after="0" w:line="236" w:lineRule="auto"/>
        <w:rPr>
          <w:sz w:val="20"/>
          <w:szCs w:val="20"/>
          <w:color w:val="auto"/>
        </w:rPr>
      </w:pPr>
      <w:r>
        <w:rPr>
          <w:rFonts w:ascii="Courier New" w:cs="Courier New" w:eastAsia="Courier New" w:hAnsi="Courier New"/>
          <w:sz w:val="16"/>
          <w:szCs w:val="16"/>
          <w:color w:val="auto"/>
        </w:rPr>
        <w:t>The Compensation and Organization Committee (the "Committee") is made up of four members of the Board of Directors who are neither current nor former employees of the Company. The Committee reviews the Company's organizational structure, succession planning and the ongoing functions of the executive officers. It is also responsible for the Company's executive compensation policies and programs. The Committee reviews and recommends to the Board all compensation payments to the CEO and the executive officers of the Company and the aggregate incentive payments to the participants in the Executive and Management Incentive Plan (the "Bonus Plan").</w:t>
      </w:r>
    </w:p>
    <w:p>
      <w:pPr>
        <w:spacing w:after="0" w:line="187" w:lineRule="exact"/>
        <w:rPr>
          <w:sz w:val="20"/>
          <w:szCs w:val="20"/>
          <w:color w:val="auto"/>
        </w:rPr>
      </w:pPr>
    </w:p>
    <w:p>
      <w:pPr>
        <w:ind w:right="2699" w:firstLine="466"/>
        <w:spacing w:after="0" w:line="283" w:lineRule="auto"/>
        <w:rPr>
          <w:sz w:val="20"/>
          <w:szCs w:val="20"/>
          <w:color w:val="auto"/>
        </w:rPr>
      </w:pPr>
      <w:r>
        <w:rPr>
          <w:rFonts w:ascii="Courier New" w:cs="Courier New" w:eastAsia="Courier New" w:hAnsi="Courier New"/>
          <w:sz w:val="14"/>
          <w:szCs w:val="14"/>
          <w:color w:val="auto"/>
        </w:rPr>
        <w:t>In reaching compensation decisions, the Committee reviews information from various sources, including proxy statement surveys and industry surveys. The Committee has also retained external legal counsel and compensation consultants.</w:t>
      </w:r>
    </w:p>
    <w:p>
      <w:pPr>
        <w:spacing w:after="0" w:line="14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139"/>
          </w:cols>
          <w:pgMar w:left="320" w:top="291" w:right="1440" w:bottom="1440" w:gutter="0" w:footer="0" w:header="0"/>
        </w:sectPr>
      </w:pPr>
    </w:p>
    <w:bookmarkStart w:id="19" w:name="page20"/>
    <w:bookmarkEnd w:id="19"/>
    <w:p>
      <w:pPr>
        <w:ind w:left="285"/>
        <w:spacing w:after="0"/>
        <w:rPr>
          <w:sz w:val="20"/>
          <w:szCs w:val="20"/>
          <w:color w:val="auto"/>
        </w:rPr>
      </w:pPr>
      <w:r>
        <w:rPr>
          <w:rFonts w:ascii="Courier New" w:cs="Courier New" w:eastAsia="Courier New" w:hAnsi="Courier New"/>
          <w:sz w:val="16"/>
          <w:szCs w:val="16"/>
          <w:color w:val="auto"/>
        </w:rPr>
        <w:t>20</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OBJECTIVES OF THE EXECUTIVE COMPENSATION PROGRAM</w:t>
      </w:r>
    </w:p>
    <w:p>
      <w:pPr>
        <w:spacing w:after="0" w:line="183" w:lineRule="exact"/>
        <w:rPr>
          <w:sz w:val="20"/>
          <w:szCs w:val="20"/>
          <w:color w:val="auto"/>
        </w:rPr>
      </w:pPr>
    </w:p>
    <w:p>
      <w:pPr>
        <w:ind w:left="5" w:right="2699" w:firstLine="466"/>
        <w:spacing w:after="0" w:line="236" w:lineRule="auto"/>
        <w:rPr>
          <w:sz w:val="20"/>
          <w:szCs w:val="20"/>
          <w:color w:val="auto"/>
        </w:rPr>
      </w:pPr>
      <w:r>
        <w:rPr>
          <w:rFonts w:ascii="Courier New" w:cs="Courier New" w:eastAsia="Courier New" w:hAnsi="Courier New"/>
          <w:sz w:val="16"/>
          <w:szCs w:val="16"/>
          <w:color w:val="auto"/>
        </w:rPr>
        <w:t>The Committee's primary objective is the establishment of compensation programs for the Company's executive officers who drive action to maximize long-term shareholder value. The executive compensation program is designed with a performance orientation, where a large portion of executive compensation is "at risk." In pursuing this objective, the Committee believes the Company's executive compensation program must:</w:t>
      </w:r>
    </w:p>
    <w:p>
      <w:pPr>
        <w:spacing w:after="0" w:line="184" w:lineRule="exact"/>
        <w:rPr>
          <w:sz w:val="20"/>
          <w:szCs w:val="20"/>
          <w:color w:val="auto"/>
        </w:rPr>
      </w:pPr>
    </w:p>
    <w:p>
      <w:pPr>
        <w:ind w:left="1125" w:right="3439" w:hanging="193"/>
        <w:spacing w:after="0" w:line="235" w:lineRule="auto"/>
        <w:tabs>
          <w:tab w:leader="none" w:pos="112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Emphasize pay for performance, motivating both long-term and short-term performance for the benefit of the Company's shareholders;</w:t>
      </w:r>
    </w:p>
    <w:p>
      <w:pPr>
        <w:spacing w:after="0" w:line="183" w:lineRule="exact"/>
        <w:rPr>
          <w:rFonts w:ascii="Courier New" w:cs="Courier New" w:eastAsia="Courier New" w:hAnsi="Courier New"/>
          <w:sz w:val="16"/>
          <w:szCs w:val="16"/>
          <w:color w:val="auto"/>
        </w:rPr>
      </w:pPr>
    </w:p>
    <w:p>
      <w:pPr>
        <w:ind w:left="1125" w:right="3059" w:hanging="193"/>
        <w:spacing w:after="0" w:line="234" w:lineRule="auto"/>
        <w:tabs>
          <w:tab w:leader="none" w:pos="112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greater emphasis on variable incentive compensation versus fixed or base pay;</w:t>
      </w:r>
    </w:p>
    <w:p>
      <w:pPr>
        <w:spacing w:after="0" w:line="183" w:lineRule="exact"/>
        <w:rPr>
          <w:rFonts w:ascii="Courier New" w:cs="Courier New" w:eastAsia="Courier New" w:hAnsi="Courier New"/>
          <w:sz w:val="16"/>
          <w:szCs w:val="16"/>
          <w:color w:val="auto"/>
        </w:rPr>
      </w:pPr>
    </w:p>
    <w:p>
      <w:pPr>
        <w:ind w:left="1125" w:hanging="193"/>
        <w:spacing w:after="0"/>
        <w:tabs>
          <w:tab w:leader="none" w:pos="112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Reward decision-making that emphasizes long-term shareholder value;</w:t>
      </w:r>
    </w:p>
    <w:p>
      <w:pPr>
        <w:spacing w:after="0" w:line="199" w:lineRule="exact"/>
        <w:rPr>
          <w:rFonts w:ascii="Courier New" w:cs="Courier New" w:eastAsia="Courier New" w:hAnsi="Courier New"/>
          <w:sz w:val="14"/>
          <w:szCs w:val="14"/>
          <w:color w:val="auto"/>
        </w:rPr>
      </w:pPr>
    </w:p>
    <w:p>
      <w:pPr>
        <w:ind w:left="1125" w:right="2779" w:hanging="193"/>
        <w:spacing w:after="0" w:line="235" w:lineRule="auto"/>
        <w:tabs>
          <w:tab w:leader="none" w:pos="112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a total compensation program competitive with those companies with which the Company competes for top management talent on a global basis; and</w:t>
      </w:r>
    </w:p>
    <w:p>
      <w:pPr>
        <w:spacing w:after="0" w:line="183" w:lineRule="exact"/>
        <w:rPr>
          <w:rFonts w:ascii="Courier New" w:cs="Courier New" w:eastAsia="Courier New" w:hAnsi="Courier New"/>
          <w:sz w:val="16"/>
          <w:szCs w:val="16"/>
          <w:color w:val="auto"/>
        </w:rPr>
      </w:pPr>
    </w:p>
    <w:p>
      <w:pPr>
        <w:jc w:val="both"/>
        <w:ind w:left="1125" w:right="2699" w:hanging="193"/>
        <w:spacing w:after="0" w:line="235" w:lineRule="auto"/>
        <w:tabs>
          <w:tab w:leader="none" w:pos="112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Ensure the Company's continued growth and performance by attracting, retaining and motivating talented executives and employees necessary to meet the Company's strategic goals.</w:t>
      </w:r>
    </w:p>
    <w:p>
      <w:pPr>
        <w:spacing w:after="0" w:line="184" w:lineRule="exact"/>
        <w:rPr>
          <w:sz w:val="20"/>
          <w:szCs w:val="20"/>
          <w:color w:val="auto"/>
        </w:rPr>
      </w:pPr>
    </w:p>
    <w:p>
      <w:pPr>
        <w:ind w:left="5" w:right="2779" w:firstLine="466"/>
        <w:spacing w:after="0" w:line="236" w:lineRule="auto"/>
        <w:rPr>
          <w:sz w:val="20"/>
          <w:szCs w:val="20"/>
          <w:color w:val="auto"/>
        </w:rPr>
      </w:pPr>
      <w:r>
        <w:rPr>
          <w:rFonts w:ascii="Courier New" w:cs="Courier New" w:eastAsia="Courier New" w:hAnsi="Courier New"/>
          <w:sz w:val="16"/>
          <w:szCs w:val="16"/>
          <w:color w:val="auto"/>
        </w:rPr>
        <w:t>The Committee sets compensation levels, which are designed to be competitive with a comparison group of consumer products companies of similar size and complexity (the "Comparison Group"). This comparative data may not include the compensation paid by all of the companies that are included in the S&amp;P 500 Household Index which is used for comparative purposes in the performance graph. Base salary and annual incentive opportunities are targeted at the median of the Comparison Group companies, while long-term incentives are targeted at the 75th percentile. Through the use of these and other tools, the Company has been successful in attracting executives who as key members of the top management team have been instrumental in improving the performance of the Company.</w:t>
      </w:r>
    </w:p>
    <w:p>
      <w:pPr>
        <w:spacing w:after="0" w:line="188" w:lineRule="exact"/>
        <w:rPr>
          <w:sz w:val="20"/>
          <w:szCs w:val="20"/>
          <w:color w:val="auto"/>
        </w:rPr>
      </w:pPr>
    </w:p>
    <w:p>
      <w:pPr>
        <w:ind w:left="5" w:right="2699" w:firstLine="466"/>
        <w:spacing w:after="0" w:line="236" w:lineRule="auto"/>
        <w:rPr>
          <w:sz w:val="20"/>
          <w:szCs w:val="20"/>
          <w:color w:val="auto"/>
        </w:rPr>
      </w:pPr>
      <w:r>
        <w:rPr>
          <w:rFonts w:ascii="Courier New" w:cs="Courier New" w:eastAsia="Courier New" w:hAnsi="Courier New"/>
          <w:sz w:val="16"/>
          <w:szCs w:val="16"/>
          <w:color w:val="auto"/>
        </w:rPr>
        <w:t>The Committee does not have a policy that requires its executive compensation programs to qualify as performance-based compensation under Section 162(m) of the Internal Revenue Code of 1986, as amended. The design and administration of the Company's 1996 Stock Option Plan qualifies under Section 162(m) of the Code as performance-based compensation. In all cases, the Committee will continue to carefully consider the net cost and value to the shareholders of its compensation policies.</w:t>
      </w:r>
    </w:p>
    <w:p>
      <w:pPr>
        <w:spacing w:after="0" w:line="179"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OVERVIEW OF EXECUTIVE COMPENSATION AND 1999 COMMITTEE ACTIONS</w:t>
      </w:r>
    </w:p>
    <w:p>
      <w:pPr>
        <w:spacing w:after="0" w:line="183" w:lineRule="exact"/>
        <w:rPr>
          <w:sz w:val="20"/>
          <w:szCs w:val="20"/>
          <w:color w:val="auto"/>
        </w:rPr>
      </w:pPr>
    </w:p>
    <w:p>
      <w:pPr>
        <w:ind w:left="5" w:right="2979" w:firstLine="466"/>
        <w:spacing w:after="0" w:line="234" w:lineRule="auto"/>
        <w:rPr>
          <w:sz w:val="20"/>
          <w:szCs w:val="20"/>
          <w:color w:val="auto"/>
        </w:rPr>
      </w:pPr>
      <w:r>
        <w:rPr>
          <w:rFonts w:ascii="Courier New" w:cs="Courier New" w:eastAsia="Courier New" w:hAnsi="Courier New"/>
          <w:sz w:val="16"/>
          <w:szCs w:val="16"/>
          <w:color w:val="auto"/>
        </w:rPr>
        <w:t>The Company's executive compensation program consists of three principal components:</w:t>
      </w:r>
    </w:p>
    <w:p>
      <w:pPr>
        <w:spacing w:after="0" w:line="178" w:lineRule="exact"/>
        <w:rPr>
          <w:sz w:val="20"/>
          <w:szCs w:val="20"/>
          <w:color w:val="auto"/>
        </w:rPr>
      </w:pPr>
    </w:p>
    <w:p>
      <w:pPr>
        <w:ind w:left="1125" w:hanging="193"/>
        <w:spacing w:after="0"/>
        <w:tabs>
          <w:tab w:leader="none" w:pos="112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w:t>
      </w:r>
    </w:p>
    <w:p>
      <w:pPr>
        <w:spacing w:after="0" w:line="176" w:lineRule="exact"/>
        <w:rPr>
          <w:rFonts w:ascii="Courier New" w:cs="Courier New" w:eastAsia="Courier New" w:hAnsi="Courier New"/>
          <w:sz w:val="16"/>
          <w:szCs w:val="16"/>
          <w:color w:val="auto"/>
        </w:rPr>
      </w:pPr>
    </w:p>
    <w:p>
      <w:pPr>
        <w:ind w:left="1125" w:hanging="193"/>
        <w:spacing w:after="0"/>
        <w:tabs>
          <w:tab w:leader="none" w:pos="112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Bonus Plan</w:t>
      </w:r>
    </w:p>
    <w:p>
      <w:pPr>
        <w:spacing w:after="0" w:line="176" w:lineRule="exact"/>
        <w:rPr>
          <w:rFonts w:ascii="Courier New" w:cs="Courier New" w:eastAsia="Courier New" w:hAnsi="Courier New"/>
          <w:sz w:val="16"/>
          <w:szCs w:val="16"/>
          <w:color w:val="auto"/>
        </w:rPr>
      </w:pPr>
    </w:p>
    <w:p>
      <w:pPr>
        <w:ind w:left="1125" w:hanging="193"/>
        <w:spacing w:after="0"/>
        <w:tabs>
          <w:tab w:leader="none" w:pos="112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1996 Stock Option Plan</w:t>
      </w:r>
    </w:p>
    <w:p>
      <w:pPr>
        <w:spacing w:after="0" w:line="176"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w:t>
      </w:r>
    </w:p>
    <w:p>
      <w:pPr>
        <w:spacing w:after="0" w:line="177"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The base salaries of the Company's executive officers and subsequent</w:t>
      </w:r>
    </w:p>
    <w:p>
      <w:pPr>
        <w:spacing w:after="0" w:line="4"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4"/>
          <w:szCs w:val="14"/>
          <w:color w:val="auto"/>
        </w:rPr>
        <w:t>adjustments to base salaries are determined relative to the following factors:</w:t>
      </w:r>
    </w:p>
    <w:p>
      <w:pPr>
        <w:spacing w:after="0" w:line="20" w:lineRule="exact"/>
        <w:rPr>
          <w:sz w:val="20"/>
          <w:szCs w:val="20"/>
          <w:color w:val="auto"/>
        </w:rPr>
      </w:pPr>
    </w:p>
    <w:p>
      <w:pPr>
        <w:ind w:left="5" w:right="2779" w:hanging="5"/>
        <w:spacing w:after="0" w:line="236" w:lineRule="auto"/>
        <w:tabs>
          <w:tab w:leader="none" w:pos="377"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strategic importance to the Company of the executive officer's job function; (2) the individual's performance in his or her position; (3) the individual's potential to make a significant contribution to the Company in the future; and (4) a comparison of industry compensation practices. The Committee believes that all of these factors are important and the relevance of each factor varies from individual to individual.</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BONUS PLAN</w:t>
      </w:r>
    </w:p>
    <w:p>
      <w:pPr>
        <w:spacing w:after="0" w:line="183" w:lineRule="exact"/>
        <w:rPr>
          <w:sz w:val="20"/>
          <w:szCs w:val="20"/>
          <w:color w:val="auto"/>
        </w:rPr>
      </w:pPr>
    </w:p>
    <w:p>
      <w:pPr>
        <w:ind w:left="5" w:right="2699" w:firstLine="466"/>
        <w:spacing w:after="0" w:line="235" w:lineRule="auto"/>
        <w:rPr>
          <w:sz w:val="20"/>
          <w:szCs w:val="20"/>
          <w:color w:val="auto"/>
        </w:rPr>
      </w:pPr>
      <w:r>
        <w:rPr>
          <w:rFonts w:ascii="Courier New" w:cs="Courier New" w:eastAsia="Courier New" w:hAnsi="Courier New"/>
          <w:sz w:val="16"/>
          <w:szCs w:val="16"/>
          <w:color w:val="auto"/>
        </w:rPr>
        <w:t>All executive officers are eligible to participate in the Bonus Plan, which provides annual incentive compensation opportunities based on various performance measures related to the financial performance of the Company and the achievement of individual goals and objectives for the fiscal year.</w:t>
      </w:r>
    </w:p>
    <w:p>
      <w:pPr>
        <w:sectPr>
          <w:pgSz w:w="11900" w:h="16838" w:orient="portrait"/>
          <w:cols w:equalWidth="0" w:num="1">
            <w:col w:w="10144"/>
          </w:cols>
          <w:pgMar w:left="315" w:top="291" w:right="1440" w:bottom="1440" w:gutter="0" w:footer="0" w:header="0"/>
        </w:sectPr>
      </w:pPr>
    </w:p>
    <w:p>
      <w:pPr>
        <w:spacing w:after="0" w:line="179"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144"/>
          </w:cols>
          <w:pgMar w:left="315" w:top="291" w:right="1440" w:bottom="1440" w:gutter="0" w:footer="0" w:header="0"/>
          <w:type w:val="continuous"/>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21</w:t>
      </w:r>
    </w:p>
    <w:p>
      <w:pPr>
        <w:spacing w:after="0" w:line="183" w:lineRule="exact"/>
        <w:rPr>
          <w:sz w:val="20"/>
          <w:szCs w:val="20"/>
          <w:color w:val="auto"/>
        </w:rPr>
      </w:pPr>
    </w:p>
    <w:p>
      <w:pPr>
        <w:ind w:right="2779" w:firstLine="466"/>
        <w:spacing w:after="0" w:line="236" w:lineRule="auto"/>
        <w:rPr>
          <w:sz w:val="20"/>
          <w:szCs w:val="20"/>
          <w:color w:val="auto"/>
        </w:rPr>
      </w:pPr>
      <w:r>
        <w:rPr>
          <w:rFonts w:ascii="Courier New" w:cs="Courier New" w:eastAsia="Courier New" w:hAnsi="Courier New"/>
          <w:sz w:val="16"/>
          <w:szCs w:val="16"/>
          <w:color w:val="auto"/>
        </w:rPr>
        <w:t>The Committee oversees the operation of the Bonus Plan by evaluating and approving the targets and the objectives to be met by the Company and the executive officers and the amount of bonus payable at specified levels of attainment of those targets and objectives. At the end of each fiscal year, the Committee determines the extent to which the targets and objectives have been met and awards bonuses accordingly.</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Bonuses for corporate officers are based on the Company's earnings per</w:t>
      </w:r>
    </w:p>
    <w:p>
      <w:pPr>
        <w:spacing w:after="0" w:line="237" w:lineRule="auto"/>
        <w:rPr>
          <w:sz w:val="20"/>
          <w:szCs w:val="20"/>
          <w:color w:val="auto"/>
        </w:rPr>
      </w:pPr>
      <w:r>
        <w:rPr>
          <w:rFonts w:ascii="Courier New" w:cs="Courier New" w:eastAsia="Courier New" w:hAnsi="Courier New"/>
          <w:sz w:val="16"/>
          <w:szCs w:val="16"/>
          <w:color w:val="auto"/>
        </w:rPr>
        <w:t>share (80%) as well as on individual goals (20%). Bonuses for officers in the</w:t>
      </w:r>
    </w:p>
    <w:p>
      <w:pPr>
        <w:spacing w:after="0" w:line="237" w:lineRule="auto"/>
        <w:rPr>
          <w:sz w:val="20"/>
          <w:szCs w:val="20"/>
          <w:color w:val="auto"/>
        </w:rPr>
      </w:pPr>
      <w:r>
        <w:rPr>
          <w:rFonts w:ascii="Courier New" w:cs="Courier New" w:eastAsia="Courier New" w:hAnsi="Courier New"/>
          <w:sz w:val="16"/>
          <w:szCs w:val="16"/>
          <w:color w:val="auto"/>
        </w:rPr>
        <w:t>Company's ten business groups are based on the Company's earnings per share</w:t>
      </w:r>
    </w:p>
    <w:p>
      <w:pPr>
        <w:spacing w:after="0" w:line="237" w:lineRule="auto"/>
        <w:rPr>
          <w:sz w:val="20"/>
          <w:szCs w:val="20"/>
          <w:color w:val="auto"/>
        </w:rPr>
      </w:pPr>
      <w:r>
        <w:rPr>
          <w:rFonts w:ascii="Courier New" w:cs="Courier New" w:eastAsia="Courier New" w:hAnsi="Courier New"/>
          <w:sz w:val="16"/>
          <w:szCs w:val="16"/>
          <w:color w:val="auto"/>
        </w:rPr>
        <w:t>(30%), the adjusted contribution margins of their particular business group</w:t>
      </w:r>
    </w:p>
    <w:p>
      <w:pPr>
        <w:spacing w:after="0" w:line="237" w:lineRule="auto"/>
        <w:rPr>
          <w:sz w:val="20"/>
          <w:szCs w:val="20"/>
          <w:color w:val="auto"/>
        </w:rPr>
      </w:pPr>
      <w:r>
        <w:rPr>
          <w:rFonts w:ascii="Courier New" w:cs="Courier New" w:eastAsia="Courier New" w:hAnsi="Courier New"/>
          <w:sz w:val="16"/>
          <w:szCs w:val="16"/>
          <w:color w:val="auto"/>
        </w:rPr>
        <w:t>(50%) and individual goals (20%).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1996 STOCK OPTION PLAN</w:t>
      </w:r>
    </w:p>
    <w:p>
      <w:pPr>
        <w:spacing w:after="0" w:line="183" w:lineRule="exact"/>
        <w:rPr>
          <w:sz w:val="20"/>
          <w:szCs w:val="20"/>
          <w:color w:val="auto"/>
        </w:rPr>
      </w:pPr>
    </w:p>
    <w:p>
      <w:pPr>
        <w:ind w:right="2699" w:firstLine="466"/>
        <w:spacing w:after="0" w:line="236" w:lineRule="auto"/>
        <w:rPr>
          <w:sz w:val="20"/>
          <w:szCs w:val="20"/>
          <w:color w:val="auto"/>
        </w:rPr>
      </w:pPr>
      <w:r>
        <w:rPr>
          <w:rFonts w:ascii="Courier New" w:cs="Courier New" w:eastAsia="Courier New" w:hAnsi="Courier New"/>
          <w:sz w:val="16"/>
          <w:szCs w:val="16"/>
          <w:color w:val="auto"/>
        </w:rPr>
        <w:t>Using the Black-Scholes method, the Committee targets annual stock option grants to its executive officers at the 75th percentile of expected value for long-term incentive grants to executives of Comparison Group companies. The 1996 Stock Option Plan enables the Committee to grant both incentive stock options and non-qualified stock options, although no incentive stock options have been granted to date. All options granted have a three-year cliff vesting provision. The Committee has on occasion adjusted grants based on corporate or individual performance.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THE CEO</w:t>
      </w:r>
    </w:p>
    <w:p>
      <w:pPr>
        <w:spacing w:after="0" w:line="183" w:lineRule="exact"/>
        <w:rPr>
          <w:sz w:val="20"/>
          <w:szCs w:val="20"/>
          <w:color w:val="auto"/>
        </w:rPr>
      </w:pPr>
    </w:p>
    <w:p>
      <w:pPr>
        <w:ind w:right="2979" w:firstLine="466"/>
        <w:spacing w:after="0" w:line="235" w:lineRule="auto"/>
        <w:rPr>
          <w:sz w:val="20"/>
          <w:szCs w:val="20"/>
          <w:color w:val="auto"/>
        </w:rPr>
      </w:pPr>
      <w:r>
        <w:rPr>
          <w:rFonts w:ascii="Courier New" w:cs="Courier New" w:eastAsia="Courier New" w:hAnsi="Courier New"/>
          <w:sz w:val="16"/>
          <w:szCs w:val="16"/>
          <w:color w:val="auto"/>
        </w:rPr>
        <w:t>The Committee, in conjunction with the CEO, establishes the CEO's annual goals and objectives and evaluates his performance against these goals and objectives annually in executive session.</w:t>
      </w:r>
    </w:p>
    <w:p>
      <w:pPr>
        <w:spacing w:after="0" w:line="184" w:lineRule="exact"/>
        <w:rPr>
          <w:sz w:val="20"/>
          <w:szCs w:val="20"/>
          <w:color w:val="auto"/>
        </w:rPr>
      </w:pPr>
    </w:p>
    <w:p>
      <w:pPr>
        <w:ind w:right="2699" w:firstLine="466"/>
        <w:spacing w:after="0" w:line="236" w:lineRule="auto"/>
        <w:rPr>
          <w:sz w:val="20"/>
          <w:szCs w:val="20"/>
          <w:color w:val="auto"/>
        </w:rPr>
      </w:pPr>
      <w:r>
        <w:rPr>
          <w:rFonts w:ascii="Courier New" w:cs="Courier New" w:eastAsia="Courier New" w:hAnsi="Courier New"/>
          <w:sz w:val="16"/>
          <w:szCs w:val="16"/>
          <w:color w:val="auto"/>
        </w:rPr>
        <w:t>On September 23, 1998, the Committee approved a three-year employment agreement for the CEO until August 2001. His base salary of $500,000 will remain frozen for the remainder of the agreement, while his target bonus under the Bonus Plan will increase from 65% in the 1999 fiscal year, to 75% in the 2000 fiscal year, and 85% in the 2001 fiscal year.</w:t>
      </w:r>
    </w:p>
    <w:p>
      <w:pPr>
        <w:spacing w:after="0" w:line="183" w:lineRule="exact"/>
        <w:rPr>
          <w:sz w:val="20"/>
          <w:szCs w:val="20"/>
          <w:color w:val="auto"/>
        </w:rPr>
      </w:pPr>
    </w:p>
    <w:p>
      <w:pPr>
        <w:ind w:right="2779" w:firstLine="466"/>
        <w:spacing w:after="0" w:line="236" w:lineRule="auto"/>
        <w:rPr>
          <w:sz w:val="20"/>
          <w:szCs w:val="20"/>
          <w:color w:val="auto"/>
        </w:rPr>
      </w:pPr>
      <w:r>
        <w:rPr>
          <w:rFonts w:ascii="Courier New" w:cs="Courier New" w:eastAsia="Courier New" w:hAnsi="Courier New"/>
          <w:sz w:val="16"/>
          <w:szCs w:val="16"/>
          <w:color w:val="auto"/>
        </w:rPr>
        <w:t>Consistent with the focus on performance-based compensation, Mr. Berger's target bonus opportunity was set at 65% of his salary for the 1999 fiscal year. In his position, 80% of Mr. Berger's target bonus is directly attributable to corporate performance (earnings per share) with a performance modifier of 0 to 250%. With respect to the remaining 20% of the target bonus, with a performance modifier of 0 to 200%, the Committee considered Mr. Berger's individual accountabilities, including:</w:t>
      </w:r>
    </w:p>
    <w:p>
      <w:pPr>
        <w:spacing w:after="0" w:line="179" w:lineRule="exact"/>
        <w:rPr>
          <w:sz w:val="20"/>
          <w:szCs w:val="20"/>
          <w:color w:val="auto"/>
        </w:rPr>
      </w:pPr>
    </w:p>
    <w:p>
      <w:pPr>
        <w:ind w:left="1120" w:hanging="193"/>
        <w:spacing w:after="0"/>
        <w:tabs>
          <w:tab w:leader="none" w:pos="11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Organizational development, with a global focus</w:t>
      </w:r>
    </w:p>
    <w:p>
      <w:pPr>
        <w:spacing w:after="0" w:line="176" w:lineRule="exact"/>
        <w:rPr>
          <w:rFonts w:ascii="Courier New" w:cs="Courier New" w:eastAsia="Courier New" w:hAnsi="Courier New"/>
          <w:sz w:val="16"/>
          <w:szCs w:val="16"/>
          <w:color w:val="auto"/>
        </w:rPr>
      </w:pPr>
    </w:p>
    <w:p>
      <w:pPr>
        <w:ind w:left="1120" w:hanging="193"/>
        <w:spacing w:after="0"/>
        <w:tabs>
          <w:tab w:leader="none" w:pos="11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Strategic planning</w:t>
      </w:r>
    </w:p>
    <w:p>
      <w:pPr>
        <w:spacing w:after="0" w:line="176" w:lineRule="exact"/>
        <w:rPr>
          <w:rFonts w:ascii="Courier New" w:cs="Courier New" w:eastAsia="Courier New" w:hAnsi="Courier New"/>
          <w:sz w:val="16"/>
          <w:szCs w:val="16"/>
          <w:color w:val="auto"/>
        </w:rPr>
      </w:pPr>
    </w:p>
    <w:p>
      <w:pPr>
        <w:ind w:left="1120" w:hanging="193"/>
        <w:spacing w:after="0"/>
        <w:tabs>
          <w:tab w:leader="none" w:pos="11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Integration of new business operations</w:t>
      </w:r>
    </w:p>
    <w:p>
      <w:pPr>
        <w:spacing w:after="0" w:line="176" w:lineRule="exact"/>
        <w:rPr>
          <w:rFonts w:ascii="Courier New" w:cs="Courier New" w:eastAsia="Courier New" w:hAnsi="Courier New"/>
          <w:sz w:val="16"/>
          <w:szCs w:val="16"/>
          <w:color w:val="auto"/>
        </w:rPr>
      </w:pPr>
    </w:p>
    <w:p>
      <w:pPr>
        <w:ind w:left="1120" w:hanging="193"/>
        <w:spacing w:after="0"/>
        <w:tabs>
          <w:tab w:leader="none" w:pos="11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operations and investor relations</w:t>
      </w:r>
    </w:p>
    <w:p>
      <w:pPr>
        <w:spacing w:after="0" w:line="182" w:lineRule="exact"/>
        <w:rPr>
          <w:rFonts w:ascii="Courier New" w:cs="Courier New" w:eastAsia="Courier New" w:hAnsi="Courier New"/>
          <w:sz w:val="16"/>
          <w:szCs w:val="16"/>
          <w:color w:val="auto"/>
        </w:rPr>
      </w:pPr>
    </w:p>
    <w:p>
      <w:pPr>
        <w:ind w:left="1120" w:right="2879" w:hanging="193"/>
        <w:spacing w:after="0" w:line="234" w:lineRule="auto"/>
        <w:tabs>
          <w:tab w:leader="none" w:pos="11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category growth and market share growth in both domestic and international markets</w:t>
      </w:r>
    </w:p>
    <w:p>
      <w:pPr>
        <w:spacing w:after="0" w:line="184" w:lineRule="exact"/>
        <w:rPr>
          <w:sz w:val="20"/>
          <w:szCs w:val="20"/>
          <w:color w:val="auto"/>
        </w:rPr>
      </w:pPr>
    </w:p>
    <w:p>
      <w:pPr>
        <w:ind w:right="2879" w:firstLine="466"/>
        <w:spacing w:after="0" w:line="234" w:lineRule="auto"/>
        <w:rPr>
          <w:sz w:val="20"/>
          <w:szCs w:val="20"/>
          <w:color w:val="auto"/>
        </w:rPr>
      </w:pPr>
      <w:r>
        <w:rPr>
          <w:rFonts w:ascii="Courier New" w:cs="Courier New" w:eastAsia="Courier New" w:hAnsi="Courier New"/>
          <w:sz w:val="16"/>
          <w:szCs w:val="16"/>
          <w:color w:val="auto"/>
        </w:rPr>
        <w:t>In consideration of Mr. Berger's performance during the 1999 fiscal year, he earned a bonus of $634,605.</w:t>
      </w:r>
    </w:p>
    <w:p>
      <w:pPr>
        <w:spacing w:after="0" w:line="184" w:lineRule="exact"/>
        <w:rPr>
          <w:sz w:val="20"/>
          <w:szCs w:val="20"/>
          <w:color w:val="auto"/>
        </w:rPr>
      </w:pPr>
    </w:p>
    <w:p>
      <w:pPr>
        <w:ind w:right="2879" w:firstLine="466"/>
        <w:spacing w:after="0" w:line="283" w:lineRule="auto"/>
        <w:rPr>
          <w:sz w:val="20"/>
          <w:szCs w:val="20"/>
          <w:color w:val="auto"/>
        </w:rPr>
      </w:pPr>
      <w:r>
        <w:rPr>
          <w:rFonts w:ascii="Courier New" w:cs="Courier New" w:eastAsia="Courier New" w:hAnsi="Courier New"/>
          <w:sz w:val="14"/>
          <w:szCs w:val="14"/>
          <w:color w:val="auto"/>
        </w:rPr>
        <w:t>As contemplated by Mr. Berger's employment agreement, options to purchase 75,000 Common Shares were granted on September 24, 1999 to Mr. Berger. The options will fully vest on the first anniversary of the grant date.</w:t>
      </w:r>
    </w:p>
    <w:p>
      <w:pPr>
        <w:spacing w:after="0" w:line="149"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SUBMITTED BY THE COMPENSATION AND</w:t>
      </w:r>
    </w:p>
    <w:p>
      <w:pPr>
        <w:ind w:left="4100"/>
        <w:spacing w:after="0" w:line="237" w:lineRule="auto"/>
        <w:rPr>
          <w:sz w:val="20"/>
          <w:szCs w:val="20"/>
          <w:color w:val="auto"/>
        </w:rPr>
      </w:pPr>
      <w:r>
        <w:rPr>
          <w:rFonts w:ascii="Courier New" w:cs="Courier New" w:eastAsia="Courier New" w:hAnsi="Courier New"/>
          <w:sz w:val="16"/>
          <w:szCs w:val="16"/>
          <w:color w:val="auto"/>
        </w:rPr>
        <w:t>ORGANIZATION COMMITTEE OF THE</w:t>
      </w:r>
    </w:p>
    <w:p>
      <w:pPr>
        <w:ind w:left="4100"/>
        <w:spacing w:after="0" w:line="237" w:lineRule="auto"/>
        <w:rPr>
          <w:sz w:val="20"/>
          <w:szCs w:val="20"/>
          <w:color w:val="auto"/>
        </w:rPr>
      </w:pPr>
      <w:r>
        <w:rPr>
          <w:rFonts w:ascii="Courier New" w:cs="Courier New" w:eastAsia="Courier New" w:hAnsi="Courier New"/>
          <w:sz w:val="16"/>
          <w:szCs w:val="16"/>
          <w:color w:val="auto"/>
        </w:rPr>
        <w:t>COMPANY:</w:t>
      </w:r>
    </w:p>
    <w:p>
      <w:pPr>
        <w:spacing w:after="0" w:line="17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JOSEPH P. FLANNERY, CHAIRMAN</w:t>
      </w:r>
    </w:p>
    <w:p>
      <w:pPr>
        <w:ind w:left="4100"/>
        <w:spacing w:after="0" w:line="237" w:lineRule="auto"/>
        <w:rPr>
          <w:sz w:val="20"/>
          <w:szCs w:val="20"/>
          <w:color w:val="auto"/>
        </w:rPr>
      </w:pPr>
      <w:r>
        <w:rPr>
          <w:rFonts w:ascii="Courier New" w:cs="Courier New" w:eastAsia="Courier New" w:hAnsi="Courier New"/>
          <w:sz w:val="16"/>
          <w:szCs w:val="16"/>
          <w:color w:val="auto"/>
        </w:rPr>
        <w:t>ALBERT E. HARRIS</w:t>
      </w:r>
    </w:p>
    <w:p>
      <w:pPr>
        <w:ind w:left="4100"/>
        <w:spacing w:after="0" w:line="237" w:lineRule="auto"/>
        <w:rPr>
          <w:sz w:val="20"/>
          <w:szCs w:val="20"/>
          <w:color w:val="auto"/>
        </w:rPr>
      </w:pPr>
      <w:r>
        <w:rPr>
          <w:rFonts w:ascii="Courier New" w:cs="Courier New" w:eastAsia="Courier New" w:hAnsi="Courier New"/>
          <w:sz w:val="16"/>
          <w:szCs w:val="16"/>
          <w:color w:val="auto"/>
        </w:rPr>
        <w:t>JOHN M. SULLIVAN</w:t>
      </w:r>
    </w:p>
    <w:p>
      <w:pPr>
        <w:ind w:left="4100"/>
        <w:spacing w:after="0" w:line="237" w:lineRule="auto"/>
        <w:rPr>
          <w:sz w:val="20"/>
          <w:szCs w:val="20"/>
          <w:color w:val="auto"/>
        </w:rPr>
      </w:pPr>
      <w:r>
        <w:rPr>
          <w:rFonts w:ascii="Courier New" w:cs="Courier New" w:eastAsia="Courier New" w:hAnsi="Courier New"/>
          <w:sz w:val="16"/>
          <w:szCs w:val="16"/>
          <w:color w:val="auto"/>
        </w:rPr>
        <w:t>JOHN WALKER, PH.D.</w:t>
      </w:r>
    </w:p>
    <w:p>
      <w:pPr>
        <w:sectPr>
          <w:pgSz w:w="11900" w:h="16838" w:orient="portrait"/>
          <w:cols w:equalWidth="0" w:num="1">
            <w:col w:w="10139"/>
          </w:cols>
          <w:pgMar w:left="320" w:top="291" w:right="1440" w:bottom="1440" w:gutter="0" w:footer="0" w:header="0"/>
        </w:sectPr>
      </w:pP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139"/>
          </w:cols>
          <w:pgMar w:left="320" w:top="291" w:right="1440" w:bottom="1440" w:gutter="0" w:footer="0" w:header="0"/>
          <w:type w:val="continuous"/>
        </w:sectPr>
      </w:pPr>
    </w:p>
    <w:bookmarkStart w:id="21" w:name="page22"/>
    <w:bookmarkEnd w:id="21"/>
    <w:p>
      <w:pPr>
        <w:ind w:left="285"/>
        <w:spacing w:after="0"/>
        <w:rPr>
          <w:sz w:val="20"/>
          <w:szCs w:val="20"/>
          <w:color w:val="auto"/>
        </w:rPr>
      </w:pPr>
      <w:r>
        <w:rPr>
          <w:rFonts w:ascii="Courier New" w:cs="Courier New" w:eastAsia="Courier New" w:hAnsi="Courier New"/>
          <w:sz w:val="16"/>
          <w:szCs w:val="16"/>
          <w:color w:val="auto"/>
        </w:rPr>
        <w:t>22</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PERFORMANCE GRAPH</w:t>
      </w:r>
    </w:p>
    <w:p>
      <w:pPr>
        <w:spacing w:after="0" w:line="183" w:lineRule="exact"/>
        <w:rPr>
          <w:sz w:val="20"/>
          <w:szCs w:val="20"/>
          <w:color w:val="auto"/>
        </w:rPr>
      </w:pPr>
    </w:p>
    <w:p>
      <w:pPr>
        <w:ind w:left="5" w:right="2160" w:firstLine="466"/>
        <w:spacing w:after="0" w:line="270" w:lineRule="auto"/>
        <w:rPr>
          <w:sz w:val="20"/>
          <w:szCs w:val="20"/>
          <w:color w:val="auto"/>
        </w:rPr>
      </w:pPr>
      <w:r>
        <w:rPr>
          <w:rFonts w:ascii="Courier New" w:cs="Courier New" w:eastAsia="Courier New" w:hAnsi="Courier New"/>
          <w:sz w:val="14"/>
          <w:szCs w:val="14"/>
          <w:color w:val="auto"/>
        </w:rPr>
        <w:t>The following line graph compares the yearly percentage change in the Company's cumulative total shareholder return (as measured by dividing (i) the sum of (A) the cumulative amount of dividends for the measurement period, assuming dividend reinvestment, and (B) the difference between the price of the Company's Common Shares at the end and the beginning of the measurement period; by (ii) the price of the Company's Common Shares at the beginning of the measurement period) against the cumulative return of (a) Standard &amp; Poor's 500 Consumer Household Non-Durable Products Index ("S&amp;P 500 Household Index"); and</w:t>
      </w:r>
    </w:p>
    <w:p>
      <w:pPr>
        <w:spacing w:after="0" w:line="5" w:lineRule="exact"/>
        <w:rPr>
          <w:sz w:val="20"/>
          <w:szCs w:val="20"/>
          <w:color w:val="auto"/>
        </w:rPr>
      </w:pPr>
    </w:p>
    <w:p>
      <w:pPr>
        <w:ind w:left="5" w:right="2260" w:hanging="5"/>
        <w:spacing w:after="0" w:line="235" w:lineRule="auto"/>
        <w:tabs>
          <w:tab w:leader="none" w:pos="377"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Russell 2000 ("the Russell 2000"); each for the period from September 30, 1994 to September 30, 1999. The comparison assumes $100 was invested on September 30, 1994 in the Company's Common Shares and in each of the foregoing indices and assumes reinvestment of dividends.</w:t>
      </w:r>
    </w:p>
    <w:p>
      <w:pPr>
        <w:spacing w:after="0" w:line="2" w:lineRule="exact"/>
        <w:rPr>
          <w:rFonts w:ascii="Courier New" w:cs="Courier New" w:eastAsia="Courier New" w:hAnsi="Courier New"/>
          <w:sz w:val="16"/>
          <w:szCs w:val="16"/>
          <w:color w:val="auto"/>
        </w:rPr>
      </w:pPr>
    </w:p>
    <w:p>
      <w:pPr>
        <w:ind w:left="5"/>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[TOTAL SHAREHOLDER RETURNS GRAPH]</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560" w:type="dxa"/>
            <w:vAlign w:val="bottom"/>
          </w:tcPr>
          <w:p>
            <w:pPr>
              <w:spacing w:after="0"/>
              <w:rPr>
                <w:sz w:val="15"/>
                <w:szCs w:val="15"/>
                <w:color w:val="auto"/>
              </w:rPr>
            </w:pPr>
          </w:p>
        </w:tc>
        <w:tc>
          <w:tcPr>
            <w:tcW w:w="42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THE SCOTTS COMPANY</w:t>
            </w:r>
          </w:p>
        </w:tc>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S&amp;P 500 HOUSEHOLD INDEX</w:t>
            </w:r>
          </w:p>
        </w:tc>
      </w:tr>
      <w:tr>
        <w:trPr>
          <w:trHeight w:val="179"/>
        </w:trPr>
        <w:tc>
          <w:tcPr>
            <w:tcW w:w="2560" w:type="dxa"/>
            <w:vAlign w:val="bottom"/>
          </w:tcPr>
          <w:p>
            <w:pPr>
              <w:spacing w:after="0"/>
              <w:rPr>
                <w:sz w:val="15"/>
                <w:szCs w:val="15"/>
                <w:color w:val="auto"/>
              </w:rPr>
            </w:pPr>
          </w:p>
        </w:tc>
        <w:tc>
          <w:tcPr>
            <w:tcW w:w="42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2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560" w:type="dxa"/>
            <w:vAlign w:val="bottom"/>
          </w:tcPr>
          <w:p>
            <w:pPr>
              <w:jc w:val="right"/>
              <w:ind w:right="2122"/>
              <w:spacing w:after="0"/>
              <w:rPr>
                <w:sz w:val="20"/>
                <w:szCs w:val="20"/>
                <w:color w:val="auto"/>
              </w:rPr>
            </w:pPr>
            <w:r>
              <w:rPr>
                <w:rFonts w:ascii="Courier New" w:cs="Courier New" w:eastAsia="Courier New" w:hAnsi="Courier New"/>
                <w:sz w:val="16"/>
                <w:szCs w:val="16"/>
                <w:color w:val="auto"/>
                <w:w w:val="88"/>
              </w:rPr>
              <w:t>9/94</w:t>
            </w:r>
          </w:p>
        </w:tc>
        <w:tc>
          <w:tcPr>
            <w:tcW w:w="424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$100.00</w:t>
            </w:r>
          </w:p>
        </w:tc>
        <w:tc>
          <w:tcPr>
            <w:tcW w:w="2500" w:type="dxa"/>
            <w:vAlign w:val="bottom"/>
          </w:tcPr>
          <w:p>
            <w:pPr>
              <w:jc w:val="right"/>
              <w:ind w:right="842"/>
              <w:spacing w:after="0"/>
              <w:rPr>
                <w:sz w:val="20"/>
                <w:szCs w:val="20"/>
                <w:color w:val="auto"/>
              </w:rPr>
            </w:pPr>
            <w:r>
              <w:rPr>
                <w:rFonts w:ascii="Courier New" w:cs="Courier New" w:eastAsia="Courier New" w:hAnsi="Courier New"/>
                <w:sz w:val="16"/>
                <w:szCs w:val="16"/>
                <w:color w:val="auto"/>
              </w:rPr>
              <w:t>$100.00</w:t>
            </w:r>
          </w:p>
        </w:tc>
      </w:tr>
      <w:tr>
        <w:trPr>
          <w:trHeight w:val="179"/>
        </w:trPr>
        <w:tc>
          <w:tcPr>
            <w:tcW w:w="2560" w:type="dxa"/>
            <w:vAlign w:val="bottom"/>
          </w:tcPr>
          <w:p>
            <w:pPr>
              <w:jc w:val="right"/>
              <w:ind w:right="2122"/>
              <w:spacing w:after="0" w:line="179" w:lineRule="exact"/>
              <w:rPr>
                <w:sz w:val="20"/>
                <w:szCs w:val="20"/>
                <w:color w:val="auto"/>
              </w:rPr>
            </w:pPr>
            <w:r>
              <w:rPr>
                <w:rFonts w:ascii="Courier New" w:cs="Courier New" w:eastAsia="Courier New" w:hAnsi="Courier New"/>
                <w:sz w:val="16"/>
                <w:szCs w:val="16"/>
                <w:color w:val="auto"/>
                <w:w w:val="88"/>
              </w:rPr>
              <w:t>9/95</w:t>
            </w:r>
          </w:p>
        </w:tc>
        <w:tc>
          <w:tcPr>
            <w:tcW w:w="4240" w:type="dxa"/>
            <w:vAlign w:val="bottom"/>
          </w:tcPr>
          <w:p>
            <w:pPr>
              <w:jc w:val="right"/>
              <w:ind w:right="962"/>
              <w:spacing w:after="0" w:line="179" w:lineRule="exact"/>
              <w:rPr>
                <w:sz w:val="20"/>
                <w:szCs w:val="20"/>
                <w:color w:val="auto"/>
              </w:rPr>
            </w:pPr>
            <w:r>
              <w:rPr>
                <w:rFonts w:ascii="Courier New" w:cs="Courier New" w:eastAsia="Courier New" w:hAnsi="Courier New"/>
                <w:sz w:val="16"/>
                <w:szCs w:val="16"/>
                <w:color w:val="auto"/>
              </w:rPr>
              <w:t>$142.74</w:t>
            </w:r>
          </w:p>
        </w:tc>
        <w:tc>
          <w:tcPr>
            <w:tcW w:w="250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$131.39</w:t>
            </w:r>
          </w:p>
        </w:tc>
      </w:tr>
      <w:tr>
        <w:trPr>
          <w:trHeight w:val="179"/>
        </w:trPr>
        <w:tc>
          <w:tcPr>
            <w:tcW w:w="2560" w:type="dxa"/>
            <w:vAlign w:val="bottom"/>
          </w:tcPr>
          <w:p>
            <w:pPr>
              <w:jc w:val="right"/>
              <w:ind w:right="2122"/>
              <w:spacing w:after="0" w:line="179" w:lineRule="exact"/>
              <w:rPr>
                <w:sz w:val="20"/>
                <w:szCs w:val="20"/>
                <w:color w:val="auto"/>
              </w:rPr>
            </w:pPr>
            <w:r>
              <w:rPr>
                <w:rFonts w:ascii="Courier New" w:cs="Courier New" w:eastAsia="Courier New" w:hAnsi="Courier New"/>
                <w:sz w:val="16"/>
                <w:szCs w:val="16"/>
                <w:color w:val="auto"/>
                <w:w w:val="88"/>
              </w:rPr>
              <w:t>9/96</w:t>
            </w:r>
          </w:p>
        </w:tc>
        <w:tc>
          <w:tcPr>
            <w:tcW w:w="4240" w:type="dxa"/>
            <w:vAlign w:val="bottom"/>
          </w:tcPr>
          <w:p>
            <w:pPr>
              <w:jc w:val="right"/>
              <w:ind w:right="962"/>
              <w:spacing w:after="0" w:line="179" w:lineRule="exact"/>
              <w:rPr>
                <w:sz w:val="20"/>
                <w:szCs w:val="20"/>
                <w:color w:val="auto"/>
              </w:rPr>
            </w:pPr>
            <w:r>
              <w:rPr>
                <w:rFonts w:ascii="Courier New" w:cs="Courier New" w:eastAsia="Courier New" w:hAnsi="Courier New"/>
                <w:sz w:val="16"/>
                <w:szCs w:val="16"/>
                <w:color w:val="auto"/>
              </w:rPr>
              <w:t>$124.19</w:t>
            </w:r>
          </w:p>
        </w:tc>
        <w:tc>
          <w:tcPr>
            <w:tcW w:w="250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$173.76</w:t>
            </w:r>
          </w:p>
        </w:tc>
      </w:tr>
      <w:tr>
        <w:trPr>
          <w:trHeight w:val="179"/>
        </w:trPr>
        <w:tc>
          <w:tcPr>
            <w:tcW w:w="2560" w:type="dxa"/>
            <w:vAlign w:val="bottom"/>
          </w:tcPr>
          <w:p>
            <w:pPr>
              <w:jc w:val="right"/>
              <w:ind w:right="2122"/>
              <w:spacing w:after="0" w:line="179" w:lineRule="exact"/>
              <w:rPr>
                <w:sz w:val="20"/>
                <w:szCs w:val="20"/>
                <w:color w:val="auto"/>
              </w:rPr>
            </w:pPr>
            <w:r>
              <w:rPr>
                <w:rFonts w:ascii="Courier New" w:cs="Courier New" w:eastAsia="Courier New" w:hAnsi="Courier New"/>
                <w:sz w:val="16"/>
                <w:szCs w:val="16"/>
                <w:color w:val="auto"/>
                <w:w w:val="88"/>
              </w:rPr>
              <w:t>9/97</w:t>
            </w:r>
          </w:p>
        </w:tc>
        <w:tc>
          <w:tcPr>
            <w:tcW w:w="4240" w:type="dxa"/>
            <w:vAlign w:val="bottom"/>
          </w:tcPr>
          <w:p>
            <w:pPr>
              <w:jc w:val="right"/>
              <w:ind w:right="962"/>
              <w:spacing w:after="0" w:line="179" w:lineRule="exact"/>
              <w:rPr>
                <w:sz w:val="20"/>
                <w:szCs w:val="20"/>
                <w:color w:val="auto"/>
              </w:rPr>
            </w:pPr>
            <w:r>
              <w:rPr>
                <w:rFonts w:ascii="Courier New" w:cs="Courier New" w:eastAsia="Courier New" w:hAnsi="Courier New"/>
                <w:sz w:val="16"/>
                <w:szCs w:val="16"/>
                <w:color w:val="auto"/>
              </w:rPr>
              <w:t>$169.36</w:t>
            </w:r>
          </w:p>
        </w:tc>
        <w:tc>
          <w:tcPr>
            <w:tcW w:w="250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$243.55</w:t>
            </w:r>
          </w:p>
        </w:tc>
      </w:tr>
      <w:tr>
        <w:trPr>
          <w:trHeight w:val="179"/>
        </w:trPr>
        <w:tc>
          <w:tcPr>
            <w:tcW w:w="2560" w:type="dxa"/>
            <w:vAlign w:val="bottom"/>
          </w:tcPr>
          <w:p>
            <w:pPr>
              <w:jc w:val="right"/>
              <w:ind w:right="2122"/>
              <w:spacing w:after="0" w:line="179" w:lineRule="exact"/>
              <w:rPr>
                <w:sz w:val="20"/>
                <w:szCs w:val="20"/>
                <w:color w:val="auto"/>
              </w:rPr>
            </w:pPr>
            <w:r>
              <w:rPr>
                <w:rFonts w:ascii="Courier New" w:cs="Courier New" w:eastAsia="Courier New" w:hAnsi="Courier New"/>
                <w:sz w:val="16"/>
                <w:szCs w:val="16"/>
                <w:color w:val="auto"/>
                <w:w w:val="88"/>
              </w:rPr>
              <w:t>9/98</w:t>
            </w:r>
          </w:p>
        </w:tc>
        <w:tc>
          <w:tcPr>
            <w:tcW w:w="4240" w:type="dxa"/>
            <w:vAlign w:val="bottom"/>
          </w:tcPr>
          <w:p>
            <w:pPr>
              <w:jc w:val="right"/>
              <w:ind w:right="962"/>
              <w:spacing w:after="0" w:line="179" w:lineRule="exact"/>
              <w:rPr>
                <w:sz w:val="20"/>
                <w:szCs w:val="20"/>
                <w:color w:val="auto"/>
              </w:rPr>
            </w:pPr>
            <w:r>
              <w:rPr>
                <w:rFonts w:ascii="Courier New" w:cs="Courier New" w:eastAsia="Courier New" w:hAnsi="Courier New"/>
                <w:sz w:val="16"/>
                <w:szCs w:val="16"/>
                <w:color w:val="auto"/>
              </w:rPr>
              <w:t>$197.58</w:t>
            </w:r>
          </w:p>
        </w:tc>
        <w:tc>
          <w:tcPr>
            <w:tcW w:w="250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$240.64</w:t>
            </w:r>
          </w:p>
        </w:tc>
      </w:tr>
      <w:tr>
        <w:trPr>
          <w:trHeight w:val="179"/>
        </w:trPr>
        <w:tc>
          <w:tcPr>
            <w:tcW w:w="2560" w:type="dxa"/>
            <w:vAlign w:val="bottom"/>
          </w:tcPr>
          <w:p>
            <w:pPr>
              <w:jc w:val="right"/>
              <w:ind w:right="2122"/>
              <w:spacing w:after="0" w:line="179" w:lineRule="exact"/>
              <w:rPr>
                <w:sz w:val="20"/>
                <w:szCs w:val="20"/>
                <w:color w:val="auto"/>
              </w:rPr>
            </w:pPr>
            <w:r>
              <w:rPr>
                <w:rFonts w:ascii="Courier New" w:cs="Courier New" w:eastAsia="Courier New" w:hAnsi="Courier New"/>
                <w:sz w:val="16"/>
                <w:szCs w:val="16"/>
                <w:color w:val="auto"/>
                <w:w w:val="88"/>
              </w:rPr>
              <w:t>9/99</w:t>
            </w:r>
          </w:p>
        </w:tc>
        <w:tc>
          <w:tcPr>
            <w:tcW w:w="4240" w:type="dxa"/>
            <w:vAlign w:val="bottom"/>
          </w:tcPr>
          <w:p>
            <w:pPr>
              <w:jc w:val="right"/>
              <w:ind w:right="962"/>
              <w:spacing w:after="0" w:line="179" w:lineRule="exact"/>
              <w:rPr>
                <w:sz w:val="20"/>
                <w:szCs w:val="20"/>
                <w:color w:val="auto"/>
              </w:rPr>
            </w:pPr>
            <w:r>
              <w:rPr>
                <w:rFonts w:ascii="Courier New" w:cs="Courier New" w:eastAsia="Courier New" w:hAnsi="Courier New"/>
                <w:sz w:val="16"/>
                <w:szCs w:val="16"/>
                <w:color w:val="auto"/>
              </w:rPr>
              <w:t>$223.39</w:t>
            </w:r>
          </w:p>
        </w:tc>
        <w:tc>
          <w:tcPr>
            <w:tcW w:w="250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$309.67</w:t>
            </w:r>
          </w:p>
        </w:tc>
      </w:tr>
    </w:tbl>
    <w:p>
      <w:pPr>
        <w:spacing w:after="0" w:line="356" w:lineRule="exact"/>
        <w:rPr>
          <w:sz w:val="20"/>
          <w:szCs w:val="20"/>
          <w:color w:val="auto"/>
        </w:rPr>
      </w:pPr>
    </w:p>
    <w:p>
      <w:pPr>
        <w:jc w:val="center"/>
        <w:ind w:right="2075"/>
        <w:spacing w:after="0"/>
        <w:rPr>
          <w:sz w:val="20"/>
          <w:szCs w:val="20"/>
          <w:color w:val="auto"/>
        </w:rPr>
      </w:pPr>
      <w:r>
        <w:rPr>
          <w:rFonts w:ascii="Courier New" w:cs="Courier New" w:eastAsia="Courier New" w:hAnsi="Courier New"/>
          <w:sz w:val="16"/>
          <w:szCs w:val="16"/>
          <w:color w:val="auto"/>
        </w:rPr>
        <w:t>CERTAIN RELATIONSHIPS AND RELATED TRANSACTIONS</w:t>
      </w:r>
    </w:p>
    <w:p>
      <w:pPr>
        <w:spacing w:after="0" w:line="183" w:lineRule="exact"/>
        <w:rPr>
          <w:sz w:val="20"/>
          <w:szCs w:val="20"/>
          <w:color w:val="auto"/>
        </w:rPr>
      </w:pPr>
    </w:p>
    <w:p>
      <w:pPr>
        <w:ind w:left="5" w:right="2080" w:firstLine="466"/>
        <w:spacing w:after="0" w:line="274" w:lineRule="auto"/>
        <w:rPr>
          <w:sz w:val="20"/>
          <w:szCs w:val="20"/>
          <w:color w:val="auto"/>
        </w:rPr>
      </w:pPr>
      <w:r>
        <w:rPr>
          <w:rFonts w:ascii="Courier New" w:cs="Courier New" w:eastAsia="Courier New" w:hAnsi="Courier New"/>
          <w:sz w:val="14"/>
          <w:szCs w:val="14"/>
          <w:color w:val="auto"/>
        </w:rPr>
        <w:t>Mr. James Hagedorn is the President and Treasurer and owns 83% of the shares of Hagedorn Aviation, a company which owns the aircraft used for certain business travel by James Hagedorn and, on occasion, the senior management of the Company. Horace Hagedorn is the Vice President of Hagedorn Aviation and owns the remaining 17% equity interest. The Company pays charges by Hagedorn Aviation for flight time at the rate of $150 per hour of flight. The charges cover the cost to operate and maintain the aircraft. During the 1999 fiscal year, the Company paid a total of approximately $25,000 to Hagedorn Aviation for such service, which constituted more than five percent of Hagedorn Aviation's consolidated gross revenues for its last full fiscal year.</w:t>
      </w:r>
    </w:p>
    <w:p>
      <w:pPr>
        <w:spacing w:after="0" w:line="340" w:lineRule="exact"/>
        <w:rPr>
          <w:sz w:val="20"/>
          <w:szCs w:val="20"/>
          <w:color w:val="auto"/>
        </w:rPr>
      </w:pPr>
    </w:p>
    <w:p>
      <w:pPr>
        <w:ind w:left="5" w:right="2160" w:firstLine="466"/>
        <w:spacing w:after="0" w:line="274" w:lineRule="auto"/>
        <w:rPr>
          <w:sz w:val="20"/>
          <w:szCs w:val="20"/>
          <w:color w:val="auto"/>
        </w:rPr>
      </w:pPr>
      <w:r>
        <w:rPr>
          <w:rFonts w:ascii="Courier New" w:cs="Courier New" w:eastAsia="Courier New" w:hAnsi="Courier New"/>
          <w:sz w:val="14"/>
          <w:szCs w:val="14"/>
          <w:color w:val="auto"/>
        </w:rPr>
        <w:t>Under the terms of the First Amendment, in connection with the conversion of the outstanding shares of Convertible Preferred Stock, the Company paid the Hagedorn Partnership, Horace Hagedorn and John Kenlon, the holders of the outstanding shares of Convertible Preferred Stock, an aggregate amount of approximately $6.4 million, representing the aggregate amount of dividends that would have otherwise been payable on such shares of Convertible Preferred Stock from October 1, 1999 through May 30, 2000. See "BENEFICIAL OWNERSHIP OF SECURITIES OF THE COMPANY -- The Merger Agreement and the First Amendment."</w:t>
      </w:r>
    </w:p>
    <w:p>
      <w:pPr>
        <w:spacing w:after="0" w:line="15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RUSSELL 2000</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$100.00</w:t>
      </w:r>
    </w:p>
    <w:p>
      <w:pPr>
        <w:ind w:left="280"/>
        <w:spacing w:after="0" w:line="237" w:lineRule="auto"/>
        <w:rPr>
          <w:sz w:val="20"/>
          <w:szCs w:val="20"/>
          <w:color w:val="auto"/>
        </w:rPr>
      </w:pPr>
      <w:r>
        <w:rPr>
          <w:rFonts w:ascii="Courier New" w:cs="Courier New" w:eastAsia="Courier New" w:hAnsi="Courier New"/>
          <w:sz w:val="16"/>
          <w:szCs w:val="16"/>
          <w:color w:val="auto"/>
        </w:rPr>
        <w:t>$123.37</w:t>
      </w:r>
    </w:p>
    <w:p>
      <w:pPr>
        <w:ind w:left="280"/>
        <w:spacing w:after="0" w:line="237" w:lineRule="auto"/>
        <w:rPr>
          <w:sz w:val="20"/>
          <w:szCs w:val="20"/>
          <w:color w:val="auto"/>
        </w:rPr>
      </w:pPr>
      <w:r>
        <w:rPr>
          <w:rFonts w:ascii="Courier New" w:cs="Courier New" w:eastAsia="Courier New" w:hAnsi="Courier New"/>
          <w:sz w:val="16"/>
          <w:szCs w:val="16"/>
          <w:color w:val="auto"/>
        </w:rPr>
        <w:t>$139.57</w:t>
      </w:r>
    </w:p>
    <w:p>
      <w:pPr>
        <w:ind w:left="280"/>
        <w:spacing w:after="0" w:line="237" w:lineRule="auto"/>
        <w:rPr>
          <w:sz w:val="20"/>
          <w:szCs w:val="20"/>
          <w:color w:val="auto"/>
        </w:rPr>
      </w:pPr>
      <w:r>
        <w:rPr>
          <w:rFonts w:ascii="Courier New" w:cs="Courier New" w:eastAsia="Courier New" w:hAnsi="Courier New"/>
          <w:sz w:val="16"/>
          <w:szCs w:val="16"/>
          <w:color w:val="auto"/>
        </w:rPr>
        <w:t>$185.89</w:t>
      </w:r>
    </w:p>
    <w:p>
      <w:pPr>
        <w:ind w:left="280"/>
        <w:spacing w:after="0" w:line="237" w:lineRule="auto"/>
        <w:rPr>
          <w:sz w:val="20"/>
          <w:szCs w:val="20"/>
          <w:color w:val="auto"/>
        </w:rPr>
      </w:pPr>
      <w:r>
        <w:rPr>
          <w:rFonts w:ascii="Courier New" w:cs="Courier New" w:eastAsia="Courier New" w:hAnsi="Courier New"/>
          <w:sz w:val="16"/>
          <w:szCs w:val="16"/>
          <w:color w:val="auto"/>
        </w:rPr>
        <w:t>$150.53</w:t>
      </w:r>
    </w:p>
    <w:p>
      <w:pPr>
        <w:ind w:left="280"/>
        <w:spacing w:after="0" w:line="237" w:lineRule="auto"/>
        <w:rPr>
          <w:sz w:val="20"/>
          <w:szCs w:val="20"/>
          <w:color w:val="auto"/>
        </w:rPr>
      </w:pPr>
      <w:r>
        <w:rPr>
          <w:rFonts w:ascii="Courier New" w:cs="Courier New" w:eastAsia="Courier New" w:hAnsi="Courier New"/>
          <w:sz w:val="16"/>
          <w:szCs w:val="16"/>
          <w:color w:val="auto"/>
        </w:rPr>
        <w:t>$176.95</w:t>
      </w:r>
    </w:p>
    <w:p>
      <w:pPr>
        <w:sectPr>
          <w:pgSz w:w="11900" w:h="16838" w:orient="portrait"/>
          <w:cols w:equalWidth="0" w:num="2">
            <w:col w:w="9525" w:space="720"/>
            <w:col w:w="1100"/>
          </w:cols>
          <w:pgMar w:left="315" w:top="291" w:right="239"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23</w:t>
      </w:r>
    </w:p>
    <w:p>
      <w:pPr>
        <w:spacing w:after="0" w:line="183" w:lineRule="exact"/>
        <w:rPr>
          <w:sz w:val="20"/>
          <w:szCs w:val="20"/>
          <w:color w:val="auto"/>
        </w:rPr>
      </w:pPr>
    </w:p>
    <w:p>
      <w:pPr>
        <w:ind w:right="2779" w:firstLine="466"/>
        <w:spacing w:after="0" w:line="236" w:lineRule="auto"/>
        <w:rPr>
          <w:sz w:val="20"/>
          <w:szCs w:val="20"/>
          <w:color w:val="auto"/>
        </w:rPr>
      </w:pPr>
      <w:r>
        <w:rPr>
          <w:rFonts w:ascii="Courier New" w:cs="Courier New" w:eastAsia="Courier New" w:hAnsi="Courier New"/>
          <w:sz w:val="16"/>
          <w:szCs w:val="16"/>
          <w:color w:val="auto"/>
        </w:rPr>
        <w:t>Horace Hagedorn, a director of the Company, served as a consultant to the Company, from April 1, 1997 through May 15, 1999. As a consultant, he assisted the Company with its general business needs in the areas of advertising, marketing and strategic planning. Mr. Hagedorn was paid $60,000 per quarter for such consulting services, beginning with the quarter ended June 30, 1997. The Company paid Mr. Hagedorn $150,000 for his consulting services during the 1999 fiscal year.</w:t>
      </w:r>
    </w:p>
    <w:p>
      <w:pPr>
        <w:spacing w:after="0" w:line="185" w:lineRule="exact"/>
        <w:rPr>
          <w:sz w:val="20"/>
          <w:szCs w:val="20"/>
          <w:color w:val="auto"/>
        </w:rPr>
      </w:pPr>
    </w:p>
    <w:p>
      <w:pPr>
        <w:ind w:right="2699" w:firstLine="466"/>
        <w:spacing w:after="0" w:line="272" w:lineRule="auto"/>
        <w:rPr>
          <w:sz w:val="20"/>
          <w:szCs w:val="20"/>
          <w:color w:val="auto"/>
        </w:rPr>
      </w:pPr>
      <w:r>
        <w:rPr>
          <w:rFonts w:ascii="Courier New" w:cs="Courier New" w:eastAsia="Courier New" w:hAnsi="Courier New"/>
          <w:sz w:val="14"/>
          <w:szCs w:val="14"/>
          <w:color w:val="auto"/>
        </w:rPr>
        <w:t>Paul Hagedorn, a brother of James Hagedorn and a general partner of the Hagedorn Partnership, is employed as a Graphics Design Specialist under an employment agreement dated May 19, 1995 with Scotts Miracle-Gro (as successor to Miracle-Gro Products). The agreement renews for an annual term each May, unless terminated by either party 90 days prior to May 19th of the then current year. Under the agreement, in the 1999 fiscal year, Mr. Hagedorn received a salary and bonus of $129,826. He also received employment benefits consistent with those offered to other associates of the Company. If the agreement is terminated by Scotts Miracle-Gro without "cause" (as defined) or by Mr. Hagedorn for "good reason" (also as defined), Mr. Hagedorn is entitled to salary payments and health insurance benefits for the remainder of the term of the agreement, beginning on the "date of termination" (also as defined). In the 1999 fiscal year, the Company paid aggregate rent and utility expenses of $9,306 for an office in Atlanta, Georgia for Mr. Hagedorn and reimbursed Mr. Hagedorn $36,722 for his other office and business expenses.</w:t>
      </w:r>
    </w:p>
    <w:p>
      <w:pPr>
        <w:spacing w:after="0" w:line="343"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INDEPENDENT AUDITORS</w:t>
      </w:r>
    </w:p>
    <w:p>
      <w:pPr>
        <w:spacing w:after="0" w:line="183" w:lineRule="exact"/>
        <w:rPr>
          <w:sz w:val="20"/>
          <w:szCs w:val="20"/>
          <w:color w:val="auto"/>
        </w:rPr>
      </w:pPr>
    </w:p>
    <w:p>
      <w:pPr>
        <w:ind w:right="2779" w:firstLine="466"/>
        <w:spacing w:after="0" w:line="235" w:lineRule="auto"/>
        <w:rPr>
          <w:sz w:val="20"/>
          <w:szCs w:val="20"/>
          <w:color w:val="auto"/>
        </w:rPr>
      </w:pPr>
      <w:r>
        <w:rPr>
          <w:rFonts w:ascii="Courier New" w:cs="Courier New" w:eastAsia="Courier New" w:hAnsi="Courier New"/>
          <w:sz w:val="16"/>
          <w:szCs w:val="16"/>
          <w:color w:val="auto"/>
        </w:rPr>
        <w:t>The Board of Directors of the Company has appointed PricewaterhouseCoopers LLP as the Company's independent auditors for the 2000 fiscal year. PricewaterhouseCoopers LLP, a certified public accounting firm, has served as the Company's independent auditors since 1986.</w:t>
      </w:r>
    </w:p>
    <w:p>
      <w:pPr>
        <w:spacing w:after="0" w:line="185" w:lineRule="exact"/>
        <w:rPr>
          <w:sz w:val="20"/>
          <w:szCs w:val="20"/>
          <w:color w:val="auto"/>
        </w:rPr>
      </w:pPr>
    </w:p>
    <w:p>
      <w:pPr>
        <w:ind w:right="2699" w:firstLine="466"/>
        <w:spacing w:after="0" w:line="235" w:lineRule="auto"/>
        <w:rPr>
          <w:sz w:val="20"/>
          <w:szCs w:val="20"/>
          <w:color w:val="auto"/>
        </w:rPr>
      </w:pPr>
      <w:r>
        <w:rPr>
          <w:rFonts w:ascii="Courier New" w:cs="Courier New" w:eastAsia="Courier New" w:hAnsi="Courier New"/>
          <w:sz w:val="16"/>
          <w:szCs w:val="16"/>
          <w:color w:val="auto"/>
        </w:rPr>
        <w:t>A representative of PricewaterhouseCoopers LLP is expected to be present at the Annual Meeting to respond to appropriate questions and to make such statements as he or she may desire.</w:t>
      </w:r>
    </w:p>
    <w:p>
      <w:pPr>
        <w:spacing w:after="0" w:line="178"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SHAREHOLDER PROPOSALS FOR 2001 ANNUAL MEETING</w:t>
      </w:r>
    </w:p>
    <w:p>
      <w:pPr>
        <w:spacing w:after="0" w:line="183" w:lineRule="exact"/>
        <w:rPr>
          <w:sz w:val="20"/>
          <w:szCs w:val="20"/>
          <w:color w:val="auto"/>
        </w:rPr>
      </w:pPr>
    </w:p>
    <w:p>
      <w:pPr>
        <w:ind w:right="2699" w:firstLine="466"/>
        <w:spacing w:after="0" w:line="236" w:lineRule="auto"/>
        <w:rPr>
          <w:sz w:val="20"/>
          <w:szCs w:val="20"/>
          <w:color w:val="auto"/>
        </w:rPr>
      </w:pPr>
      <w:r>
        <w:rPr>
          <w:rFonts w:ascii="Courier New" w:cs="Courier New" w:eastAsia="Courier New" w:hAnsi="Courier New"/>
          <w:sz w:val="16"/>
          <w:szCs w:val="16"/>
          <w:color w:val="auto"/>
        </w:rPr>
        <w:t>Proposals by shareholders intended to be presented at the 2001 Annual Meeting of Shareholders must be received by the Secretary of the Company no later than September 16, 2000, to be included in the Company's proxy, notice of meeting and proxy statement relating to such meeting and should be mailed to: The Scotts Company, 41 South High Street, Suite 3500, Columbus, Ohio 43215, Attention: Secretary. If a shareholder intends to present a proposal at the 2001 Annual Meeting of Shareholders, but has not sought the inclusion of such proposal in the Company's proxy, notice of meeting and proxy statement, such proposal must be received by the Secretary of the Company prior to November 30, 2000 or the Company's management proxies for the 2001 Annual Meeting will be entitled to use their discretionary voting authority should such proposal then be raised, without any discussion of the matter in the Company's proxy, notice of meeting or proxy statement.</w:t>
      </w:r>
    </w:p>
    <w:p>
      <w:pPr>
        <w:spacing w:after="0" w:line="184"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OTHER BUSINESS</w:t>
      </w:r>
    </w:p>
    <w:p>
      <w:pPr>
        <w:spacing w:after="0" w:line="183" w:lineRule="exact"/>
        <w:rPr>
          <w:sz w:val="20"/>
          <w:szCs w:val="20"/>
          <w:color w:val="auto"/>
        </w:rPr>
      </w:pPr>
    </w:p>
    <w:p>
      <w:pPr>
        <w:ind w:right="2779" w:firstLine="466"/>
        <w:spacing w:after="0" w:line="236" w:lineRule="auto"/>
        <w:rPr>
          <w:sz w:val="20"/>
          <w:szCs w:val="20"/>
          <w:color w:val="auto"/>
        </w:rPr>
      </w:pPr>
      <w:r>
        <w:rPr>
          <w:rFonts w:ascii="Courier New" w:cs="Courier New" w:eastAsia="Courier New" w:hAnsi="Courier New"/>
          <w:sz w:val="16"/>
          <w:szCs w:val="16"/>
          <w:color w:val="auto"/>
        </w:rPr>
        <w:t>The Board of Directors is aware of no other matter that will be presented for action at the Annual Meeting. If any other matter requiring a vote of the shareholders properly comes before the Annual Meeting, the persons authorized under management proxies will vote and act according to their best judgments in light of the conditions then prevailing.</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ANNUAL REPORT</w:t>
      </w:r>
    </w:p>
    <w:p>
      <w:pPr>
        <w:spacing w:after="0" w:line="183" w:lineRule="exact"/>
        <w:rPr>
          <w:sz w:val="20"/>
          <w:szCs w:val="20"/>
          <w:color w:val="auto"/>
        </w:rPr>
      </w:pPr>
    </w:p>
    <w:p>
      <w:pPr>
        <w:ind w:right="3439" w:firstLine="466"/>
        <w:spacing w:after="0" w:line="235" w:lineRule="auto"/>
        <w:rPr>
          <w:sz w:val="20"/>
          <w:szCs w:val="20"/>
          <w:color w:val="auto"/>
        </w:rPr>
      </w:pPr>
      <w:r>
        <w:rPr>
          <w:rFonts w:ascii="Courier New" w:cs="Courier New" w:eastAsia="Courier New" w:hAnsi="Courier New"/>
          <w:sz w:val="16"/>
          <w:szCs w:val="16"/>
          <w:color w:val="auto"/>
        </w:rPr>
        <w:t>The Company's 1999 Annual Report to Shareholders containing audited financial statements for the 1999 fiscal year is being mailed to all shareholders of record with this Proxy Statement.</w:t>
      </w:r>
    </w:p>
    <w:p>
      <w:pPr>
        <w:spacing w:after="0" w:line="17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Sincerely,</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 Charles M. Berger</w:t>
      </w:r>
    </w:p>
    <w:p>
      <w:pPr>
        <w:ind w:left="3900"/>
        <w:spacing w:after="0" w:line="237" w:lineRule="auto"/>
        <w:rPr>
          <w:sz w:val="20"/>
          <w:szCs w:val="20"/>
          <w:color w:val="auto"/>
        </w:rPr>
      </w:pPr>
      <w:r>
        <w:rPr>
          <w:rFonts w:ascii="Courier New" w:cs="Courier New" w:eastAsia="Courier New" w:hAnsi="Courier New"/>
          <w:sz w:val="16"/>
          <w:szCs w:val="16"/>
          <w:color w:val="auto"/>
        </w:rPr>
        <w:t>CHARLES M. BERGER</w:t>
      </w:r>
    </w:p>
    <w:p>
      <w:pPr>
        <w:ind w:left="3900"/>
        <w:spacing w:after="0" w:line="237" w:lineRule="auto"/>
        <w:rPr>
          <w:sz w:val="20"/>
          <w:szCs w:val="20"/>
          <w:color w:val="auto"/>
        </w:rPr>
      </w:pPr>
      <w:r>
        <w:rPr>
          <w:rFonts w:ascii="Courier New" w:cs="Courier New" w:eastAsia="Courier New" w:hAnsi="Courier New"/>
          <w:sz w:val="16"/>
          <w:szCs w:val="16"/>
          <w:color w:val="auto"/>
        </w:rPr>
        <w:t>Chairman, President and Chief</w:t>
      </w:r>
    </w:p>
    <w:p>
      <w:pPr>
        <w:ind w:left="3900"/>
        <w:spacing w:after="0" w:line="237" w:lineRule="auto"/>
        <w:rPr>
          <w:sz w:val="20"/>
          <w:szCs w:val="20"/>
          <w:color w:val="auto"/>
        </w:rPr>
      </w:pPr>
      <w:r>
        <w:rPr>
          <w:rFonts w:ascii="Courier New" w:cs="Courier New" w:eastAsia="Courier New" w:hAnsi="Courier New"/>
          <w:sz w:val="16"/>
          <w:szCs w:val="16"/>
          <w:color w:val="auto"/>
        </w:rPr>
        <w:t>Executive Officer</w:t>
      </w:r>
    </w:p>
    <w:p>
      <w:pPr>
        <w:sectPr>
          <w:pgSz w:w="11900" w:h="16838" w:orient="portrait"/>
          <w:cols w:equalWidth="0" w:num="1">
            <w:col w:w="10139"/>
          </w:cols>
          <w:pgMar w:left="320" w:top="291" w:right="1440" w:bottom="1440" w:gutter="0" w:footer="0" w:header="0"/>
        </w:sectPr>
      </w:pP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139"/>
          </w:cols>
          <w:pgMar w:left="320" w:top="291" w:right="1440" w:bottom="1440" w:gutter="0" w:footer="0" w:header="0"/>
          <w:type w:val="continuous"/>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24</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THE SCOTTS COMPANY</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2000 ANNUAL MEETING OF SHAREHOLDERS</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The Westin Great Southern Hotel</w:t>
      </w:r>
    </w:p>
    <w:p>
      <w:pPr>
        <w:ind w:left="2700"/>
        <w:spacing w:after="0" w:line="237" w:lineRule="auto"/>
        <w:rPr>
          <w:sz w:val="20"/>
          <w:szCs w:val="20"/>
          <w:color w:val="auto"/>
        </w:rPr>
      </w:pPr>
      <w:r>
        <w:rPr>
          <w:rFonts w:ascii="Courier New" w:cs="Courier New" w:eastAsia="Courier New" w:hAnsi="Courier New"/>
          <w:sz w:val="16"/>
          <w:szCs w:val="16"/>
          <w:color w:val="auto"/>
        </w:rPr>
        <w:t>310 South High Street</w:t>
      </w:r>
    </w:p>
    <w:p>
      <w:pPr>
        <w:ind w:left="3060"/>
        <w:spacing w:after="0" w:line="237" w:lineRule="auto"/>
        <w:rPr>
          <w:sz w:val="20"/>
          <w:szCs w:val="20"/>
          <w:color w:val="auto"/>
        </w:rPr>
      </w:pPr>
      <w:r>
        <w:rPr>
          <w:rFonts w:ascii="Courier New" w:cs="Courier New" w:eastAsia="Courier New" w:hAnsi="Courier New"/>
          <w:sz w:val="16"/>
          <w:szCs w:val="16"/>
          <w:color w:val="auto"/>
        </w:rPr>
        <w:t>Columbus, Ohio</w:t>
      </w:r>
    </w:p>
    <w:p>
      <w:pPr>
        <w:ind w:left="3620" w:hanging="552"/>
        <w:spacing w:after="0" w:line="237" w:lineRule="auto"/>
        <w:tabs>
          <w:tab w:leader="none" w:pos="36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222-7000</w:t>
      </w:r>
    </w:p>
    <w:p>
      <w:pPr>
        <w:ind w:left="2880"/>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Fax (614) 228-8820</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FEBRUARY 15, 2000 AT 10:00 A.M.</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OUTER COLUMBUS MAP</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Directions:</w:t>
      </w:r>
    </w:p>
    <w:p>
      <w:pPr>
        <w:spacing w:after="0" w:line="183" w:lineRule="exact"/>
        <w:rPr>
          <w:sz w:val="20"/>
          <w:szCs w:val="20"/>
          <w:color w:val="auto"/>
        </w:rPr>
      </w:pPr>
    </w:p>
    <w:p>
      <w:pPr>
        <w:ind w:right="2699"/>
        <w:spacing w:after="0" w:line="236" w:lineRule="auto"/>
        <w:rPr>
          <w:sz w:val="20"/>
          <w:szCs w:val="20"/>
          <w:color w:val="auto"/>
        </w:rPr>
      </w:pPr>
      <w:r>
        <w:rPr>
          <w:rFonts w:ascii="Courier New" w:cs="Courier New" w:eastAsia="Courier New" w:hAnsi="Courier New"/>
          <w:sz w:val="16"/>
          <w:szCs w:val="16"/>
          <w:color w:val="auto"/>
        </w:rPr>
        <w:t>TRAVELING SOUTH ON I-71 (FROM CLEVELAND/NORTHERN OHIO) -- Take I-71 South to the Main Street exit. This exit is a cloverleaf which branches to the right. Proceed through the light. This road will curve to the left and become Rich Street. Go about five blocks to High Street and turn left. Go one block to Main Street. The Hotel is on the corner of High and Main Streets. Valet parking is available in front of the Hotel on High Street.</w:t>
      </w:r>
    </w:p>
    <w:p>
      <w:pPr>
        <w:spacing w:after="0" w:line="184" w:lineRule="exact"/>
        <w:rPr>
          <w:sz w:val="20"/>
          <w:szCs w:val="20"/>
          <w:color w:val="auto"/>
        </w:rPr>
      </w:pPr>
    </w:p>
    <w:p>
      <w:pPr>
        <w:ind w:right="2879"/>
        <w:spacing w:after="0" w:line="277" w:lineRule="auto"/>
        <w:rPr>
          <w:sz w:val="20"/>
          <w:szCs w:val="20"/>
          <w:color w:val="auto"/>
        </w:rPr>
      </w:pPr>
      <w:r>
        <w:rPr>
          <w:rFonts w:ascii="Courier New" w:cs="Courier New" w:eastAsia="Courier New" w:hAnsi="Courier New"/>
          <w:sz w:val="14"/>
          <w:szCs w:val="14"/>
          <w:color w:val="auto"/>
        </w:rPr>
        <w:t>TRAVELING NORTH ON I-71 (FROM CINCINNATI AREA) -- Take I-71 North. Just before reaching the downtown area, exit onto I-70 East. Take the first exit which is the Front/High Street exit. Go straight to the second light, which is High Street, and turn left. Just before the third light you will see the Hotel on your right. Valet parking is available in front of the Hotel on High Street.</w:t>
      </w:r>
    </w:p>
    <w:p>
      <w:pPr>
        <w:spacing w:after="0" w:line="159" w:lineRule="exact"/>
        <w:rPr>
          <w:sz w:val="20"/>
          <w:szCs w:val="20"/>
          <w:color w:val="auto"/>
        </w:rPr>
      </w:pPr>
    </w:p>
    <w:p>
      <w:pPr>
        <w:ind w:right="2699"/>
        <w:spacing w:after="0" w:line="279" w:lineRule="auto"/>
        <w:rPr>
          <w:sz w:val="20"/>
          <w:szCs w:val="20"/>
          <w:color w:val="auto"/>
        </w:rPr>
      </w:pPr>
      <w:r>
        <w:rPr>
          <w:rFonts w:ascii="Courier New" w:cs="Courier New" w:eastAsia="Courier New" w:hAnsi="Courier New"/>
          <w:sz w:val="14"/>
          <w:szCs w:val="14"/>
          <w:color w:val="auto"/>
        </w:rPr>
        <w:t>TRAVELING EAST ON I-70 (FROM DAYTON/INDIANAPOLIS AREA) -- Take I-70 East to the Front/High Street exit. Go straight off the exit to the second light which is High Street and turn left. Just before the third light you will see the Hotel on your right. Valet parking is available in front of the Hotel on High Street.</w:t>
      </w:r>
    </w:p>
    <w:p>
      <w:pPr>
        <w:spacing w:after="0" w:line="158" w:lineRule="exact"/>
        <w:rPr>
          <w:sz w:val="20"/>
          <w:szCs w:val="20"/>
          <w:color w:val="auto"/>
        </w:rPr>
      </w:pPr>
    </w:p>
    <w:p>
      <w:pPr>
        <w:ind w:right="2699"/>
        <w:spacing w:after="0" w:line="236" w:lineRule="auto"/>
        <w:rPr>
          <w:sz w:val="20"/>
          <w:szCs w:val="20"/>
          <w:color w:val="auto"/>
        </w:rPr>
      </w:pPr>
      <w:r>
        <w:rPr>
          <w:rFonts w:ascii="Courier New" w:cs="Courier New" w:eastAsia="Courier New" w:hAnsi="Courier New"/>
          <w:sz w:val="16"/>
          <w:szCs w:val="16"/>
          <w:color w:val="auto"/>
        </w:rPr>
        <w:t>TRAVELING WEST ON I-70 (FROM PENNSYLVANIA/WEST VIRGINIA AREAS) -- Take I-70 West to the Fourth Street exit. Stay in the middle lane. Proceed straight through the first and second lights. At the third light turn right onto High Street. The Hotel is on the corner of High and Main Streets. Valet parking is available in front of the Hotel on High Street.</w:t>
      </w:r>
    </w:p>
    <w:p>
      <w:pPr>
        <w:spacing w:after="0" w:line="183" w:lineRule="exact"/>
        <w:rPr>
          <w:sz w:val="20"/>
          <w:szCs w:val="20"/>
          <w:color w:val="auto"/>
        </w:rPr>
      </w:pPr>
    </w:p>
    <w:p>
      <w:pPr>
        <w:ind w:right="2699"/>
        <w:spacing w:after="0" w:line="236" w:lineRule="auto"/>
        <w:rPr>
          <w:sz w:val="20"/>
          <w:szCs w:val="20"/>
          <w:color w:val="auto"/>
        </w:rPr>
      </w:pPr>
      <w:r>
        <w:rPr>
          <w:rFonts w:ascii="Courier New" w:cs="Courier New" w:eastAsia="Courier New" w:hAnsi="Courier New"/>
          <w:sz w:val="16"/>
          <w:szCs w:val="16"/>
          <w:color w:val="auto"/>
        </w:rPr>
        <w:t>TRAVELING FROM PORT COLUMBUS INTERNATIONAL AIRPORT -- Take International Gateway (the main airport road) and follow it to I-670 West. Take I-670 West to the Third Street exit and after exiting pass eight lights to Mound Street and turn right. Go two blocks to High Street and turn right. The Hotel is on the corner of High and Main Streets. Valet parking is available in front of the Hotel on High Street.</w:t>
      </w:r>
    </w:p>
    <w:p>
      <w:pPr>
        <w:sectPr>
          <w:pgSz w:w="11900" w:h="16838" w:orient="portrait"/>
          <w:cols w:equalWidth="0" w:num="1">
            <w:col w:w="10139"/>
          </w:cols>
          <w:pgMar w:left="320" w:top="291" w:right="1440" w:bottom="1440" w:gutter="0" w:footer="0" w:header="0"/>
        </w:sectPr>
      </w:pPr>
    </w:p>
    <w:bookmarkStart w:id="24" w:name="page25"/>
    <w:bookmarkEnd w:id="24"/>
    <w:p>
      <w:pPr>
        <w:ind w:left="285"/>
        <w:spacing w:after="0"/>
        <w:rPr>
          <w:sz w:val="20"/>
          <w:szCs w:val="20"/>
          <w:color w:val="auto"/>
        </w:rPr>
      </w:pPr>
      <w:r>
        <w:rPr>
          <w:rFonts w:ascii="Courier New" w:cs="Courier New" w:eastAsia="Courier New" w:hAnsi="Courier New"/>
          <w:sz w:val="16"/>
          <w:szCs w:val="16"/>
          <w:color w:val="auto"/>
        </w:rPr>
        <w:t>25</w:t>
      </w:r>
    </w:p>
    <w:p>
      <w:pPr>
        <w:spacing w:after="0" w:line="177" w:lineRule="exact"/>
        <w:rPr>
          <w:sz w:val="20"/>
          <w:szCs w:val="20"/>
          <w:color w:val="auto"/>
        </w:rPr>
      </w:pPr>
    </w:p>
    <w:p>
      <w:pPr>
        <w:jc w:val="center"/>
        <w:ind w:right="2695"/>
        <w:spacing w:after="0"/>
        <w:rPr>
          <w:sz w:val="20"/>
          <w:szCs w:val="20"/>
          <w:color w:val="auto"/>
        </w:rPr>
      </w:pPr>
      <w:r>
        <w:rPr>
          <w:rFonts w:ascii="Courier New" w:cs="Courier New" w:eastAsia="Courier New" w:hAnsi="Courier New"/>
          <w:sz w:val="16"/>
          <w:szCs w:val="16"/>
          <w:color w:val="auto"/>
        </w:rPr>
        <w:t>THE SCOTTS COMPANY</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PROXY FOR ANNUAL MEETING OF SHAREHOLDERS TO BE HELD FEBRUARY 15, 2000</w:t>
      </w:r>
    </w:p>
    <w:p>
      <w:pPr>
        <w:spacing w:after="0" w:line="183" w:lineRule="exact"/>
        <w:rPr>
          <w:sz w:val="20"/>
          <w:szCs w:val="20"/>
          <w:color w:val="auto"/>
        </w:rPr>
      </w:pPr>
    </w:p>
    <w:p>
      <w:pPr>
        <w:ind w:left="5" w:right="2699"/>
        <w:spacing w:after="0" w:line="236" w:lineRule="auto"/>
        <w:rPr>
          <w:sz w:val="20"/>
          <w:szCs w:val="20"/>
          <w:color w:val="auto"/>
        </w:rPr>
      </w:pPr>
      <w:r>
        <w:rPr>
          <w:rFonts w:ascii="Courier New" w:cs="Courier New" w:eastAsia="Courier New" w:hAnsi="Courier New"/>
          <w:sz w:val="16"/>
          <w:szCs w:val="16"/>
          <w:color w:val="auto"/>
        </w:rPr>
        <w:t>The undersigned holder(s) of common shares of The Scotts Company (the "Company") hereby appoints Charles M. Berger or G. Robert Lucas, the Proxies of the undersigned, with full power of substitution, to attend the Annual Meeting of Shareholders of the Company to be held at The Westin Great Southern Hotel, 310 South High Street, Columbus, Ohio, on Tuesday, February 15, 2000, at 10:00 a.m., local time, and any adjournment(s) thereof, and to vote all of the common shares which the undersigned is entitled to vote at such Annual Meeting or at any adjournment(s) thereof:</w:t>
      </w:r>
    </w:p>
    <w:p>
      <w:pPr>
        <w:spacing w:after="0" w:line="200" w:lineRule="exact"/>
        <w:rPr>
          <w:sz w:val="20"/>
          <w:szCs w:val="20"/>
          <w:color w:val="auto"/>
        </w:rPr>
      </w:pPr>
    </w:p>
    <w:p>
      <w:pPr>
        <w:spacing w:after="0" w:line="344" w:lineRule="exact"/>
        <w:rPr>
          <w:sz w:val="20"/>
          <w:szCs w:val="20"/>
          <w:color w:val="auto"/>
        </w:rPr>
      </w:pPr>
    </w:p>
    <w:p>
      <w:pPr>
        <w:ind w:left="465" w:right="4179" w:hanging="465"/>
        <w:spacing w:after="0" w:line="234" w:lineRule="auto"/>
        <w:tabs>
          <w:tab w:leader="none" w:pos="46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three Directors in Class II for terms to expire at the 2003 Annual Meeting:</w:t>
      </w:r>
    </w:p>
    <w:p>
      <w:pPr>
        <w:spacing w:after="0" w:line="178" w:lineRule="exact"/>
        <w:rPr>
          <w:sz w:val="20"/>
          <w:szCs w:val="20"/>
          <w:color w:val="auto"/>
        </w:rPr>
      </w:pPr>
    </w:p>
    <w:p>
      <w:pPr>
        <w:ind w:left="925"/>
        <w:spacing w:after="0"/>
        <w:rPr>
          <w:sz w:val="20"/>
          <w:szCs w:val="20"/>
          <w:color w:val="auto"/>
        </w:rPr>
      </w:pPr>
      <w:r>
        <w:rPr>
          <w:rFonts w:ascii="Courier New" w:cs="Courier New" w:eastAsia="Courier New" w:hAnsi="Courier New"/>
          <w:sz w:val="16"/>
          <w:szCs w:val="16"/>
          <w:color w:val="auto"/>
        </w:rPr>
        <w:t>John Kenlon, John M. Sullivan, L. Jack Van Fossen</w:t>
      </w:r>
    </w:p>
    <w:p>
      <w:pPr>
        <w:spacing w:after="0" w:line="177" w:lineRule="exact"/>
        <w:rPr>
          <w:sz w:val="20"/>
          <w:szCs w:val="20"/>
          <w:color w:val="auto"/>
        </w:rPr>
      </w:pPr>
    </w:p>
    <w:p>
      <w:pPr>
        <w:ind w:left="465"/>
        <w:spacing w:after="0"/>
        <w:tabs>
          <w:tab w:leader="none" w:pos="3044" w:val="left"/>
        </w:tabs>
        <w:rPr>
          <w:sz w:val="20"/>
          <w:szCs w:val="20"/>
          <w:color w:val="auto"/>
        </w:rPr>
      </w:pPr>
      <w:r>
        <w:rPr>
          <w:rFonts w:ascii="Courier New" w:cs="Courier New" w:eastAsia="Courier New" w:hAnsi="Courier New"/>
          <w:sz w:val="16"/>
          <w:szCs w:val="16"/>
          <w:color w:val="auto"/>
        </w:rPr>
        <w:t>[ ] Vote for all nominees</w:t>
      </w:r>
      <w:r>
        <w:rPr>
          <w:sz w:val="20"/>
          <w:szCs w:val="20"/>
          <w:color w:val="auto"/>
        </w:rPr>
        <w:tab/>
      </w:r>
      <w:r>
        <w:rPr>
          <w:rFonts w:ascii="Courier New" w:cs="Courier New" w:eastAsia="Courier New" w:hAnsi="Courier New"/>
          <w:sz w:val="14"/>
          <w:szCs w:val="14"/>
          <w:color w:val="auto"/>
        </w:rPr>
        <w:t>[ ] Vote for all nominees except ___________________</w:t>
      </w:r>
    </w:p>
    <w:p>
      <w:pPr>
        <w:spacing w:after="0" w:line="183" w:lineRule="exact"/>
        <w:rPr>
          <w:sz w:val="20"/>
          <w:szCs w:val="20"/>
          <w:color w:val="auto"/>
        </w:rPr>
      </w:pPr>
    </w:p>
    <w:p>
      <w:pPr>
        <w:ind w:left="465" w:right="4179" w:hanging="465"/>
        <w:spacing w:after="0" w:line="235" w:lineRule="auto"/>
        <w:tabs>
          <w:tab w:leader="none" w:pos="46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The Scotts Company Amended Articles of Incorporation to increase the authorized number of common shares to 100,000,000:</w:t>
      </w:r>
    </w:p>
    <w:p>
      <w:pPr>
        <w:spacing w:after="0" w:line="178" w:lineRule="exact"/>
        <w:rPr>
          <w:sz w:val="20"/>
          <w:szCs w:val="20"/>
          <w:color w:val="auto"/>
        </w:rPr>
      </w:pPr>
    </w:p>
    <w:p>
      <w:pPr>
        <w:ind w:left="465"/>
        <w:spacing w:after="0"/>
        <w:tabs>
          <w:tab w:leader="none" w:pos="904" w:val="left"/>
          <w:tab w:leader="none" w:pos="1744" w:val="left"/>
          <w:tab w:leader="none" w:pos="2584" w:val="left"/>
          <w:tab w:leader="none" w:pos="3424" w:val="left"/>
          <w:tab w:leader="none" w:pos="4264" w:val="left"/>
        </w:tabs>
        <w:rPr>
          <w:sz w:val="20"/>
          <w:szCs w:val="20"/>
          <w:color w:val="auto"/>
        </w:rPr>
      </w:pPr>
      <w:r>
        <w:rPr>
          <w:rFonts w:ascii="Courier New" w:cs="Courier New" w:eastAsia="Courier New" w:hAnsi="Courier New"/>
          <w:sz w:val="16"/>
          <w:szCs w:val="16"/>
          <w:color w:val="auto"/>
        </w:rPr>
        <w:t>For</w:t>
        <w:tab/>
        <w:t>[ ]</w:t>
      </w:r>
      <w:r>
        <w:rPr>
          <w:sz w:val="20"/>
          <w:szCs w:val="20"/>
          <w:color w:val="auto"/>
        </w:rPr>
        <w:tab/>
      </w:r>
      <w:r>
        <w:rPr>
          <w:rFonts w:ascii="Courier New" w:cs="Courier New" w:eastAsia="Courier New" w:hAnsi="Courier New"/>
          <w:sz w:val="16"/>
          <w:szCs w:val="16"/>
          <w:color w:val="auto"/>
        </w:rPr>
        <w:t>Against</w:t>
        <w:tab/>
        <w:t>[ ]</w:t>
      </w:r>
      <w:r>
        <w:rPr>
          <w:sz w:val="20"/>
          <w:szCs w:val="20"/>
          <w:color w:val="auto"/>
        </w:rPr>
        <w:tab/>
      </w:r>
      <w:r>
        <w:rPr>
          <w:rFonts w:ascii="Courier New" w:cs="Courier New" w:eastAsia="Courier New" w:hAnsi="Courier New"/>
          <w:sz w:val="16"/>
          <w:szCs w:val="16"/>
          <w:color w:val="auto"/>
        </w:rPr>
        <w:t>Abstain</w:t>
      </w:r>
      <w:r>
        <w:rPr>
          <w:sz w:val="20"/>
          <w:szCs w:val="20"/>
          <w:color w:val="auto"/>
        </w:rPr>
        <w:tab/>
      </w:r>
      <w:r>
        <w:rPr>
          <w:rFonts w:ascii="Courier New" w:cs="Courier New" w:eastAsia="Courier New" w:hAnsi="Courier New"/>
          <w:sz w:val="14"/>
          <w:szCs w:val="14"/>
          <w:color w:val="auto"/>
        </w:rPr>
        <w:t>[ ]</w:t>
      </w:r>
    </w:p>
    <w:p>
      <w:pPr>
        <w:spacing w:after="0" w:line="362" w:lineRule="exact"/>
        <w:rPr>
          <w:sz w:val="20"/>
          <w:szCs w:val="20"/>
          <w:color w:val="auto"/>
        </w:rPr>
      </w:pPr>
    </w:p>
    <w:p>
      <w:pPr>
        <w:ind w:left="5" w:right="2779"/>
        <w:spacing w:after="0" w:line="235" w:lineRule="auto"/>
        <w:rPr>
          <w:sz w:val="20"/>
          <w:szCs w:val="20"/>
          <w:color w:val="auto"/>
        </w:rPr>
      </w:pPr>
      <w:r>
        <w:rPr>
          <w:rFonts w:ascii="Courier New" w:cs="Courier New" w:eastAsia="Courier New" w:hAnsi="Courier New"/>
          <w:sz w:val="16"/>
          <w:szCs w:val="16"/>
          <w:color w:val="auto"/>
        </w:rPr>
        <w:t>In their discretion, the Proxies are authorized to vote upon such other matters (none known at the time of solicitation of this Proxy) as may properly come before the Annual Meeting or any adjournment(s) thereof.</w:t>
      </w:r>
    </w:p>
    <w:p>
      <w:pPr>
        <w:spacing w:after="0" w:line="178"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(This Proxy continues and must be signed and dated on the reverse side)</w:t>
      </w:r>
    </w:p>
    <w:p>
      <w:pPr>
        <w:spacing w:after="0" w:line="183" w:lineRule="exact"/>
        <w:rPr>
          <w:sz w:val="20"/>
          <w:szCs w:val="20"/>
          <w:color w:val="auto"/>
        </w:rPr>
      </w:pPr>
    </w:p>
    <w:p>
      <w:pPr>
        <w:ind w:left="5" w:right="2699"/>
        <w:spacing w:after="0" w:line="273" w:lineRule="auto"/>
        <w:rPr>
          <w:sz w:val="20"/>
          <w:szCs w:val="20"/>
          <w:color w:val="auto"/>
        </w:rPr>
      </w:pPr>
      <w:r>
        <w:rPr>
          <w:rFonts w:ascii="Courier New" w:cs="Courier New" w:eastAsia="Courier New" w:hAnsi="Courier New"/>
          <w:sz w:val="14"/>
          <w:szCs w:val="14"/>
          <w:color w:val="auto"/>
        </w:rPr>
        <w:t>WHERE A CHOICE IS INDICATED, THE COMMON SHARES REPRESENTED BY THIS PROXY WHEN PROPERLY EXECUTED WILL BE VOTED OR NOT VOTED AS SPECIFIED. IF NO CHOICE IS INDICATED, THE COMMON SHARES REPRESENTED BY THIS PROXY WILL BE VOTED "FOR" THE ELECTION OF THE NOMINEES LISTED IN PROPOSAL NO. 1 AS DIRECTORS OF THE COMPANY AND "FOR" PROPOSAL NO. 2. THE PROXY CANNOT BE VOTED FOR MORE THAN THREE NOMINEES FOR ELECTION AS CLASS II DIRECTORS. IF ANY OTHER MATTERS ARE PROPERLY BROUGHT BEFORE THE ANNUAL MEETING OR ANY ADJOURNMENT(S) THEREOF, OR IF A NOMINEE FOR ELECTION AS A DIRECTOR NAMED IN THE PROXY STATEMENT IS UNABLE TO SERVE OR FOR GOOD CAUSE WILL NOT SERVE, THE COMMON SHARES REPRESENTED BY THIS PROXY WILL BE VOTED IN THE DISCRETION OF THE PROXIES ON SUCH MATTERS OR FOR SUCH SUBSTITUTE NOMINEE(S) AS THE DIRECTORS MAY RECOMMEND.</w:t>
      </w:r>
    </w:p>
    <w:p>
      <w:pPr>
        <w:spacing w:after="0" w:line="345" w:lineRule="exact"/>
        <w:rPr>
          <w:sz w:val="20"/>
          <w:szCs w:val="20"/>
          <w:color w:val="auto"/>
        </w:rPr>
      </w:pPr>
    </w:p>
    <w:p>
      <w:pPr>
        <w:ind w:left="5" w:right="2779"/>
        <w:spacing w:after="0" w:line="277" w:lineRule="auto"/>
        <w:rPr>
          <w:sz w:val="20"/>
          <w:szCs w:val="20"/>
          <w:color w:val="auto"/>
        </w:rPr>
      </w:pPr>
      <w:r>
        <w:rPr>
          <w:rFonts w:ascii="Courier New" w:cs="Courier New" w:eastAsia="Courier New" w:hAnsi="Courier New"/>
          <w:sz w:val="14"/>
          <w:szCs w:val="14"/>
          <w:color w:val="auto"/>
        </w:rPr>
        <w:t>The undersigned hereby acknowledges receipt of the Notice of the Annual Meeting of Shareholders, dated January 14, 2000, the Proxy Statement furnished therewith, and the Annual Report of the Company for the fiscal year ended September 30, 1999. Any proxy heretofore given to vote the common shares which the undersigned is entitled to vote at the Annual Meeting is hereby revoked.</w:t>
      </w:r>
    </w:p>
    <w:p>
      <w:pPr>
        <w:spacing w:after="0" w:line="153" w:lineRule="exact"/>
        <w:rPr>
          <w:sz w:val="20"/>
          <w:szCs w:val="20"/>
          <w:color w:val="auto"/>
        </w:rPr>
      </w:pPr>
    </w:p>
    <w:p>
      <w:pPr>
        <w:ind w:left="4465"/>
        <w:spacing w:after="0"/>
        <w:rPr>
          <w:sz w:val="20"/>
          <w:szCs w:val="20"/>
          <w:color w:val="auto"/>
        </w:rPr>
      </w:pPr>
      <w:r>
        <w:rPr>
          <w:rFonts w:ascii="Courier New" w:cs="Courier New" w:eastAsia="Courier New" w:hAnsi="Courier New"/>
          <w:sz w:val="16"/>
          <w:szCs w:val="16"/>
          <w:color w:val="auto"/>
        </w:rPr>
        <w:t>Dated ___________________, 2000</w:t>
      </w:r>
    </w:p>
    <w:p>
      <w:pPr>
        <w:spacing w:after="0" w:line="177" w:lineRule="exact"/>
        <w:rPr>
          <w:sz w:val="20"/>
          <w:szCs w:val="20"/>
          <w:color w:val="auto"/>
        </w:rPr>
      </w:pPr>
    </w:p>
    <w:p>
      <w:pPr>
        <w:ind w:left="4465"/>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4465"/>
        <w:spacing w:after="0"/>
        <w:rPr>
          <w:sz w:val="20"/>
          <w:szCs w:val="20"/>
          <w:color w:val="auto"/>
        </w:rPr>
      </w:pPr>
      <w:r>
        <w:rPr>
          <w:rFonts w:ascii="Courier New" w:cs="Courier New" w:eastAsia="Courier New" w:hAnsi="Courier New"/>
          <w:sz w:val="16"/>
          <w:szCs w:val="16"/>
          <w:color w:val="auto"/>
        </w:rPr>
        <w:t>--------------------------------</w:t>
      </w:r>
    </w:p>
    <w:p>
      <w:pPr>
        <w:ind w:left="4465"/>
        <w:spacing w:after="0" w:line="237" w:lineRule="auto"/>
        <w:rPr>
          <w:sz w:val="20"/>
          <w:szCs w:val="20"/>
          <w:color w:val="auto"/>
        </w:rPr>
      </w:pPr>
      <w:r>
        <w:rPr>
          <w:rFonts w:ascii="Courier New" w:cs="Courier New" w:eastAsia="Courier New" w:hAnsi="Courier New"/>
          <w:sz w:val="16"/>
          <w:szCs w:val="16"/>
          <w:color w:val="auto"/>
        </w:rPr>
        <w:t>Shareholder sign name exactly as</w:t>
      </w:r>
    </w:p>
    <w:p>
      <w:pPr>
        <w:ind w:left="4465"/>
        <w:spacing w:after="0" w:line="237" w:lineRule="auto"/>
        <w:rPr>
          <w:sz w:val="20"/>
          <w:szCs w:val="20"/>
          <w:color w:val="auto"/>
        </w:rPr>
      </w:pPr>
      <w:r>
        <w:rPr>
          <w:rFonts w:ascii="Courier New" w:cs="Courier New" w:eastAsia="Courier New" w:hAnsi="Courier New"/>
          <w:sz w:val="16"/>
          <w:szCs w:val="16"/>
          <w:color w:val="auto"/>
        </w:rPr>
        <w:t>it is stenciled hereon.</w:t>
      </w:r>
    </w:p>
    <w:p>
      <w:pPr>
        <w:spacing w:after="0" w:line="177" w:lineRule="exact"/>
        <w:rPr>
          <w:sz w:val="20"/>
          <w:szCs w:val="20"/>
          <w:color w:val="auto"/>
        </w:rPr>
      </w:pPr>
    </w:p>
    <w:p>
      <w:pPr>
        <w:ind w:left="4465"/>
        <w:spacing w:after="0"/>
        <w:rPr>
          <w:sz w:val="20"/>
          <w:szCs w:val="20"/>
          <w:color w:val="auto"/>
        </w:rPr>
      </w:pPr>
      <w:r>
        <w:rPr>
          <w:rFonts w:ascii="Courier New" w:cs="Courier New" w:eastAsia="Courier New" w:hAnsi="Courier New"/>
          <w:sz w:val="16"/>
          <w:szCs w:val="16"/>
          <w:color w:val="auto"/>
        </w:rPr>
        <w:t>Note: Please fill in, sign and</w:t>
      </w:r>
    </w:p>
    <w:p>
      <w:pPr>
        <w:ind w:left="4465"/>
        <w:spacing w:after="0" w:line="237" w:lineRule="auto"/>
        <w:rPr>
          <w:sz w:val="20"/>
          <w:szCs w:val="20"/>
          <w:color w:val="auto"/>
        </w:rPr>
      </w:pPr>
      <w:r>
        <w:rPr>
          <w:rFonts w:ascii="Courier New" w:cs="Courier New" w:eastAsia="Courier New" w:hAnsi="Courier New"/>
          <w:sz w:val="16"/>
          <w:szCs w:val="16"/>
          <w:color w:val="auto"/>
        </w:rPr>
        <w:t>return this Proxy in the</w:t>
      </w:r>
    </w:p>
    <w:p>
      <w:pPr>
        <w:ind w:left="4465"/>
        <w:spacing w:after="0" w:line="237" w:lineRule="auto"/>
        <w:rPr>
          <w:sz w:val="20"/>
          <w:szCs w:val="20"/>
          <w:color w:val="auto"/>
        </w:rPr>
      </w:pPr>
      <w:r>
        <w:rPr>
          <w:rFonts w:ascii="Courier New" w:cs="Courier New" w:eastAsia="Courier New" w:hAnsi="Courier New"/>
          <w:sz w:val="16"/>
          <w:szCs w:val="16"/>
          <w:color w:val="auto"/>
        </w:rPr>
        <w:t>enclosed envelope. When signing</w:t>
      </w:r>
    </w:p>
    <w:p>
      <w:pPr>
        <w:ind w:left="4465"/>
        <w:spacing w:after="0" w:line="237" w:lineRule="auto"/>
        <w:rPr>
          <w:sz w:val="20"/>
          <w:szCs w:val="20"/>
          <w:color w:val="auto"/>
        </w:rPr>
      </w:pPr>
      <w:r>
        <w:rPr>
          <w:rFonts w:ascii="Courier New" w:cs="Courier New" w:eastAsia="Courier New" w:hAnsi="Courier New"/>
          <w:sz w:val="16"/>
          <w:szCs w:val="16"/>
          <w:color w:val="auto"/>
        </w:rPr>
        <w:t>as Attorney, Executor,</w:t>
      </w:r>
    </w:p>
    <w:p>
      <w:pPr>
        <w:ind w:left="4465"/>
        <w:spacing w:after="0" w:line="237" w:lineRule="auto"/>
        <w:rPr>
          <w:sz w:val="20"/>
          <w:szCs w:val="20"/>
          <w:color w:val="auto"/>
        </w:rPr>
      </w:pPr>
      <w:r>
        <w:rPr>
          <w:rFonts w:ascii="Courier New" w:cs="Courier New" w:eastAsia="Courier New" w:hAnsi="Courier New"/>
          <w:sz w:val="16"/>
          <w:szCs w:val="16"/>
          <w:color w:val="auto"/>
        </w:rPr>
        <w:t>Administrator, Trustee or</w:t>
      </w:r>
    </w:p>
    <w:p>
      <w:pPr>
        <w:ind w:left="4465"/>
        <w:spacing w:after="0" w:line="237" w:lineRule="auto"/>
        <w:rPr>
          <w:sz w:val="20"/>
          <w:szCs w:val="20"/>
          <w:color w:val="auto"/>
        </w:rPr>
      </w:pPr>
      <w:r>
        <w:rPr>
          <w:rFonts w:ascii="Courier New" w:cs="Courier New" w:eastAsia="Courier New" w:hAnsi="Courier New"/>
          <w:sz w:val="16"/>
          <w:szCs w:val="16"/>
          <w:color w:val="auto"/>
        </w:rPr>
        <w:t>Guardian, please give full title</w:t>
      </w:r>
    </w:p>
    <w:p>
      <w:pPr>
        <w:ind w:left="4465"/>
        <w:spacing w:after="0" w:line="237" w:lineRule="auto"/>
        <w:rPr>
          <w:sz w:val="20"/>
          <w:szCs w:val="20"/>
          <w:color w:val="auto"/>
        </w:rPr>
      </w:pPr>
      <w:r>
        <w:rPr>
          <w:rFonts w:ascii="Courier New" w:cs="Courier New" w:eastAsia="Courier New" w:hAnsi="Courier New"/>
          <w:sz w:val="16"/>
          <w:szCs w:val="16"/>
          <w:color w:val="auto"/>
        </w:rPr>
        <w:t>as such. If holder is a</w:t>
      </w:r>
    </w:p>
    <w:p>
      <w:pPr>
        <w:ind w:left="4465"/>
        <w:spacing w:after="0" w:line="237" w:lineRule="auto"/>
        <w:rPr>
          <w:sz w:val="20"/>
          <w:szCs w:val="20"/>
          <w:color w:val="auto"/>
        </w:rPr>
      </w:pPr>
      <w:r>
        <w:rPr>
          <w:rFonts w:ascii="Courier New" w:cs="Courier New" w:eastAsia="Courier New" w:hAnsi="Courier New"/>
          <w:sz w:val="16"/>
          <w:szCs w:val="16"/>
          <w:color w:val="auto"/>
        </w:rPr>
        <w:t>corporation, please sign the</w:t>
      </w:r>
    </w:p>
    <w:p>
      <w:pPr>
        <w:ind w:left="4465"/>
        <w:spacing w:after="0" w:line="237" w:lineRule="auto"/>
        <w:rPr>
          <w:sz w:val="20"/>
          <w:szCs w:val="20"/>
          <w:color w:val="auto"/>
        </w:rPr>
      </w:pPr>
      <w:r>
        <w:rPr>
          <w:rFonts w:ascii="Courier New" w:cs="Courier New" w:eastAsia="Courier New" w:hAnsi="Courier New"/>
          <w:sz w:val="16"/>
          <w:szCs w:val="16"/>
          <w:color w:val="auto"/>
        </w:rPr>
        <w:t>full corporate name by</w:t>
      </w:r>
    </w:p>
    <w:p>
      <w:pPr>
        <w:ind w:left="4465"/>
        <w:spacing w:after="0" w:line="237" w:lineRule="auto"/>
        <w:rPr>
          <w:sz w:val="20"/>
          <w:szCs w:val="20"/>
          <w:color w:val="auto"/>
        </w:rPr>
      </w:pPr>
      <w:r>
        <w:rPr>
          <w:rFonts w:ascii="Courier New" w:cs="Courier New" w:eastAsia="Courier New" w:hAnsi="Courier New"/>
          <w:sz w:val="16"/>
          <w:szCs w:val="16"/>
          <w:color w:val="auto"/>
        </w:rPr>
        <w:t>authorized officer. Joint Owners</w:t>
      </w:r>
    </w:p>
    <w:p>
      <w:pPr>
        <w:ind w:left="4465"/>
        <w:spacing w:after="0" w:line="238" w:lineRule="auto"/>
        <w:rPr>
          <w:sz w:val="20"/>
          <w:szCs w:val="20"/>
          <w:color w:val="auto"/>
        </w:rPr>
      </w:pPr>
      <w:r>
        <w:rPr>
          <w:rFonts w:ascii="Courier New" w:cs="Courier New" w:eastAsia="Courier New" w:hAnsi="Courier New"/>
          <w:sz w:val="16"/>
          <w:szCs w:val="16"/>
          <w:color w:val="auto"/>
        </w:rPr>
        <w:t>should sign individually.</w:t>
      </w:r>
    </w:p>
    <w:p>
      <w:pPr>
        <w:ind w:left="4465"/>
        <w:spacing w:after="0" w:line="237" w:lineRule="auto"/>
        <w:rPr>
          <w:sz w:val="20"/>
          <w:szCs w:val="20"/>
          <w:color w:val="auto"/>
        </w:rPr>
      </w:pPr>
      <w:r>
        <w:rPr>
          <w:rFonts w:ascii="Courier New" w:cs="Courier New" w:eastAsia="Courier New" w:hAnsi="Courier New"/>
          <w:sz w:val="16"/>
          <w:szCs w:val="16"/>
          <w:color w:val="auto"/>
        </w:rPr>
        <w:t>(Please note any change of</w:t>
      </w:r>
    </w:p>
    <w:p>
      <w:pPr>
        <w:ind w:left="4465"/>
        <w:spacing w:after="0" w:line="237" w:lineRule="auto"/>
        <w:rPr>
          <w:sz w:val="20"/>
          <w:szCs w:val="20"/>
          <w:color w:val="auto"/>
        </w:rPr>
      </w:pPr>
      <w:r>
        <w:rPr>
          <w:rFonts w:ascii="Courier New" w:cs="Courier New" w:eastAsia="Courier New" w:hAnsi="Courier New"/>
          <w:sz w:val="16"/>
          <w:szCs w:val="16"/>
          <w:color w:val="auto"/>
        </w:rPr>
        <w:t>address on this Proxy).</w:t>
      </w:r>
    </w:p>
    <w:p>
      <w:pPr>
        <w:spacing w:after="0" w:line="177" w:lineRule="exact"/>
        <w:rPr>
          <w:sz w:val="20"/>
          <w:szCs w:val="20"/>
          <w:color w:val="auto"/>
        </w:rPr>
      </w:pPr>
    </w:p>
    <w:p>
      <w:pPr>
        <w:jc w:val="center"/>
        <w:ind w:right="2695"/>
        <w:spacing w:after="0"/>
        <w:rPr>
          <w:sz w:val="20"/>
          <w:szCs w:val="20"/>
          <w:color w:val="auto"/>
        </w:rPr>
      </w:pPr>
      <w:r>
        <w:rPr>
          <w:rFonts w:ascii="Courier New" w:cs="Courier New" w:eastAsia="Courier New" w:hAnsi="Courier New"/>
          <w:sz w:val="16"/>
          <w:szCs w:val="16"/>
          <w:color w:val="auto"/>
        </w:rPr>
        <w:t>THIS PROXY IS SOLICITED ON BEHALF OF THE BOARD OF DIRECTORS OF</w:t>
      </w:r>
    </w:p>
    <w:p>
      <w:pPr>
        <w:jc w:val="center"/>
        <w:ind w:right="2775"/>
        <w:spacing w:after="0" w:line="237" w:lineRule="auto"/>
        <w:rPr>
          <w:sz w:val="20"/>
          <w:szCs w:val="20"/>
          <w:color w:val="auto"/>
        </w:rPr>
      </w:pPr>
      <w:r>
        <w:rPr>
          <w:rFonts w:ascii="Courier New" w:cs="Courier New" w:eastAsia="Courier New" w:hAnsi="Courier New"/>
          <w:sz w:val="16"/>
          <w:szCs w:val="16"/>
          <w:color w:val="auto"/>
        </w:rPr>
        <w:t>THE SCOTTS COMPANY.</w:t>
      </w:r>
    </w:p>
    <w:p>
      <w:pPr>
        <w:spacing w:after="0" w:line="177" w:lineRule="exact"/>
        <w:rPr>
          <w:sz w:val="20"/>
          <w:szCs w:val="20"/>
          <w:color w:val="auto"/>
        </w:rPr>
      </w:pPr>
    </w:p>
    <w:p>
      <w:pPr>
        <w:ind w:left="3265"/>
        <w:spacing w:after="0"/>
        <w:rPr>
          <w:sz w:val="20"/>
          <w:szCs w:val="20"/>
          <w:color w:val="auto"/>
        </w:rPr>
      </w:pPr>
      <w:r>
        <w:rPr>
          <w:rFonts w:ascii="Courier New" w:cs="Courier New" w:eastAsia="Courier New" w:hAnsi="Courier New"/>
          <w:sz w:val="16"/>
          <w:szCs w:val="16"/>
          <w:color w:val="auto"/>
        </w:rPr>
        <w:t>Proxy Card</w:t>
      </w:r>
    </w:p>
    <w:sectPr>
      <w:pgSz w:w="11900" w:h="16838" w:orient="portrait"/>
      <w:cols w:equalWidth="0" w:num="1">
        <w:col w:w="10144"/>
      </w:cols>
      <w:pgMar w:left="315" w:top="2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upperLetter"/>
      <w:start w:val="24"/>
    </w:lvl>
  </w:abstractNum>
  <w:abstractNum w:abstractNumId="2">
    <w:nsid w:val="DED7263"/>
    <w:multiLevelType w:val="hybridMultilevel"/>
    <w:lvl w:ilvl="0">
      <w:lvlJc w:val="left"/>
      <w:lvlText w:val="["/>
      <w:numFmt w:val="bullet"/>
      <w:start w:val="1"/>
    </w:lvl>
    <w:lvl w:ilvl="1">
      <w:lvlJc w:val="left"/>
      <w:lvlText w:val="(%2)"/>
      <w:numFmt w:val="decimal"/>
      <w:start w:val="1"/>
    </w:lvl>
  </w:abstractNum>
  <w:abstractNum w:abstractNumId="3">
    <w:nsid w:val="7FDCC233"/>
    <w:multiLevelType w:val="hybridMultilevel"/>
    <w:lvl w:ilvl="0">
      <w:lvlJc w:val="left"/>
      <w:lvlText w:val="["/>
      <w:numFmt w:val="bullet"/>
      <w:start w:val="1"/>
    </w:lvl>
    <w:lvl w:ilvl="1">
      <w:lvlJc w:val="left"/>
      <w:lvlText w:val="(%2)"/>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lvl w:ilvl="1">
      <w:lvlJc w:val="left"/>
      <w:lvlText w:val="(%2)"/>
      <w:numFmt w:val="decimal"/>
      <w:start w:val="1"/>
    </w:lvl>
  </w:abstractNum>
  <w:abstractNum w:abstractNumId="9">
    <w:nsid w:val="519B500D"/>
    <w:multiLevelType w:val="hybridMultilevel"/>
    <w:lvl w:ilvl="0">
      <w:lvlJc w:val="left"/>
      <w:lvlText w:val="(%1)"/>
      <w:numFmt w:val="decimal"/>
      <w:start w:val="5"/>
    </w:lvl>
    <w:lvl w:ilvl="1">
      <w:lvlJc w:val="left"/>
      <w:lvlText w:val="(%2)"/>
      <w:numFmt w:val="decimal"/>
      <w:start w:val="12"/>
    </w:lvl>
  </w:abstractNum>
  <w:abstractNum w:abstractNumId="10">
    <w:nsid w:val="431BD7B7"/>
    <w:multiLevelType w:val="hybridMultilevel"/>
    <w:lvl w:ilvl="0">
      <w:lvlJc w:val="left"/>
      <w:lvlText w:val="(%1)"/>
      <w:numFmt w:val="decimal"/>
      <w:start w:val="17"/>
    </w:lvl>
  </w:abstractNum>
  <w:abstractNum w:abstractNumId="11">
    <w:nsid w:val="3F2DBA31"/>
    <w:multiLevelType w:val="hybridMultilevel"/>
    <w:lvl w:ilvl="0">
      <w:lvlJc w:val="left"/>
      <w:lvlText w:val="-"/>
      <w:numFmt w:val="bullet"/>
      <w:start w:val="1"/>
    </w:lvl>
    <w:lvl w:ilvl="1">
      <w:lvlJc w:val="left"/>
      <w:lvlText w:val="(%2)"/>
      <w:numFmt w:val="decimal"/>
      <w:start w:val="1"/>
    </w:lvl>
  </w:abstractNum>
  <w:abstractNum w:abstractNumId="12">
    <w:nsid w:val="7C83E458"/>
    <w:multiLevelType w:val="hybridMultilevel"/>
    <w:lvl w:ilvl="0">
      <w:lvlJc w:val="left"/>
      <w:lvlText w:val="(%1)"/>
      <w:numFmt w:val="decimal"/>
      <w:start w:val="10"/>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3"/>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lowerLetter"/>
      <w:start w:val="1"/>
    </w:lvl>
    <w:lvl w:ilvl="1">
      <w:lvlJc w:val="left"/>
      <w:lvlText w:val="(%2)"/>
      <w:numFmt w:val="lowerLetter"/>
      <w:start w:val="35"/>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lowerLetter"/>
      <w:start w:val="2"/>
    </w:lvl>
  </w:abstractNum>
  <w:abstractNum w:abstractNumId="22">
    <w:nsid w:val="75A2A8D4"/>
    <w:multiLevelType w:val="hybridMultilevel"/>
    <w:lvl w:ilvl="0">
      <w:lvlJc w:val="left"/>
      <w:lvlText w:val="(%1)"/>
      <w:numFmt w:val="decimal"/>
      <w:start w:val="614"/>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2020-10-07T07:46:12Z</dcterms:created>
  <dcterms:modified xsi:type="dcterms:W3CDTF">2020-10-07T07:46:12Z</dcterms:modified>
</cp:coreProperties>
</file>