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No._2_)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810186106</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1,919,333</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1,339,980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4,853,893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4,853,893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7.6%</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Scotts Miracle-Gro Company</w:t>
      </w:r>
    </w:p>
    <w:p>
      <w:pPr>
        <w:spacing w:after="0" w:line="206" w:lineRule="exact"/>
        <w:rPr>
          <w:rFonts w:ascii="Courier New" w:cs="Courier New" w:eastAsia="Courier New" w:hAnsi="Courier New"/>
          <w:sz w:val="18"/>
          <w:szCs w:val="18"/>
          <w:color w:val="auto"/>
        </w:rPr>
      </w:pPr>
    </w:p>
    <w:p>
      <w:pPr>
        <w:ind w:left="960" w:right="4319" w:hanging="531"/>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14111 Scottslawn Road, Marysville, Ohio 43041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4,853,893</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1,919,333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1,339,980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4,853,893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January 30, 2008</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2019-12-20T14:09:26Z</dcterms:created>
  <dcterms:modified xsi:type="dcterms:W3CDTF">2019-12-20T14:09:26Z</dcterms:modified>
</cp:coreProperties>
</file>