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97"/>
        </w:trPr>
        <w:tc>
          <w:tcPr>
            <w:tcW w:w="2100" w:type="dxa"/>
            <w:vAlign w:val="bottom"/>
          </w:tcPr>
          <w:p>
            <w:pPr>
              <w:spacing w:after="0"/>
              <w:rPr>
                <w:sz w:val="24"/>
                <w:szCs w:val="24"/>
                <w:color w:val="auto"/>
              </w:rPr>
            </w:pPr>
          </w:p>
        </w:tc>
        <w:tc>
          <w:tcPr>
            <w:tcW w:w="9320" w:type="dxa"/>
            <w:vAlign w:val="bottom"/>
          </w:tcPr>
          <w:p>
            <w:pPr>
              <w:jc w:val="center"/>
              <w:ind w:right="2004"/>
              <w:spacing w:after="0"/>
              <w:rPr>
                <w:sz w:val="20"/>
                <w:szCs w:val="20"/>
                <w:color w:val="auto"/>
              </w:rPr>
            </w:pPr>
            <w:r>
              <w:rPr>
                <w:rFonts w:ascii="Arial" w:cs="Arial" w:eastAsia="Arial" w:hAnsi="Arial"/>
                <w:sz w:val="25"/>
                <w:szCs w:val="25"/>
                <w:b w:val="1"/>
                <w:bCs w:val="1"/>
                <w:color w:val="auto"/>
                <w:w w:val="99"/>
              </w:rPr>
              <w:t>UNITED STATES</w:t>
            </w:r>
          </w:p>
        </w:tc>
      </w:tr>
      <w:tr>
        <w:trPr>
          <w:trHeight w:val="293"/>
        </w:trPr>
        <w:tc>
          <w:tcPr>
            <w:tcW w:w="2100" w:type="dxa"/>
            <w:vAlign w:val="bottom"/>
          </w:tcPr>
          <w:p>
            <w:pPr>
              <w:spacing w:after="0"/>
              <w:rPr>
                <w:sz w:val="24"/>
                <w:szCs w:val="24"/>
                <w:color w:val="auto"/>
              </w:rPr>
            </w:pPr>
          </w:p>
        </w:tc>
        <w:tc>
          <w:tcPr>
            <w:tcW w:w="9320" w:type="dxa"/>
            <w:vAlign w:val="bottom"/>
          </w:tcPr>
          <w:p>
            <w:pPr>
              <w:jc w:val="center"/>
              <w:ind w:right="2004"/>
              <w:spacing w:after="0"/>
              <w:rPr>
                <w:sz w:val="20"/>
                <w:szCs w:val="20"/>
                <w:color w:val="auto"/>
              </w:rPr>
            </w:pPr>
            <w:r>
              <w:rPr>
                <w:rFonts w:ascii="Arial" w:cs="Arial" w:eastAsia="Arial" w:hAnsi="Arial"/>
                <w:sz w:val="25"/>
                <w:szCs w:val="25"/>
                <w:b w:val="1"/>
                <w:bCs w:val="1"/>
                <w:color w:val="auto"/>
              </w:rPr>
              <w:t>SECURITIES AND EXCHANGE COMMISSION</w:t>
            </w:r>
          </w:p>
        </w:tc>
      </w:tr>
      <w:tr>
        <w:trPr>
          <w:trHeight w:val="281"/>
        </w:trPr>
        <w:tc>
          <w:tcPr>
            <w:tcW w:w="2100" w:type="dxa"/>
            <w:vAlign w:val="bottom"/>
          </w:tcPr>
          <w:p>
            <w:pPr>
              <w:spacing w:after="0"/>
              <w:rPr>
                <w:sz w:val="24"/>
                <w:szCs w:val="24"/>
                <w:color w:val="auto"/>
              </w:rPr>
            </w:pPr>
          </w:p>
        </w:tc>
        <w:tc>
          <w:tcPr>
            <w:tcW w:w="9320" w:type="dxa"/>
            <w:vAlign w:val="bottom"/>
          </w:tcPr>
          <w:p>
            <w:pPr>
              <w:jc w:val="center"/>
              <w:ind w:right="2004"/>
              <w:spacing w:after="0"/>
              <w:rPr>
                <w:sz w:val="20"/>
                <w:szCs w:val="20"/>
                <w:color w:val="auto"/>
              </w:rPr>
            </w:pPr>
            <w:r>
              <w:rPr>
                <w:rFonts w:ascii="Arial" w:cs="Arial" w:eastAsia="Arial" w:hAnsi="Arial"/>
                <w:sz w:val="22"/>
                <w:szCs w:val="22"/>
                <w:b w:val="1"/>
                <w:bCs w:val="1"/>
                <w:color w:val="auto"/>
                <w:w w:val="88"/>
              </w:rPr>
              <w:t>Washington, D.C. 20549</w:t>
            </w:r>
          </w:p>
        </w:tc>
      </w:tr>
      <w:tr>
        <w:trPr>
          <w:trHeight w:val="586"/>
        </w:trPr>
        <w:tc>
          <w:tcPr>
            <w:tcW w:w="2100" w:type="dxa"/>
            <w:vAlign w:val="bottom"/>
          </w:tcPr>
          <w:p>
            <w:pPr>
              <w:spacing w:after="0"/>
              <w:rPr>
                <w:sz w:val="24"/>
                <w:szCs w:val="24"/>
                <w:color w:val="auto"/>
              </w:rPr>
            </w:pPr>
          </w:p>
        </w:tc>
        <w:tc>
          <w:tcPr>
            <w:tcW w:w="9320" w:type="dxa"/>
            <w:vAlign w:val="bottom"/>
          </w:tcPr>
          <w:p>
            <w:pPr>
              <w:jc w:val="center"/>
              <w:ind w:right="1984"/>
              <w:spacing w:after="0"/>
              <w:rPr>
                <w:sz w:val="20"/>
                <w:szCs w:val="20"/>
                <w:color w:val="auto"/>
              </w:rPr>
            </w:pPr>
            <w:r>
              <w:rPr>
                <w:rFonts w:ascii="Arial" w:cs="Arial" w:eastAsia="Arial" w:hAnsi="Arial"/>
                <w:sz w:val="32"/>
                <w:szCs w:val="32"/>
                <w:b w:val="1"/>
                <w:bCs w:val="1"/>
                <w:color w:val="auto"/>
              </w:rPr>
              <w:t>SCHEDULE TO</w:t>
            </w:r>
          </w:p>
        </w:tc>
      </w:tr>
      <w:tr>
        <w:trPr>
          <w:trHeight w:val="417"/>
        </w:trPr>
        <w:tc>
          <w:tcPr>
            <w:tcW w:w="2100" w:type="dxa"/>
            <w:vAlign w:val="bottom"/>
          </w:tcPr>
          <w:p>
            <w:pPr>
              <w:spacing w:after="0"/>
              <w:rPr>
                <w:sz w:val="24"/>
                <w:szCs w:val="24"/>
                <w:color w:val="auto"/>
              </w:rPr>
            </w:pPr>
          </w:p>
        </w:tc>
        <w:tc>
          <w:tcPr>
            <w:tcW w:w="9320" w:type="dxa"/>
            <w:vAlign w:val="bottom"/>
          </w:tcPr>
          <w:p>
            <w:pPr>
              <w:jc w:val="center"/>
              <w:ind w:right="2004"/>
              <w:spacing w:after="0"/>
              <w:rPr>
                <w:sz w:val="20"/>
                <w:szCs w:val="20"/>
                <w:color w:val="auto"/>
              </w:rPr>
            </w:pPr>
            <w:r>
              <w:rPr>
                <w:rFonts w:ascii="Arial" w:cs="Arial" w:eastAsia="Arial" w:hAnsi="Arial"/>
                <w:sz w:val="22"/>
                <w:szCs w:val="22"/>
                <w:b w:val="1"/>
                <w:bCs w:val="1"/>
                <w:color w:val="auto"/>
                <w:w w:val="89"/>
              </w:rPr>
              <w:t>Tender Offer Statement under Section 14(d)(1) or 13(e)(1)</w:t>
            </w:r>
          </w:p>
        </w:tc>
      </w:tr>
      <w:tr>
        <w:trPr>
          <w:trHeight w:val="243"/>
        </w:trPr>
        <w:tc>
          <w:tcPr>
            <w:tcW w:w="2100" w:type="dxa"/>
            <w:vAlign w:val="bottom"/>
          </w:tcPr>
          <w:p>
            <w:pPr>
              <w:spacing w:after="0"/>
              <w:rPr>
                <w:sz w:val="21"/>
                <w:szCs w:val="21"/>
                <w:color w:val="auto"/>
              </w:rPr>
            </w:pPr>
          </w:p>
        </w:tc>
        <w:tc>
          <w:tcPr>
            <w:tcW w:w="9320" w:type="dxa"/>
            <w:vAlign w:val="bottom"/>
          </w:tcPr>
          <w:p>
            <w:pPr>
              <w:jc w:val="center"/>
              <w:ind w:right="2004"/>
              <w:spacing w:after="0" w:line="243" w:lineRule="exact"/>
              <w:rPr>
                <w:sz w:val="20"/>
                <w:szCs w:val="20"/>
                <w:color w:val="auto"/>
              </w:rPr>
            </w:pPr>
            <w:r>
              <w:rPr>
                <w:rFonts w:ascii="Arial" w:cs="Arial" w:eastAsia="Arial" w:hAnsi="Arial"/>
                <w:sz w:val="22"/>
                <w:szCs w:val="22"/>
                <w:b w:val="1"/>
                <w:bCs w:val="1"/>
                <w:color w:val="auto"/>
                <w:w w:val="87"/>
              </w:rPr>
              <w:t>of the Securities Exchange Act of 1934</w:t>
            </w:r>
          </w:p>
        </w:tc>
      </w:tr>
      <w:tr>
        <w:trPr>
          <w:trHeight w:val="281"/>
        </w:trPr>
        <w:tc>
          <w:tcPr>
            <w:tcW w:w="2100" w:type="dxa"/>
            <w:vAlign w:val="bottom"/>
          </w:tcPr>
          <w:p>
            <w:pPr>
              <w:spacing w:after="0"/>
              <w:rPr>
                <w:sz w:val="24"/>
                <w:szCs w:val="24"/>
                <w:color w:val="auto"/>
              </w:rPr>
            </w:pPr>
          </w:p>
        </w:tc>
        <w:tc>
          <w:tcPr>
            <w:tcW w:w="9320" w:type="dxa"/>
            <w:vAlign w:val="bottom"/>
          </w:tcPr>
          <w:p>
            <w:pPr>
              <w:jc w:val="center"/>
              <w:ind w:right="2004"/>
              <w:spacing w:after="0"/>
              <w:rPr>
                <w:sz w:val="20"/>
                <w:szCs w:val="20"/>
                <w:color w:val="auto"/>
              </w:rPr>
            </w:pPr>
            <w:r>
              <w:rPr>
                <w:rFonts w:ascii="Arial" w:cs="Arial" w:eastAsia="Arial" w:hAnsi="Arial"/>
                <w:sz w:val="22"/>
                <w:szCs w:val="22"/>
                <w:b w:val="1"/>
                <w:bCs w:val="1"/>
                <w:color w:val="auto"/>
                <w:w w:val="90"/>
              </w:rPr>
              <w:t>(Amendment No. 4)</w:t>
            </w:r>
          </w:p>
        </w:tc>
      </w:tr>
      <w:tr>
        <w:trPr>
          <w:trHeight w:val="516"/>
        </w:trPr>
        <w:tc>
          <w:tcPr>
            <w:tcW w:w="2100" w:type="dxa"/>
            <w:vAlign w:val="bottom"/>
          </w:tcPr>
          <w:p>
            <w:pPr>
              <w:spacing w:after="0"/>
              <w:rPr>
                <w:sz w:val="24"/>
                <w:szCs w:val="24"/>
                <w:color w:val="auto"/>
              </w:rPr>
            </w:pPr>
          </w:p>
        </w:tc>
        <w:tc>
          <w:tcPr>
            <w:tcW w:w="9320" w:type="dxa"/>
            <w:vAlign w:val="bottom"/>
          </w:tcPr>
          <w:p>
            <w:pPr>
              <w:jc w:val="center"/>
              <w:ind w:right="2004"/>
              <w:spacing w:after="0"/>
              <w:rPr>
                <w:sz w:val="20"/>
                <w:szCs w:val="20"/>
                <w:color w:val="auto"/>
              </w:rPr>
            </w:pPr>
            <w:r>
              <w:rPr>
                <w:rFonts w:ascii="Arial" w:cs="Arial" w:eastAsia="Arial" w:hAnsi="Arial"/>
                <w:sz w:val="18"/>
                <w:szCs w:val="18"/>
                <w:b w:val="1"/>
                <w:bCs w:val="1"/>
                <w:color w:val="auto"/>
                <w:w w:val="92"/>
              </w:rPr>
              <w:t>The Scotts Miracle-Gro Company</w:t>
            </w:r>
          </w:p>
        </w:tc>
      </w:tr>
      <w:tr>
        <w:trPr>
          <w:trHeight w:val="230"/>
        </w:trPr>
        <w:tc>
          <w:tcPr>
            <w:tcW w:w="2100" w:type="dxa"/>
            <w:vAlign w:val="bottom"/>
          </w:tcPr>
          <w:p>
            <w:pPr>
              <w:spacing w:after="0"/>
              <w:rPr>
                <w:sz w:val="20"/>
                <w:szCs w:val="20"/>
                <w:color w:val="auto"/>
              </w:rPr>
            </w:pPr>
          </w:p>
        </w:tc>
        <w:tc>
          <w:tcPr>
            <w:tcW w:w="9320" w:type="dxa"/>
            <w:vAlign w:val="bottom"/>
          </w:tcPr>
          <w:p>
            <w:pPr>
              <w:jc w:val="center"/>
              <w:ind w:right="2004"/>
              <w:spacing w:after="0"/>
              <w:rPr>
                <w:sz w:val="20"/>
                <w:szCs w:val="20"/>
                <w:color w:val="auto"/>
              </w:rPr>
            </w:pPr>
            <w:r>
              <w:rPr>
                <w:rFonts w:ascii="Arial" w:cs="Arial" w:eastAsia="Arial" w:hAnsi="Arial"/>
                <w:sz w:val="18"/>
                <w:szCs w:val="18"/>
                <w:color w:val="auto"/>
                <w:w w:val="91"/>
              </w:rPr>
              <w:t>(Name of Subject Company (issuer))</w:t>
            </w:r>
          </w:p>
        </w:tc>
      </w:tr>
      <w:tr>
        <w:trPr>
          <w:trHeight w:val="526"/>
        </w:trPr>
        <w:tc>
          <w:tcPr>
            <w:tcW w:w="2100" w:type="dxa"/>
            <w:vAlign w:val="bottom"/>
          </w:tcPr>
          <w:p>
            <w:pPr>
              <w:spacing w:after="0"/>
              <w:rPr>
                <w:sz w:val="24"/>
                <w:szCs w:val="24"/>
                <w:color w:val="auto"/>
              </w:rPr>
            </w:pPr>
          </w:p>
        </w:tc>
        <w:tc>
          <w:tcPr>
            <w:tcW w:w="9320" w:type="dxa"/>
            <w:vAlign w:val="bottom"/>
          </w:tcPr>
          <w:p>
            <w:pPr>
              <w:jc w:val="center"/>
              <w:ind w:right="2004"/>
              <w:spacing w:after="0"/>
              <w:rPr>
                <w:sz w:val="20"/>
                <w:szCs w:val="20"/>
                <w:color w:val="auto"/>
              </w:rPr>
            </w:pPr>
            <w:r>
              <w:rPr>
                <w:rFonts w:ascii="Arial" w:cs="Arial" w:eastAsia="Arial" w:hAnsi="Arial"/>
                <w:sz w:val="18"/>
                <w:szCs w:val="18"/>
                <w:b w:val="1"/>
                <w:bCs w:val="1"/>
                <w:color w:val="auto"/>
                <w:w w:val="92"/>
              </w:rPr>
              <w:t>The Scotts Miracle-Gro Company (Offeror and Issuer)</w:t>
            </w:r>
          </w:p>
        </w:tc>
      </w:tr>
      <w:tr>
        <w:trPr>
          <w:trHeight w:val="230"/>
        </w:trPr>
        <w:tc>
          <w:tcPr>
            <w:tcW w:w="2100" w:type="dxa"/>
            <w:vAlign w:val="bottom"/>
          </w:tcPr>
          <w:p>
            <w:pPr>
              <w:spacing w:after="0"/>
              <w:rPr>
                <w:sz w:val="20"/>
                <w:szCs w:val="20"/>
                <w:color w:val="auto"/>
              </w:rPr>
            </w:pPr>
          </w:p>
        </w:tc>
        <w:tc>
          <w:tcPr>
            <w:tcW w:w="9320" w:type="dxa"/>
            <w:vAlign w:val="bottom"/>
          </w:tcPr>
          <w:p>
            <w:pPr>
              <w:jc w:val="center"/>
              <w:ind w:right="1984"/>
              <w:spacing w:after="0"/>
              <w:rPr>
                <w:sz w:val="20"/>
                <w:szCs w:val="20"/>
                <w:color w:val="auto"/>
              </w:rPr>
            </w:pPr>
            <w:r>
              <w:rPr>
                <w:rFonts w:ascii="Arial" w:cs="Arial" w:eastAsia="Arial" w:hAnsi="Arial"/>
                <w:sz w:val="18"/>
                <w:szCs w:val="18"/>
                <w:color w:val="auto"/>
                <w:w w:val="90"/>
              </w:rPr>
              <w:t>(Names of Filing Persons (identifying status as offeror, issuer or other person))</w:t>
            </w:r>
          </w:p>
        </w:tc>
      </w:tr>
      <w:tr>
        <w:trPr>
          <w:trHeight w:val="526"/>
        </w:trPr>
        <w:tc>
          <w:tcPr>
            <w:tcW w:w="2100" w:type="dxa"/>
            <w:vAlign w:val="bottom"/>
          </w:tcPr>
          <w:p>
            <w:pPr>
              <w:spacing w:after="0"/>
              <w:rPr>
                <w:sz w:val="24"/>
                <w:szCs w:val="24"/>
                <w:color w:val="auto"/>
              </w:rPr>
            </w:pPr>
          </w:p>
        </w:tc>
        <w:tc>
          <w:tcPr>
            <w:tcW w:w="9320" w:type="dxa"/>
            <w:vAlign w:val="bottom"/>
          </w:tcPr>
          <w:p>
            <w:pPr>
              <w:jc w:val="center"/>
              <w:ind w:right="1984"/>
              <w:spacing w:after="0"/>
              <w:rPr>
                <w:sz w:val="20"/>
                <w:szCs w:val="20"/>
                <w:color w:val="auto"/>
              </w:rPr>
            </w:pPr>
            <w:r>
              <w:rPr>
                <w:rFonts w:ascii="Arial" w:cs="Arial" w:eastAsia="Arial" w:hAnsi="Arial"/>
                <w:sz w:val="18"/>
                <w:szCs w:val="18"/>
                <w:b w:val="1"/>
                <w:bCs w:val="1"/>
                <w:color w:val="auto"/>
                <w:w w:val="90"/>
              </w:rPr>
              <w:t>Common Shares, without par value</w:t>
            </w:r>
          </w:p>
        </w:tc>
      </w:tr>
      <w:tr>
        <w:trPr>
          <w:trHeight w:val="230"/>
        </w:trPr>
        <w:tc>
          <w:tcPr>
            <w:tcW w:w="2100" w:type="dxa"/>
            <w:vAlign w:val="bottom"/>
          </w:tcPr>
          <w:p>
            <w:pPr>
              <w:spacing w:after="0"/>
              <w:rPr>
                <w:sz w:val="20"/>
                <w:szCs w:val="20"/>
                <w:color w:val="auto"/>
              </w:rPr>
            </w:pPr>
          </w:p>
        </w:tc>
        <w:tc>
          <w:tcPr>
            <w:tcW w:w="9320" w:type="dxa"/>
            <w:vAlign w:val="bottom"/>
          </w:tcPr>
          <w:p>
            <w:pPr>
              <w:jc w:val="center"/>
              <w:ind w:right="1984"/>
              <w:spacing w:after="0"/>
              <w:rPr>
                <w:sz w:val="20"/>
                <w:szCs w:val="20"/>
                <w:color w:val="auto"/>
              </w:rPr>
            </w:pPr>
            <w:r>
              <w:rPr>
                <w:rFonts w:ascii="Arial" w:cs="Arial" w:eastAsia="Arial" w:hAnsi="Arial"/>
                <w:sz w:val="18"/>
                <w:szCs w:val="18"/>
                <w:color w:val="auto"/>
                <w:w w:val="92"/>
              </w:rPr>
              <w:t>(Title of Class of Securities)</w:t>
            </w:r>
          </w:p>
        </w:tc>
      </w:tr>
      <w:tr>
        <w:trPr>
          <w:trHeight w:val="526"/>
        </w:trPr>
        <w:tc>
          <w:tcPr>
            <w:tcW w:w="2100" w:type="dxa"/>
            <w:vAlign w:val="bottom"/>
          </w:tcPr>
          <w:p>
            <w:pPr>
              <w:spacing w:after="0"/>
              <w:rPr>
                <w:sz w:val="24"/>
                <w:szCs w:val="24"/>
                <w:color w:val="auto"/>
              </w:rPr>
            </w:pPr>
          </w:p>
        </w:tc>
        <w:tc>
          <w:tcPr>
            <w:tcW w:w="9320" w:type="dxa"/>
            <w:vAlign w:val="bottom"/>
          </w:tcPr>
          <w:p>
            <w:pPr>
              <w:jc w:val="center"/>
              <w:ind w:right="2004"/>
              <w:spacing w:after="0"/>
              <w:rPr>
                <w:sz w:val="20"/>
                <w:szCs w:val="20"/>
                <w:color w:val="auto"/>
              </w:rPr>
            </w:pPr>
            <w:r>
              <w:rPr>
                <w:rFonts w:ascii="Arial" w:cs="Arial" w:eastAsia="Arial" w:hAnsi="Arial"/>
                <w:sz w:val="18"/>
                <w:szCs w:val="18"/>
                <w:b w:val="1"/>
                <w:bCs w:val="1"/>
                <w:color w:val="auto"/>
                <w:w w:val="90"/>
              </w:rPr>
              <w:t>810186106</w:t>
            </w:r>
          </w:p>
        </w:tc>
      </w:tr>
      <w:tr>
        <w:trPr>
          <w:trHeight w:val="230"/>
        </w:trPr>
        <w:tc>
          <w:tcPr>
            <w:tcW w:w="2100" w:type="dxa"/>
            <w:vAlign w:val="bottom"/>
          </w:tcPr>
          <w:p>
            <w:pPr>
              <w:spacing w:after="0"/>
              <w:rPr>
                <w:sz w:val="20"/>
                <w:szCs w:val="20"/>
                <w:color w:val="auto"/>
              </w:rPr>
            </w:pPr>
          </w:p>
        </w:tc>
        <w:tc>
          <w:tcPr>
            <w:tcW w:w="9320" w:type="dxa"/>
            <w:vAlign w:val="bottom"/>
          </w:tcPr>
          <w:p>
            <w:pPr>
              <w:jc w:val="center"/>
              <w:ind w:right="1984"/>
              <w:spacing w:after="0"/>
              <w:rPr>
                <w:sz w:val="20"/>
                <w:szCs w:val="20"/>
                <w:color w:val="auto"/>
              </w:rPr>
            </w:pPr>
            <w:r>
              <w:rPr>
                <w:rFonts w:ascii="Arial" w:cs="Arial" w:eastAsia="Arial" w:hAnsi="Arial"/>
                <w:sz w:val="18"/>
                <w:szCs w:val="18"/>
                <w:color w:val="auto"/>
                <w:w w:val="91"/>
              </w:rPr>
              <w:t>(CUSIP Number of Class of Securities)</w:t>
            </w:r>
          </w:p>
        </w:tc>
      </w:tr>
      <w:tr>
        <w:trPr>
          <w:trHeight w:val="522"/>
        </w:trPr>
        <w:tc>
          <w:tcPr>
            <w:tcW w:w="2100" w:type="dxa"/>
            <w:vAlign w:val="bottom"/>
          </w:tcPr>
          <w:p>
            <w:pPr>
              <w:spacing w:after="0"/>
              <w:rPr>
                <w:sz w:val="24"/>
                <w:szCs w:val="24"/>
                <w:color w:val="auto"/>
              </w:rPr>
            </w:pPr>
          </w:p>
        </w:tc>
        <w:tc>
          <w:tcPr>
            <w:tcW w:w="9320" w:type="dxa"/>
            <w:vAlign w:val="bottom"/>
          </w:tcPr>
          <w:p>
            <w:pPr>
              <w:jc w:val="center"/>
              <w:ind w:right="2004"/>
              <w:spacing w:after="0"/>
              <w:rPr>
                <w:sz w:val="20"/>
                <w:szCs w:val="20"/>
                <w:color w:val="auto"/>
              </w:rPr>
            </w:pPr>
            <w:r>
              <w:rPr>
                <w:rFonts w:ascii="Arial" w:cs="Arial" w:eastAsia="Arial" w:hAnsi="Arial"/>
                <w:sz w:val="18"/>
                <w:szCs w:val="18"/>
                <w:b w:val="1"/>
                <w:bCs w:val="1"/>
                <w:color w:val="auto"/>
                <w:w w:val="95"/>
              </w:rPr>
              <w:t>David M. Aronowitz</w:t>
            </w:r>
          </w:p>
        </w:tc>
      </w:tr>
      <w:tr>
        <w:trPr>
          <w:trHeight w:val="216"/>
        </w:trPr>
        <w:tc>
          <w:tcPr>
            <w:tcW w:w="2100" w:type="dxa"/>
            <w:vAlign w:val="bottom"/>
          </w:tcPr>
          <w:p>
            <w:pPr>
              <w:spacing w:after="0"/>
              <w:rPr>
                <w:sz w:val="18"/>
                <w:szCs w:val="18"/>
                <w:color w:val="auto"/>
              </w:rPr>
            </w:pPr>
          </w:p>
        </w:tc>
        <w:tc>
          <w:tcPr>
            <w:tcW w:w="9320" w:type="dxa"/>
            <w:vAlign w:val="bottom"/>
          </w:tcPr>
          <w:p>
            <w:pPr>
              <w:jc w:val="center"/>
              <w:ind w:right="1984"/>
              <w:spacing w:after="0"/>
              <w:rPr>
                <w:sz w:val="20"/>
                <w:szCs w:val="20"/>
                <w:color w:val="auto"/>
              </w:rPr>
            </w:pPr>
            <w:r>
              <w:rPr>
                <w:rFonts w:ascii="Arial" w:cs="Arial" w:eastAsia="Arial" w:hAnsi="Arial"/>
                <w:sz w:val="18"/>
                <w:szCs w:val="18"/>
                <w:b w:val="1"/>
                <w:bCs w:val="1"/>
                <w:color w:val="auto"/>
                <w:w w:val="90"/>
              </w:rPr>
              <w:t>Executive Vice President, General Counsel and Corporate Secretary</w:t>
            </w:r>
          </w:p>
        </w:tc>
      </w:tr>
      <w:tr>
        <w:trPr>
          <w:trHeight w:val="216"/>
        </w:trPr>
        <w:tc>
          <w:tcPr>
            <w:tcW w:w="2100" w:type="dxa"/>
            <w:vAlign w:val="bottom"/>
          </w:tcPr>
          <w:p>
            <w:pPr>
              <w:spacing w:after="0"/>
              <w:rPr>
                <w:sz w:val="18"/>
                <w:szCs w:val="18"/>
                <w:color w:val="auto"/>
              </w:rPr>
            </w:pPr>
          </w:p>
        </w:tc>
        <w:tc>
          <w:tcPr>
            <w:tcW w:w="9320" w:type="dxa"/>
            <w:vAlign w:val="bottom"/>
          </w:tcPr>
          <w:p>
            <w:pPr>
              <w:jc w:val="center"/>
              <w:ind w:right="2004"/>
              <w:spacing w:after="0"/>
              <w:rPr>
                <w:sz w:val="20"/>
                <w:szCs w:val="20"/>
                <w:color w:val="auto"/>
              </w:rPr>
            </w:pPr>
            <w:r>
              <w:rPr>
                <w:rFonts w:ascii="Arial" w:cs="Arial" w:eastAsia="Arial" w:hAnsi="Arial"/>
                <w:sz w:val="18"/>
                <w:szCs w:val="18"/>
                <w:b w:val="1"/>
                <w:bCs w:val="1"/>
                <w:color w:val="auto"/>
                <w:w w:val="92"/>
              </w:rPr>
              <w:t>The Scotts Miracle-Gro Company</w:t>
            </w:r>
          </w:p>
        </w:tc>
      </w:tr>
      <w:tr>
        <w:trPr>
          <w:trHeight w:val="216"/>
        </w:trPr>
        <w:tc>
          <w:tcPr>
            <w:tcW w:w="2100" w:type="dxa"/>
            <w:vAlign w:val="bottom"/>
          </w:tcPr>
          <w:p>
            <w:pPr>
              <w:spacing w:after="0"/>
              <w:rPr>
                <w:sz w:val="18"/>
                <w:szCs w:val="18"/>
                <w:color w:val="auto"/>
              </w:rPr>
            </w:pPr>
          </w:p>
        </w:tc>
        <w:tc>
          <w:tcPr>
            <w:tcW w:w="9320" w:type="dxa"/>
            <w:vAlign w:val="bottom"/>
          </w:tcPr>
          <w:p>
            <w:pPr>
              <w:jc w:val="center"/>
              <w:ind w:right="1984"/>
              <w:spacing w:after="0"/>
              <w:rPr>
                <w:sz w:val="20"/>
                <w:szCs w:val="20"/>
                <w:color w:val="auto"/>
              </w:rPr>
            </w:pPr>
            <w:r>
              <w:rPr>
                <w:rFonts w:ascii="Arial" w:cs="Arial" w:eastAsia="Arial" w:hAnsi="Arial"/>
                <w:sz w:val="18"/>
                <w:szCs w:val="18"/>
                <w:b w:val="1"/>
                <w:bCs w:val="1"/>
                <w:color w:val="auto"/>
                <w:w w:val="87"/>
              </w:rPr>
              <w:t>14111 Scottslawn Road</w:t>
            </w:r>
          </w:p>
        </w:tc>
      </w:tr>
      <w:tr>
        <w:trPr>
          <w:trHeight w:val="216"/>
        </w:trPr>
        <w:tc>
          <w:tcPr>
            <w:tcW w:w="2100" w:type="dxa"/>
            <w:vAlign w:val="bottom"/>
          </w:tcPr>
          <w:p>
            <w:pPr>
              <w:spacing w:after="0"/>
              <w:rPr>
                <w:sz w:val="18"/>
                <w:szCs w:val="18"/>
                <w:color w:val="auto"/>
              </w:rPr>
            </w:pPr>
          </w:p>
        </w:tc>
        <w:tc>
          <w:tcPr>
            <w:tcW w:w="9320" w:type="dxa"/>
            <w:vAlign w:val="bottom"/>
          </w:tcPr>
          <w:p>
            <w:pPr>
              <w:jc w:val="center"/>
              <w:ind w:right="2004"/>
              <w:spacing w:after="0"/>
              <w:rPr>
                <w:sz w:val="20"/>
                <w:szCs w:val="20"/>
                <w:color w:val="auto"/>
              </w:rPr>
            </w:pPr>
            <w:r>
              <w:rPr>
                <w:rFonts w:ascii="Arial" w:cs="Arial" w:eastAsia="Arial" w:hAnsi="Arial"/>
                <w:sz w:val="18"/>
                <w:szCs w:val="18"/>
                <w:b w:val="1"/>
                <w:bCs w:val="1"/>
                <w:color w:val="auto"/>
                <w:w w:val="92"/>
              </w:rPr>
              <w:t>Marysville, Ohio 43041</w:t>
            </w:r>
          </w:p>
        </w:tc>
      </w:tr>
      <w:tr>
        <w:trPr>
          <w:trHeight w:val="220"/>
        </w:trPr>
        <w:tc>
          <w:tcPr>
            <w:tcW w:w="2100" w:type="dxa"/>
            <w:vAlign w:val="bottom"/>
          </w:tcPr>
          <w:p>
            <w:pPr>
              <w:spacing w:after="0"/>
              <w:rPr>
                <w:sz w:val="19"/>
                <w:szCs w:val="19"/>
                <w:color w:val="auto"/>
              </w:rPr>
            </w:pPr>
          </w:p>
        </w:tc>
        <w:tc>
          <w:tcPr>
            <w:tcW w:w="9320" w:type="dxa"/>
            <w:vAlign w:val="bottom"/>
          </w:tcPr>
          <w:p>
            <w:pPr>
              <w:jc w:val="center"/>
              <w:ind w:right="1984"/>
              <w:spacing w:after="0"/>
              <w:rPr>
                <w:sz w:val="20"/>
                <w:szCs w:val="20"/>
                <w:color w:val="auto"/>
              </w:rPr>
            </w:pPr>
            <w:r>
              <w:rPr>
                <w:rFonts w:ascii="Arial" w:cs="Arial" w:eastAsia="Arial" w:hAnsi="Arial"/>
                <w:sz w:val="18"/>
                <w:szCs w:val="18"/>
                <w:b w:val="1"/>
                <w:bCs w:val="1"/>
                <w:color w:val="auto"/>
                <w:w w:val="90"/>
              </w:rPr>
              <w:t>(937) 644-0011</w:t>
            </w:r>
          </w:p>
        </w:tc>
      </w:tr>
      <w:tr>
        <w:trPr>
          <w:trHeight w:val="216"/>
        </w:trPr>
        <w:tc>
          <w:tcPr>
            <w:tcW w:w="2100" w:type="dxa"/>
            <w:vAlign w:val="bottom"/>
          </w:tcPr>
          <w:p>
            <w:pPr>
              <w:spacing w:after="0"/>
              <w:rPr>
                <w:sz w:val="18"/>
                <w:szCs w:val="18"/>
                <w:color w:val="auto"/>
              </w:rPr>
            </w:pPr>
          </w:p>
        </w:tc>
        <w:tc>
          <w:tcPr>
            <w:tcW w:w="9320" w:type="dxa"/>
            <w:vAlign w:val="bottom"/>
          </w:tcPr>
          <w:p>
            <w:pPr>
              <w:jc w:val="center"/>
              <w:ind w:right="1984"/>
              <w:spacing w:after="0"/>
              <w:rPr>
                <w:sz w:val="20"/>
                <w:szCs w:val="20"/>
                <w:color w:val="auto"/>
              </w:rPr>
            </w:pPr>
            <w:r>
              <w:rPr>
                <w:rFonts w:ascii="Arial" w:cs="Arial" w:eastAsia="Arial" w:hAnsi="Arial"/>
                <w:sz w:val="18"/>
                <w:szCs w:val="18"/>
                <w:color w:val="auto"/>
                <w:w w:val="88"/>
              </w:rPr>
              <w:t>(Name, address, and telephone numbers of person authorized</w:t>
            </w:r>
          </w:p>
        </w:tc>
      </w:tr>
      <w:tr>
        <w:trPr>
          <w:trHeight w:val="230"/>
        </w:trPr>
        <w:tc>
          <w:tcPr>
            <w:tcW w:w="2100" w:type="dxa"/>
            <w:vAlign w:val="bottom"/>
          </w:tcPr>
          <w:p>
            <w:pPr>
              <w:spacing w:after="0"/>
              <w:rPr>
                <w:sz w:val="20"/>
                <w:szCs w:val="20"/>
                <w:color w:val="auto"/>
              </w:rPr>
            </w:pPr>
          </w:p>
        </w:tc>
        <w:tc>
          <w:tcPr>
            <w:tcW w:w="9320" w:type="dxa"/>
            <w:vAlign w:val="bottom"/>
          </w:tcPr>
          <w:p>
            <w:pPr>
              <w:jc w:val="center"/>
              <w:ind w:right="1984"/>
              <w:spacing w:after="0"/>
              <w:rPr>
                <w:sz w:val="20"/>
                <w:szCs w:val="20"/>
                <w:color w:val="auto"/>
              </w:rPr>
            </w:pPr>
            <w:r>
              <w:rPr>
                <w:rFonts w:ascii="Arial" w:cs="Arial" w:eastAsia="Arial" w:hAnsi="Arial"/>
                <w:sz w:val="18"/>
                <w:szCs w:val="18"/>
                <w:color w:val="auto"/>
                <w:w w:val="91"/>
              </w:rPr>
              <w:t>to receive notices and communications on behalf of filing persons)</w:t>
            </w:r>
          </w:p>
        </w:tc>
      </w:tr>
      <w:tr>
        <w:trPr>
          <w:trHeight w:val="540"/>
        </w:trPr>
        <w:tc>
          <w:tcPr>
            <w:tcW w:w="2100" w:type="dxa"/>
            <w:vAlign w:val="bottom"/>
          </w:tcPr>
          <w:p>
            <w:pPr>
              <w:spacing w:after="0"/>
              <w:rPr>
                <w:sz w:val="24"/>
                <w:szCs w:val="24"/>
                <w:color w:val="auto"/>
              </w:rPr>
            </w:pPr>
          </w:p>
        </w:tc>
        <w:tc>
          <w:tcPr>
            <w:tcW w:w="9320" w:type="dxa"/>
            <w:vAlign w:val="bottom"/>
          </w:tcPr>
          <w:p>
            <w:pPr>
              <w:jc w:val="center"/>
              <w:ind w:right="2004"/>
              <w:spacing w:after="0"/>
              <w:rPr>
                <w:sz w:val="20"/>
                <w:szCs w:val="20"/>
                <w:color w:val="auto"/>
              </w:rPr>
            </w:pPr>
            <w:r>
              <w:rPr>
                <w:rFonts w:ascii="Arial" w:cs="Arial" w:eastAsia="Arial" w:hAnsi="Arial"/>
                <w:sz w:val="18"/>
                <w:szCs w:val="18"/>
                <w:b w:val="1"/>
                <w:bCs w:val="1"/>
                <w:i w:val="1"/>
                <w:iCs w:val="1"/>
                <w:color w:val="auto"/>
                <w:w w:val="84"/>
              </w:rPr>
              <w:t>Copy to:</w:t>
            </w:r>
          </w:p>
        </w:tc>
      </w:tr>
      <w:tr>
        <w:trPr>
          <w:trHeight w:val="522"/>
        </w:trPr>
        <w:tc>
          <w:tcPr>
            <w:tcW w:w="2100" w:type="dxa"/>
            <w:vAlign w:val="bottom"/>
          </w:tcPr>
          <w:p>
            <w:pPr>
              <w:spacing w:after="0"/>
              <w:rPr>
                <w:sz w:val="24"/>
                <w:szCs w:val="24"/>
                <w:color w:val="auto"/>
              </w:rPr>
            </w:pPr>
          </w:p>
        </w:tc>
        <w:tc>
          <w:tcPr>
            <w:tcW w:w="9320" w:type="dxa"/>
            <w:vAlign w:val="bottom"/>
          </w:tcPr>
          <w:p>
            <w:pPr>
              <w:jc w:val="center"/>
              <w:ind w:right="2004"/>
              <w:spacing w:after="0"/>
              <w:rPr>
                <w:sz w:val="20"/>
                <w:szCs w:val="20"/>
                <w:color w:val="auto"/>
              </w:rPr>
            </w:pPr>
            <w:r>
              <w:rPr>
                <w:rFonts w:ascii="Arial" w:cs="Arial" w:eastAsia="Arial" w:hAnsi="Arial"/>
                <w:sz w:val="18"/>
                <w:szCs w:val="18"/>
                <w:b w:val="1"/>
                <w:bCs w:val="1"/>
                <w:color w:val="auto"/>
                <w:w w:val="91"/>
              </w:rPr>
              <w:t>Ronald A. Robins, Jr.</w:t>
            </w:r>
          </w:p>
        </w:tc>
      </w:tr>
      <w:tr>
        <w:trPr>
          <w:trHeight w:val="216"/>
        </w:trPr>
        <w:tc>
          <w:tcPr>
            <w:tcW w:w="2100" w:type="dxa"/>
            <w:vAlign w:val="bottom"/>
          </w:tcPr>
          <w:p>
            <w:pPr>
              <w:spacing w:after="0"/>
              <w:rPr>
                <w:sz w:val="18"/>
                <w:szCs w:val="18"/>
                <w:color w:val="auto"/>
              </w:rPr>
            </w:pPr>
          </w:p>
        </w:tc>
        <w:tc>
          <w:tcPr>
            <w:tcW w:w="9320" w:type="dxa"/>
            <w:vAlign w:val="bottom"/>
          </w:tcPr>
          <w:p>
            <w:pPr>
              <w:jc w:val="center"/>
              <w:ind w:right="1984"/>
              <w:spacing w:after="0"/>
              <w:rPr>
                <w:sz w:val="20"/>
                <w:szCs w:val="20"/>
                <w:color w:val="auto"/>
              </w:rPr>
            </w:pPr>
            <w:r>
              <w:rPr>
                <w:rFonts w:ascii="Arial" w:cs="Arial" w:eastAsia="Arial" w:hAnsi="Arial"/>
                <w:sz w:val="18"/>
                <w:szCs w:val="18"/>
                <w:b w:val="1"/>
                <w:bCs w:val="1"/>
                <w:color w:val="auto"/>
                <w:w w:val="89"/>
              </w:rPr>
              <w:t>Vorys, Sater, Seymour and Pease LLP</w:t>
            </w:r>
          </w:p>
        </w:tc>
      </w:tr>
      <w:tr>
        <w:trPr>
          <w:trHeight w:val="216"/>
        </w:trPr>
        <w:tc>
          <w:tcPr>
            <w:tcW w:w="2100" w:type="dxa"/>
            <w:vAlign w:val="bottom"/>
          </w:tcPr>
          <w:p>
            <w:pPr>
              <w:spacing w:after="0"/>
              <w:rPr>
                <w:sz w:val="18"/>
                <w:szCs w:val="18"/>
                <w:color w:val="auto"/>
              </w:rPr>
            </w:pPr>
          </w:p>
        </w:tc>
        <w:tc>
          <w:tcPr>
            <w:tcW w:w="9320" w:type="dxa"/>
            <w:vAlign w:val="bottom"/>
          </w:tcPr>
          <w:p>
            <w:pPr>
              <w:jc w:val="center"/>
              <w:ind w:right="2004"/>
              <w:spacing w:after="0"/>
              <w:rPr>
                <w:sz w:val="20"/>
                <w:szCs w:val="20"/>
                <w:color w:val="auto"/>
              </w:rPr>
            </w:pPr>
            <w:r>
              <w:rPr>
                <w:rFonts w:ascii="Arial" w:cs="Arial" w:eastAsia="Arial" w:hAnsi="Arial"/>
                <w:sz w:val="18"/>
                <w:szCs w:val="18"/>
                <w:b w:val="1"/>
                <w:bCs w:val="1"/>
                <w:color w:val="auto"/>
                <w:w w:val="89"/>
              </w:rPr>
              <w:t>52 East Gay Street</w:t>
            </w:r>
          </w:p>
        </w:tc>
      </w:tr>
      <w:tr>
        <w:trPr>
          <w:trHeight w:val="216"/>
        </w:trPr>
        <w:tc>
          <w:tcPr>
            <w:tcW w:w="2100" w:type="dxa"/>
            <w:vAlign w:val="bottom"/>
          </w:tcPr>
          <w:p>
            <w:pPr>
              <w:spacing w:after="0"/>
              <w:rPr>
                <w:sz w:val="18"/>
                <w:szCs w:val="18"/>
                <w:color w:val="auto"/>
              </w:rPr>
            </w:pPr>
          </w:p>
        </w:tc>
        <w:tc>
          <w:tcPr>
            <w:tcW w:w="9320" w:type="dxa"/>
            <w:vAlign w:val="bottom"/>
          </w:tcPr>
          <w:p>
            <w:pPr>
              <w:jc w:val="center"/>
              <w:ind w:right="1984"/>
              <w:spacing w:after="0"/>
              <w:rPr>
                <w:sz w:val="20"/>
                <w:szCs w:val="20"/>
                <w:color w:val="auto"/>
              </w:rPr>
            </w:pPr>
            <w:r>
              <w:rPr>
                <w:rFonts w:ascii="Arial" w:cs="Arial" w:eastAsia="Arial" w:hAnsi="Arial"/>
                <w:sz w:val="18"/>
                <w:szCs w:val="18"/>
                <w:b w:val="1"/>
                <w:bCs w:val="1"/>
                <w:color w:val="auto"/>
                <w:w w:val="90"/>
              </w:rPr>
              <w:t>Columbus, Ohio 43215</w:t>
            </w:r>
          </w:p>
        </w:tc>
      </w:tr>
      <w:tr>
        <w:trPr>
          <w:trHeight w:val="234"/>
        </w:trPr>
        <w:tc>
          <w:tcPr>
            <w:tcW w:w="2100" w:type="dxa"/>
            <w:vAlign w:val="bottom"/>
          </w:tcPr>
          <w:p>
            <w:pPr>
              <w:spacing w:after="0"/>
              <w:rPr>
                <w:sz w:val="20"/>
                <w:szCs w:val="20"/>
                <w:color w:val="auto"/>
              </w:rPr>
            </w:pPr>
          </w:p>
        </w:tc>
        <w:tc>
          <w:tcPr>
            <w:tcW w:w="9320" w:type="dxa"/>
            <w:vAlign w:val="bottom"/>
          </w:tcPr>
          <w:p>
            <w:pPr>
              <w:jc w:val="center"/>
              <w:ind w:right="1984"/>
              <w:spacing w:after="0"/>
              <w:rPr>
                <w:sz w:val="20"/>
                <w:szCs w:val="20"/>
                <w:color w:val="auto"/>
              </w:rPr>
            </w:pPr>
            <w:r>
              <w:rPr>
                <w:rFonts w:ascii="Arial" w:cs="Arial" w:eastAsia="Arial" w:hAnsi="Arial"/>
                <w:sz w:val="18"/>
                <w:szCs w:val="18"/>
                <w:b w:val="1"/>
                <w:bCs w:val="1"/>
                <w:color w:val="auto"/>
                <w:w w:val="90"/>
              </w:rPr>
              <w:t>(614) 464-6400</w:t>
            </w:r>
          </w:p>
        </w:tc>
      </w:tr>
      <w:tr>
        <w:trPr>
          <w:trHeight w:val="540"/>
        </w:trPr>
        <w:tc>
          <w:tcPr>
            <w:tcW w:w="2100" w:type="dxa"/>
            <w:vAlign w:val="bottom"/>
          </w:tcPr>
          <w:p>
            <w:pPr>
              <w:spacing w:after="0"/>
              <w:rPr>
                <w:sz w:val="24"/>
                <w:szCs w:val="24"/>
                <w:color w:val="auto"/>
              </w:rPr>
            </w:pPr>
          </w:p>
        </w:tc>
        <w:tc>
          <w:tcPr>
            <w:tcW w:w="9320" w:type="dxa"/>
            <w:vAlign w:val="bottom"/>
          </w:tcPr>
          <w:p>
            <w:pPr>
              <w:jc w:val="center"/>
              <w:ind w:right="2004"/>
              <w:spacing w:after="0"/>
              <w:rPr>
                <w:sz w:val="20"/>
                <w:szCs w:val="20"/>
                <w:color w:val="auto"/>
              </w:rPr>
            </w:pPr>
            <w:r>
              <w:rPr>
                <w:rFonts w:ascii="Arial" w:cs="Arial" w:eastAsia="Arial" w:hAnsi="Arial"/>
                <w:sz w:val="18"/>
                <w:szCs w:val="18"/>
                <w:b w:val="1"/>
                <w:bCs w:val="1"/>
                <w:color w:val="auto"/>
                <w:w w:val="91"/>
              </w:rPr>
              <w:t>Calculation of Filing Fee</w:t>
            </w:r>
          </w:p>
        </w:tc>
      </w:tr>
      <w:tr>
        <w:trPr>
          <w:trHeight w:val="365"/>
        </w:trPr>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Transaction valuation*</w:t>
            </w:r>
          </w:p>
        </w:tc>
        <w:tc>
          <w:tcPr>
            <w:tcW w:w="93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color w:val="auto"/>
              </w:rPr>
              <w:t>Amount of Filing Fee**</w:t>
            </w:r>
          </w:p>
        </w:tc>
      </w:tr>
      <w:tr>
        <w:trPr>
          <w:trHeight w:val="224"/>
        </w:trPr>
        <w:tc>
          <w:tcPr>
            <w:tcW w:w="2100" w:type="dxa"/>
            <w:vAlign w:val="bottom"/>
          </w:tcPr>
          <w:p>
            <w:pPr>
              <w:spacing w:after="0"/>
              <w:rPr>
                <w:sz w:val="20"/>
                <w:szCs w:val="20"/>
                <w:color w:val="auto"/>
              </w:rPr>
            </w:pPr>
            <w:r>
              <w:rPr>
                <w:rFonts w:ascii="Arial" w:cs="Arial" w:eastAsia="Arial" w:hAnsi="Arial"/>
                <w:sz w:val="18"/>
                <w:szCs w:val="18"/>
                <w:color w:val="auto"/>
              </w:rPr>
              <w:t>$250,000,000.00</w:t>
            </w:r>
          </w:p>
        </w:tc>
        <w:tc>
          <w:tcPr>
            <w:tcW w:w="9320" w:type="dxa"/>
            <w:vAlign w:val="bottom"/>
          </w:tcPr>
          <w:p>
            <w:pPr>
              <w:jc w:val="right"/>
              <w:ind w:right="504"/>
              <w:spacing w:after="0"/>
              <w:rPr>
                <w:sz w:val="20"/>
                <w:szCs w:val="20"/>
                <w:color w:val="auto"/>
              </w:rPr>
            </w:pPr>
            <w:r>
              <w:rPr>
                <w:rFonts w:ascii="Arial" w:cs="Arial" w:eastAsia="Arial" w:hAnsi="Arial"/>
                <w:sz w:val="18"/>
                <w:szCs w:val="18"/>
                <w:color w:val="auto"/>
              </w:rPr>
              <w:t>$26,750.00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20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solely for the purpose of determining the amount of the filing fee. This amount is based upon the purchase of 4,504,504 common shares at the maximum tender offer price of $55.50 per share.</w:t>
      </w:r>
    </w:p>
    <w:p>
      <w:pPr>
        <w:spacing w:after="0" w:line="22" w:lineRule="exact"/>
        <w:rPr>
          <w:sz w:val="20"/>
          <w:szCs w:val="20"/>
          <w:color w:val="auto"/>
        </w:rPr>
      </w:pPr>
    </w:p>
    <w:p>
      <w:pPr>
        <w:ind w:left="460" w:right="100" w:hanging="452"/>
        <w:spacing w:after="0" w:line="308"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amount of the filing fee, calculated in accordance with Rule 0-11(b) of the Securities Exchange Act of 1934, as amended, and Fee Advisory #5 for Fiscal Year 2007 issued by the Securities and Exchange Commission, equals $107.00 per million of the value of the transaction.</w:t>
      </w:r>
    </w:p>
    <w:p>
      <w:pPr>
        <w:spacing w:after="0" w:line="147" w:lineRule="exact"/>
        <w:rPr>
          <w:sz w:val="20"/>
          <w:szCs w:val="20"/>
          <w:color w:val="auto"/>
        </w:rPr>
      </w:pPr>
    </w:p>
    <w:p>
      <w:pPr>
        <w:ind w:left="460" w:right="260" w:hanging="452"/>
        <w:spacing w:after="0" w:line="277"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Amount Previously Paid: $26,750.00</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Form or Registration No.: Schedule TO-I</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Filing Party: The Scotts Miracle-Gro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 Filed: January 10, 2007</w:t>
      </w:r>
    </w:p>
    <w:p>
      <w:pPr>
        <w:spacing w:after="0" w:line="211" w:lineRule="exact"/>
        <w:rPr>
          <w:sz w:val="20"/>
          <w:szCs w:val="20"/>
          <w:color w:val="auto"/>
        </w:rPr>
      </w:pPr>
    </w:p>
    <w:p>
      <w:pPr>
        <w:ind w:right="2140" w:firstLine="8"/>
        <w:spacing w:after="0" w:line="402" w:lineRule="auto"/>
        <w:tabs>
          <w:tab w:leader="none" w:pos="459"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63" w:lineRule="exact"/>
        <w:rPr>
          <w:sz w:val="20"/>
          <w:szCs w:val="20"/>
          <w:color w:val="auto"/>
        </w:rPr>
      </w:pPr>
    </w:p>
    <w:p>
      <w:pPr>
        <w:ind w:left="1260" w:hanging="563"/>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tender offer subject to Rule 14d-1.</w:t>
      </w:r>
    </w:p>
    <w:p>
      <w:pPr>
        <w:spacing w:after="0" w:line="225" w:lineRule="exact"/>
        <w:rPr>
          <w:sz w:val="20"/>
          <w:szCs w:val="20"/>
          <w:color w:val="auto"/>
        </w:rPr>
      </w:pPr>
    </w:p>
    <w:p>
      <w:pPr>
        <w:ind w:left="1260" w:hanging="563"/>
        <w:spacing w:after="0"/>
        <w:tabs>
          <w:tab w:leader="none" w:pos="12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225" w:lineRule="exact"/>
        <w:rPr>
          <w:sz w:val="20"/>
          <w:szCs w:val="20"/>
          <w:color w:val="auto"/>
        </w:rPr>
      </w:pPr>
    </w:p>
    <w:p>
      <w:pPr>
        <w:ind w:left="1260" w:hanging="563"/>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ectPr>
          <w:pgSz w:w="11900" w:h="16838" w:orient="portrait"/>
          <w:cols w:equalWidth="0" w:num="1">
            <w:col w:w="11420"/>
          </w:cols>
          <w:pgMar w:left="240" w:top="927" w:right="239" w:bottom="0" w:gutter="0" w:footer="0" w:header="0"/>
        </w:sectPr>
      </w:pPr>
    </w:p>
    <w:bookmarkStart w:id="2" w:name="page3"/>
    <w:bookmarkEnd w:id="2"/>
    <w:p>
      <w:pPr>
        <w:ind w:left="1260" w:hanging="563"/>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8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605790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This Amendment No. 4 (this “Amendment”) amends and supplements the Tender Offer Statement on Schedule TO originally filed with the Securities and Exchange Commission (the “Commission”) on January 10, 2007, as amended and supplemented by Amendment No. 1 to the Tender Offer Statement on Schedule TO filed with the Commission on February 2, 2007, Amendment No. 2 to the Tender Offer Statement on Schedule TO filed with the Commission on February 7, 2007 and Amendment No. 3 to the Tender Offer Statement on Schedule TO filed with the Commission on February 15, 2007 (collectively, the “Schedule TO”) by The Scotts Miracle-Gro Company, an Ohio corporation (“SMG”), and relates to the offer by SMG to purchase for cash up to 4,504,504 of its common shares, without par value, or such lesser number of common shares as is validly tendered and not validly withdrawn, at a price of not less than $48.50 nor greater than $55.50 per share, without interest. SMG’s offer is being made upon the terms and subject to the conditions set forth in the Offer to Purchase dated January 10, 2007 (the “Offer to Purchase”), and in the related Letter of Transmittal, copies of which were previously filed as Exhibits (a)(1)(i) and (a)(1)(ii), respectively, to the Schedule TO (which together, as amended or supplemented from time to time, constitute the “Offer”).</w:t>
      </w:r>
    </w:p>
    <w:p>
      <w:pPr>
        <w:spacing w:after="0" w:line="59" w:lineRule="exact"/>
        <w:rPr>
          <w:sz w:val="20"/>
          <w:szCs w:val="20"/>
          <w:color w:val="auto"/>
        </w:rPr>
      </w:pPr>
    </w:p>
    <w:p>
      <w:pPr>
        <w:jc w:val="both"/>
        <w:ind w:right="640" w:firstLine="222"/>
        <w:spacing w:after="0" w:line="312" w:lineRule="auto"/>
        <w:rPr>
          <w:sz w:val="20"/>
          <w:szCs w:val="20"/>
          <w:color w:val="auto"/>
        </w:rPr>
      </w:pPr>
      <w:r>
        <w:rPr>
          <w:rFonts w:ascii="Arial" w:cs="Arial" w:eastAsia="Arial" w:hAnsi="Arial"/>
          <w:sz w:val="16"/>
          <w:szCs w:val="16"/>
          <w:color w:val="auto"/>
        </w:rPr>
        <w:t>The information contained in the Offer is expressly incorporated by reference into this Amendment in response to all of the applicable items in the Schedule TO, except that such information is hereby amended and supplemented to the extent specifically provided herein. This Amendment No. 4 to Schedule TO is intended to satisfy the reporting requirements of Rule 13e-4(c)(4) of the Securities Exchange Act of 1934,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Additional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11(b) of the Schedule TO is hereby amended and supplemented by adding the following:</w:t>
      </w:r>
    </w:p>
    <w:p>
      <w:pPr>
        <w:spacing w:after="0" w:line="117" w:lineRule="exact"/>
        <w:rPr>
          <w:sz w:val="20"/>
          <w:szCs w:val="20"/>
          <w:color w:val="auto"/>
        </w:rPr>
      </w:pPr>
    </w:p>
    <w:p>
      <w:pPr>
        <w:ind w:right="260" w:firstLine="225"/>
        <w:spacing w:after="0" w:line="342" w:lineRule="auto"/>
        <w:rPr>
          <w:sz w:val="20"/>
          <w:szCs w:val="20"/>
          <w:color w:val="auto"/>
        </w:rPr>
      </w:pPr>
      <w:r>
        <w:rPr>
          <w:rFonts w:ascii="Arial" w:cs="Arial" w:eastAsia="Arial" w:hAnsi="Arial"/>
          <w:sz w:val="16"/>
          <w:szCs w:val="16"/>
          <w:color w:val="auto"/>
        </w:rPr>
        <w:t>On February 21, 2007, SMG issued a News Release announcing the final results of the Offer, which expired at 12:00 midnight, New York City time, on Wednesday, February 14, 2007. A copy of the News Release is filed as Exhibit (a)(5)(vii) to this Schedule TO and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12 of the Schedule TO is hereby amended and supplemented by adding the following exhibit thereto: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(a)(5)(vii)**** News Release, dated February 21,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/s/ David. M. Aronowitz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6"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David M. Aronowitz, 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6"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(Name and title)</w:t>
      </w:r>
    </w:p>
    <w:p>
      <w:pPr>
        <w:spacing w:after="0" w:line="225"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February 21,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6"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958" w:right="11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0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100" w:type="dxa"/>
            <w:vAlign w:val="bottom"/>
          </w:tcPr>
          <w:p>
            <w:pPr>
              <w:spacing w:after="0"/>
              <w:rPr>
                <w:sz w:val="24"/>
                <w:szCs w:val="24"/>
                <w:color w:val="auto"/>
              </w:rPr>
            </w:pPr>
          </w:p>
        </w:tc>
        <w:tc>
          <w:tcPr>
            <w:tcW w:w="9700" w:type="dxa"/>
            <w:vAlign w:val="bottom"/>
            <w:tcBorders>
              <w:bottom w:val="single" w:sz="8" w:color="auto"/>
            </w:tcBorders>
          </w:tcPr>
          <w:p>
            <w:pPr>
              <w:ind w:left="4520"/>
              <w:spacing w:after="0"/>
              <w:rPr>
                <w:sz w:val="20"/>
                <w:szCs w:val="20"/>
                <w:color w:val="auto"/>
              </w:rPr>
            </w:pPr>
            <w:r>
              <w:rPr>
                <w:rFonts w:ascii="Arial" w:cs="Arial" w:eastAsia="Arial" w:hAnsi="Arial"/>
                <w:sz w:val="14"/>
                <w:szCs w:val="14"/>
                <w:color w:val="auto"/>
              </w:rPr>
              <w:t>Description</w:t>
            </w:r>
          </w:p>
        </w:tc>
      </w:tr>
      <w:tr>
        <w:trPr>
          <w:trHeight w:val="426"/>
        </w:trPr>
        <w:tc>
          <w:tcPr>
            <w:tcW w:w="1620" w:type="dxa"/>
            <w:vAlign w:val="bottom"/>
          </w:tcPr>
          <w:p>
            <w:pPr>
              <w:spacing w:after="0"/>
              <w:rPr>
                <w:sz w:val="20"/>
                <w:szCs w:val="20"/>
                <w:color w:val="auto"/>
              </w:rPr>
            </w:pPr>
            <w:r>
              <w:rPr>
                <w:rFonts w:ascii="Arial" w:cs="Arial" w:eastAsia="Arial" w:hAnsi="Arial"/>
                <w:sz w:val="18"/>
                <w:szCs w:val="18"/>
                <w:color w:val="auto"/>
              </w:rPr>
              <w:t>(a)(1)(i)*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Offer to Purchase, dated January 10, 2007.</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(a)(1)(ii)*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Letter of Transmittal.</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(a)(1)(iii)*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Notice of Guaranteed Delivery.</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(a)(1)(iv)*</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Guidelines for Certification of Taxpayer Identification Number on Substitute Form W-9.</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(a)(1)(v)*</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Letter to Brokers, Dealers, Commercial Banks, Trust Companies and Other Nominees, dated January 10, 2007.</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(a)(1)(vi)*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(a)(1)(vii)*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Letter to Participants in The Scotts Company LLC Retirement Savings Plan.</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(a)(1)(viii)*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Letter to Participants in the Smith &amp; Hawken 401(k) Plan.</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(a)(1)(ix)*</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Letter to Participants in The Scotts Miracle-Gro Company Discounted Stock Purchase Plan.</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(a)(1)(x)*</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Notice from Merrill Lynch to Holders of Vested Stock Options and Freestanding Stock Appreciation Rights.</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(a)(1)(xi)*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E-mail from Merrill Lynch to SMG Option and Freestanding Stock Appreciation Rights Holders.</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(a)(1)(xii)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Internal communication to associates of SMG and its subsidiaries posted on SMG’s intranet on December 12, 2006 (incorporated</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herein by reference to SMG’s Tender Offer Statement on Schedule TO filed December 12, 2006 (File No. 5-43851) [Exhibit 99.2]).</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(a)(1)(xiii)*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Internal communication to associates of SMG and its subsidiaries posted on SMG’s intranet on January 10, 2007.</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(a)(1)(xiv)**</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Notice to Participants in The Scotts Company LLC Retirement Savings Plan, dated February 7, 2007.</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(a)(1)(xv)**</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Notice to Participants in the Smith &amp; Hawken 401(k) Plan, dated February 7, 2007.</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(a)(1)(xvi)**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Notice to Participants in The Scotts Miracle-Gro Company Discounted Stock Purchase Plan, dated February 7, 2007.</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(a)(1)(xvii)**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Notice from Merrill Lynch to SMG Vested Option and/or Freestanding Stock Appreciation Rights Holders, dated February 7, 2007.</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(a)(1)(xviii)**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E-mail from Merrill Lynch to SMG Vested Option and/or Freestanding Stock Appreciation Rights Holders, dated February 7, 2007.</w:t>
            </w:r>
          </w:p>
        </w:tc>
      </w:tr>
      <w:tr>
        <w:trPr>
          <w:trHeight w:val="632"/>
        </w:trPr>
        <w:tc>
          <w:tcPr>
            <w:tcW w:w="1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7"/>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100" w:type="dxa"/>
            <w:vAlign w:val="bottom"/>
          </w:tcPr>
          <w:p>
            <w:pPr>
              <w:spacing w:after="0"/>
              <w:rPr>
                <w:sz w:val="14"/>
                <w:szCs w:val="14"/>
                <w:color w:val="auto"/>
              </w:rPr>
            </w:pPr>
          </w:p>
        </w:tc>
        <w:tc>
          <w:tcPr>
            <w:tcW w:w="9700" w:type="dxa"/>
            <w:vAlign w:val="bottom"/>
            <w:tcBorders>
              <w:bottom w:val="single" w:sz="8" w:color="auto"/>
            </w:tcBorders>
          </w:tcPr>
          <w:p>
            <w:pPr>
              <w:ind w:left="4520"/>
              <w:spacing w:after="0"/>
              <w:rPr>
                <w:sz w:val="20"/>
                <w:szCs w:val="20"/>
                <w:color w:val="auto"/>
              </w:rPr>
            </w:pPr>
            <w:r>
              <w:rPr>
                <w:rFonts w:ascii="Arial" w:cs="Arial" w:eastAsia="Arial" w:hAnsi="Arial"/>
                <w:sz w:val="14"/>
                <w:szCs w:val="14"/>
                <w:color w:val="auto"/>
              </w:rPr>
              <w:t>Description</w:t>
            </w:r>
          </w:p>
        </w:tc>
      </w:tr>
      <w:tr>
        <w:trPr>
          <w:trHeight w:val="426"/>
        </w:trPr>
        <w:tc>
          <w:tcPr>
            <w:tcW w:w="1620" w:type="dxa"/>
            <w:vAlign w:val="bottom"/>
          </w:tcPr>
          <w:p>
            <w:pPr>
              <w:spacing w:after="0"/>
              <w:rPr>
                <w:sz w:val="20"/>
                <w:szCs w:val="20"/>
                <w:color w:val="auto"/>
              </w:rPr>
            </w:pPr>
            <w:r>
              <w:rPr>
                <w:rFonts w:ascii="Arial" w:cs="Arial" w:eastAsia="Arial" w:hAnsi="Arial"/>
                <w:sz w:val="18"/>
                <w:szCs w:val="18"/>
                <w:color w:val="auto"/>
              </w:rPr>
              <w:t>(a)(1)(xix)**</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Internal communication to associates of SMG and its subsidiaries posted on SMG’s intranet on February 7, 2007.</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(a)(2)</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(a)(3)</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(a)(4)</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(a)(5)(i)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2"/>
              </w:rPr>
              <w:t>Press release, dated December 12, 2006 (incorporated herein by reference to SMG’s Tender Offer Statement on Schedule TO filed</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December 12, 2006 (File No. 5-43851) [Exhibit 99.1]).</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(a)(5)(ii)*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Press Release, dated January 10, 2007.</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(a)(5)(iii)*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Form of Summary Advertisement, dated January 10, 2007.</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(a)(5)(iv)</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2"/>
              </w:rPr>
              <w:t>News Release, dated January 23, 2007 (incorporated herein by reference to the Current Report on Form 8-K filed January 23, 2007</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(File No. 1-13292) [Exhibit 99.1]).</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(a)(5)(v)</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News Release, dated February 7, 2007 (incorporated herein by reference to SMG’s Current Report on Form 8-K filed February 7,</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2007 (File No. 1-13292) [Exhibit 99.1]).</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(a)(5)(vi)***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News Release, dated February 15, 2007.</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(a)(5)(vii)****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News Release, dated February 21, 2007.</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(b)(i)*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8"/>
              </w:rPr>
              <w:t>Commitment Letter, dated December 11, 2006, between SMG and JPMorgan Chase Bank, N.A., Bank of America, N.A. and</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Citigroup Global Markets Inc. and certain of their respective affiliates.</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(b)(ii)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Amended and Restated Credit Agreement dated as of February 7, 2007, by and among SMG as the “Borrower”, the Subsidiary</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0"/>
              </w:rPr>
              <w:t>Borrowers (as defined in the Amended and Restated Credit Agreement), the several banks and other financial institutions from time to</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time parties to the Amended and Restated Credit Agreement, Bank of America, N.A., as Syndication Agent, The Bank of Tokyo-</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2"/>
              </w:rPr>
              <w:t>Mitsubushi UFJ. Ltd, BNP Paribas, CoBank, ACB, BMO Capital Markets Financing, Inc., LaSalle Bank N.A., Cooperatieve Centrale</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Raiffeisen Boerenleenbank, B.A. “Rabobank Nederland”, New York Branch, Citicorp North America, Inc. and The Bank of Nova</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Scotia, as Documentation Agents, and JPMorgan Chase Bank, N.A., as Administrative Agent (incorporated herein by reference to</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SMG’s Current Report on Form 8-K filed February 7, 2007 (File No. 1-13292) [Exhibit 4.1])</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(b)(iii)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6"/>
              </w:rPr>
              <w:t>Amended and Restated Guarantee and Collateral Agreement, made by SMG and each subsidiary borrower (and certain of the</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subsidiary borrowers’ domestic subsidiaries) under the Amended and Restated Credit Agreement in favor of JPMorgan Chase Bank,</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N.A., as Administrative Agent (incorporated herein by reference to SMG’s Current Report on Form 8-K filed February 7, 2007 (File</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No. 1-13292) [Exhibit 4.2])</w:t>
            </w:r>
          </w:p>
        </w:tc>
      </w:tr>
      <w:tr>
        <w:trPr>
          <w:trHeight w:val="632"/>
        </w:trPr>
        <w:tc>
          <w:tcPr>
            <w:tcW w:w="1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7"/>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100" w:type="dxa"/>
            <w:vAlign w:val="bottom"/>
          </w:tcPr>
          <w:p>
            <w:pPr>
              <w:spacing w:after="0"/>
              <w:rPr>
                <w:sz w:val="14"/>
                <w:szCs w:val="14"/>
                <w:color w:val="auto"/>
              </w:rPr>
            </w:pPr>
          </w:p>
        </w:tc>
        <w:tc>
          <w:tcPr>
            <w:tcW w:w="9700" w:type="dxa"/>
            <w:vAlign w:val="bottom"/>
            <w:tcBorders>
              <w:bottom w:val="single" w:sz="8" w:color="auto"/>
            </w:tcBorders>
          </w:tcPr>
          <w:p>
            <w:pPr>
              <w:ind w:left="4520"/>
              <w:spacing w:after="0"/>
              <w:rPr>
                <w:sz w:val="20"/>
                <w:szCs w:val="20"/>
                <w:color w:val="auto"/>
              </w:rPr>
            </w:pPr>
            <w:r>
              <w:rPr>
                <w:rFonts w:ascii="Arial" w:cs="Arial" w:eastAsia="Arial" w:hAnsi="Arial"/>
                <w:sz w:val="14"/>
                <w:szCs w:val="14"/>
                <w:color w:val="auto"/>
              </w:rPr>
              <w:t>Description</w:t>
            </w:r>
          </w:p>
        </w:tc>
      </w:tr>
      <w:tr>
        <w:trPr>
          <w:trHeight w:val="411"/>
        </w:trPr>
        <w:tc>
          <w:tcPr>
            <w:tcW w:w="1620" w:type="dxa"/>
            <w:vAlign w:val="bottom"/>
          </w:tcPr>
          <w:p>
            <w:pPr>
              <w:spacing w:after="0"/>
              <w:rPr>
                <w:sz w:val="20"/>
                <w:szCs w:val="20"/>
                <w:color w:val="auto"/>
              </w:rPr>
            </w:pPr>
            <w:r>
              <w:rPr>
                <w:rFonts w:ascii="Arial" w:cs="Arial" w:eastAsia="Arial" w:hAnsi="Arial"/>
                <w:sz w:val="18"/>
                <w:szCs w:val="18"/>
                <w:color w:val="auto"/>
              </w:rPr>
              <w:t>(d)(i)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Amended and Restated Agreement and Plan of Merger, dated as of May 19, 1995, among Stern’s Miracle-Gro Products, Inc., Stern’s</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Nurseries, Inc., Miracle-Gro Lawn Products Inc., Miracle-Gro Products Limited, Hagedorn Partnership, L.P., the general partners of</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Hagedorn Partnership, L.P., Horace Hagedorn, Community Funds, Inc., and John Kenlon, The Scotts Company and ZYX Corporation</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6"/>
              </w:rPr>
              <w:t>(incorporated herein by reference to the Current Report on Form 8-K dated May 31, 1995 and filed June 2, 1995, of The Scotts</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Company, an Ohio corporation (‘‘Scotts”) (File No. 0-19768) [Exhibit 2(b)]).</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0"/>
              </w:rPr>
              <w:t>First Amendment to Amended and Restated Agreement and Plan of Merger, made and entered into as of October 1, 1999, among The</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6"/>
              </w:rPr>
              <w:t>Scotts Company, Scotts Miracle-Gro Products, Inc. (as successor to ZYX Corporation and Stern’s Miracle-Gro Products, Inc.),</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8"/>
              </w:rPr>
              <w:t>Miracle-Gro Lawn Products Inc., Miracle-Gro Products Limited, Hagedorn Partnership, L.P., Community Funds, Inc., Horace</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Hagedorn and John Kenlon, and James Hagedorn, Katherine Hagedorn Littlefield, Paul Hagedorn, Peter Hagedorn, Robert Hagedorn</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6"/>
              </w:rPr>
              <w:t>and Susan Hagedorn (incorporated herein by reference to Scotts’ Current Report on Form 8-K dated October 4, 1999 and filed</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October 5, 1999 (File No. 1-11593) [Exhibit 2]).</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(d)(iii)(A)</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The O.M. Scott &amp; Sons Company Excess Benefit Plan, effective October 1, 1993 (incorporated herein by reference to the Annual</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Report on Form 10-K for the fiscal year ended September 30, 1993, of The Scotts Company, a Delaware corporation (File No. 0-</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19768) [Exhibit 10(h)]).</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(d)(iii)(B)</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First Amendment to The O.M. Scott &amp; Sons Company Excess Benefit Plan, effective as of January 1, 1998 (incorporated herein by</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reference to Scotts’ Annual Report on Form 10-K for the fiscal year ended September 30, 2001 (File No. 1-13292) [Exhibit 10(a)(2)]).</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(d)(iii)(C)</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0"/>
              </w:rPr>
              <w:t>Second Amendment to The O.M. Scott &amp; Sons Company Excess Benefit Plan, effective as of January 1, 1999 (incorporated herein by</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reference to Scotts’ Annual Report on Form 10-K for the fiscal year ended September 30, 2001 (File No. 1-13292) [Exhibit 10(a)(3)]).</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(d)(iii)(D)</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2"/>
              </w:rPr>
              <w:t>Third Amendment to The O.M. Scott &amp; Sons Company Excess Benefit Plan, effective as of March 18, 2005 (amended title of plan to</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be The Scotts Company LLC Excess Benefit Plan) (incorporated herein by reference to SMG’s Quarterly Report on Form 10-Q for</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the quarterly period ended April 2, 2005 (File No. 1-13292) [Exhibit 10(CC)]).</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(d)(iv)</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The Scotts Company LLC Executive/Management Incentive Plan (incorporated herein by reference to SMG’s Current Report on</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Form 8-K filed February 2, 2006 (File No. 1-13292) [Exhibit 10.4]).</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(d)(v)</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Specimen form of Employee Confidentiality, Noncompetition, Nonsolicitation Agreement for employees participating in The Scotts</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Company LLC Executive/Management Incentive Plan (incorporated herein by reference to SMG’s Quarterly Report on Form 10-Q</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for the quarterly period ended July 1, 2006 (File No. 1-13292) [Exhibit 10.1]).</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(d)(vi)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7"/>
              </w:rPr>
              <w:t>Executive Officers of The Scotts Miracle-Gro Company who are parties to form of Employee Confidentiality, Noncompetition,</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9"/>
              </w:rPr>
              <w:t>Nonsolicitation Agreement for employees participating in The Scotts Company LLC Executive/Management Incentive Plan</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2"/>
              </w:rPr>
              <w:t>(incorporated herein by reference to SMG’s Current Report on Form 8-K filed September 18, 2006 (File No. 1-13292) [Exhibit 10.2]).</w:t>
            </w:r>
          </w:p>
        </w:tc>
      </w:tr>
      <w:tr>
        <w:trPr>
          <w:trHeight w:val="632"/>
        </w:trPr>
        <w:tc>
          <w:tcPr>
            <w:tcW w:w="1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7"/>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100" w:type="dxa"/>
            <w:vAlign w:val="bottom"/>
          </w:tcPr>
          <w:p>
            <w:pPr>
              <w:spacing w:after="0"/>
              <w:rPr>
                <w:sz w:val="14"/>
                <w:szCs w:val="14"/>
                <w:color w:val="auto"/>
              </w:rPr>
            </w:pPr>
          </w:p>
        </w:tc>
        <w:tc>
          <w:tcPr>
            <w:tcW w:w="9700" w:type="dxa"/>
            <w:vAlign w:val="bottom"/>
            <w:tcBorders>
              <w:bottom w:val="single" w:sz="8" w:color="auto"/>
            </w:tcBorders>
          </w:tcPr>
          <w:p>
            <w:pPr>
              <w:ind w:left="4520"/>
              <w:spacing w:after="0"/>
              <w:rPr>
                <w:sz w:val="20"/>
                <w:szCs w:val="20"/>
                <w:color w:val="auto"/>
              </w:rPr>
            </w:pPr>
            <w:r>
              <w:rPr>
                <w:rFonts w:ascii="Arial" w:cs="Arial" w:eastAsia="Arial" w:hAnsi="Arial"/>
                <w:sz w:val="14"/>
                <w:szCs w:val="14"/>
                <w:color w:val="auto"/>
              </w:rPr>
              <w:t>Description</w:t>
            </w:r>
          </w:p>
        </w:tc>
      </w:tr>
      <w:tr>
        <w:trPr>
          <w:trHeight w:val="411"/>
        </w:trPr>
        <w:tc>
          <w:tcPr>
            <w:tcW w:w="1620" w:type="dxa"/>
            <w:vAlign w:val="bottom"/>
          </w:tcPr>
          <w:p>
            <w:pPr>
              <w:spacing w:after="0"/>
              <w:rPr>
                <w:sz w:val="20"/>
                <w:szCs w:val="20"/>
                <w:color w:val="auto"/>
              </w:rPr>
            </w:pPr>
            <w:r>
              <w:rPr>
                <w:rFonts w:ascii="Arial" w:cs="Arial" w:eastAsia="Arial" w:hAnsi="Arial"/>
                <w:sz w:val="18"/>
                <w:szCs w:val="18"/>
                <w:color w:val="auto"/>
              </w:rPr>
              <w:t>(d)(vii)(A)</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The Scotts Company 1996 Stock Option Plan (as amended through May 15, 2000) (incorporated herein by reference to Scotts’</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Quarterly Report on Form 10-Q for the quarterly period ended April 1, 2000 (File No. 1-13292) [Exhibit 10(d)]).</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(d)(vii)(B)</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The Scotts Company 1996 Stock Option Plan (2002 Amendment) (incorporated herein by reference to Scotts’ Quarterly Report on</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Form 10-Q for the quarterly period ended December 28, 2002 (File No. 1-13292) [Exhibit 10(d)(i)]).</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(d)(vii)(C)</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2"/>
              </w:rPr>
              <w:t>Amendment to The Scotts Company 1996 Stock Option Plan — 2005 Amendment, effective as of March 18, 2005 (amended title of</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plan to be The Scotts Miracle-Gro Company 1996 Stock Option Plan) (incorporated herein by reference to SMG’s Quarterly Report</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on Form 10-Q for the quarterly period ended April 2, 2005 (File No. 1-13292) [Exhibit 10(z)]).</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(d)(viii)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7"/>
              </w:rPr>
              <w:t>Form of 1996 Stock Option Plan Stock Option Agreement — Non-Qualified Stock Option (incorporated herein by reference to</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Scotts’ Current Report on Form 8-K filed November 19, 2004 (File No. 1-13292) [Exhibit 10.7]).</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(d)(ix)</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Specimen form of Stock Option Agreement (as amended through October 23, 2001) for Non-Qualified Stock Options granted to</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0"/>
              </w:rPr>
              <w:t>employees under The Scotts Company 1996 Stock Option Plan, French specimen (incorporated herein by reference to Scotts’ Annual</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Report on Form 10-K for the fiscal year ended September 30, 2001 (File No. 1-13292) [Exhibit 10(f)]).</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(d)(x)(A)</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The Scotts Company Executive Retirement Plan (incorporated herein by reference to Scotts’ Annual Report on Form 10-K for the</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fiscal year ended September 30, 1998 (File No. 1-11593) [Exhibit 10(j)]).</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(d)(x)(B)</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7"/>
              </w:rPr>
              <w:t>First Amendment to The Scotts Company Executive Retirement Plan, effective as of January 1, 1999 (incorporated herein by</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reference to Scotts’ Annual Report on Form 10-K for the fiscal year ended September 30, 2001 (File No. 1-13292) [Exhibit 10(g)</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(2)]).</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(d)(x)(C)</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Second Amendment to The Scotts Company Executive Retirement Plan, effective as of January 1, 2000 (incorporated herein by</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reference to Scotts’ Annual Report on Form 10-K for the fiscal year ended September 30, 2001 (File No. 1-13292) [Exhibit 10(g)</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(3)]).</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(d)(x)(D)</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6"/>
              </w:rPr>
              <w:t>Third Amendment to The Scotts Company Executive Retirement Plan, effective as of January 1, 2003 (incorporated herein by</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reference to Scotts’ Annual Report on Form 10-K for the fiscal year ended September 30, 2003 (File No. 1-13292) [Exhibit 10(g)</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(4)]).</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(d)(x)(E)</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Fourth Amendment to The Scotts Company Executive Retirement Plan, effective as of January 1, 2004 (incorporated herein by</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reference to Scotts’ Annual Report on Form 10-K for the fiscal year ended September 30, 2004 (File No. 1-13292) [Exhibit 10(g)</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(5)]).</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(d)(x)(F)</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Fifth Amendment to The Scotts Company Executive Retirement Plan, effective as of March 18, 2005 (amended title of plan to be The</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Scotts Company LLC Executive Retirement Plan) (incorporated herein by reference to SMG’s Quarterly Report on Form 10-Q for the</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quarterly period ended April 2, 2005 (File No. 1-13292) [Exhibit 10(DD)]).</w:t>
            </w:r>
          </w:p>
        </w:tc>
      </w:tr>
      <w:tr>
        <w:trPr>
          <w:trHeight w:val="632"/>
        </w:trPr>
        <w:tc>
          <w:tcPr>
            <w:tcW w:w="1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7"/>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100" w:type="dxa"/>
            <w:vAlign w:val="bottom"/>
          </w:tcPr>
          <w:p>
            <w:pPr>
              <w:spacing w:after="0"/>
              <w:rPr>
                <w:sz w:val="14"/>
                <w:szCs w:val="14"/>
                <w:color w:val="auto"/>
              </w:rPr>
            </w:pPr>
          </w:p>
        </w:tc>
        <w:tc>
          <w:tcPr>
            <w:tcW w:w="9700" w:type="dxa"/>
            <w:vAlign w:val="bottom"/>
            <w:tcBorders>
              <w:bottom w:val="single" w:sz="8" w:color="auto"/>
            </w:tcBorders>
          </w:tcPr>
          <w:p>
            <w:pPr>
              <w:ind w:left="4520"/>
              <w:spacing w:after="0"/>
              <w:rPr>
                <w:sz w:val="20"/>
                <w:szCs w:val="20"/>
                <w:color w:val="auto"/>
              </w:rPr>
            </w:pPr>
            <w:r>
              <w:rPr>
                <w:rFonts w:ascii="Arial" w:cs="Arial" w:eastAsia="Arial" w:hAnsi="Arial"/>
                <w:sz w:val="14"/>
                <w:szCs w:val="14"/>
                <w:color w:val="auto"/>
              </w:rPr>
              <w:t>Description</w:t>
            </w:r>
          </w:p>
        </w:tc>
      </w:tr>
      <w:tr>
        <w:trPr>
          <w:trHeight w:val="411"/>
        </w:trPr>
        <w:tc>
          <w:tcPr>
            <w:tcW w:w="1620" w:type="dxa"/>
            <w:vAlign w:val="bottom"/>
          </w:tcPr>
          <w:p>
            <w:pPr>
              <w:spacing w:after="0"/>
              <w:rPr>
                <w:sz w:val="20"/>
                <w:szCs w:val="20"/>
                <w:color w:val="auto"/>
              </w:rPr>
            </w:pPr>
            <w:r>
              <w:rPr>
                <w:rFonts w:ascii="Arial" w:cs="Arial" w:eastAsia="Arial" w:hAnsi="Arial"/>
                <w:sz w:val="18"/>
                <w:szCs w:val="18"/>
                <w:color w:val="auto"/>
              </w:rPr>
              <w:t>(d)(xi)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Employment Agreement, dated as of May 19, 1995, between The Scotts Company and James Hagedorn (incorporated herein by</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reference to Scotts’ Annual Report on Form 10-K for the fiscal year ended September 30, 1995 (File No. 1-11593) [Exhibit 10(p)]).</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(d)(xii)(A)</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89"/>
              </w:rPr>
              <w:t>Letter agreement, dated June 8, 2000, between The Scotts Company and Patrick J. Norton (incorporated herein by reference to Scotts’</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Annual Report on Form 10-K for the fiscal year ended September 30, 2000 (File No. 1-13292) [Exhibit 10(q)]).</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(d)(xii)(B)</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9"/>
              </w:rPr>
              <w:t>Letter agreement, dated November 5, 2002, and accepted by Mr. Norton on November 22, 2002, pertaining to the terms of</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employment of Patrick J. Norton through December 31, 2005, and superseding certain provisions of the letter agreement, dated</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0"/>
              </w:rPr>
              <w:t>June 8, 2000, between The Scotts Company and Mr. Norton (incorporated herein by reference to Scotts’ Annual Report on Form 10-K</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for the fiscal year ended September 30, 2002 (File No. 1-13292) [Exhibit 10(q)]).</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(d)(xii)(C)</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Letter of Extension, dated October 25, 2005, between The Scotts Miracle-Gro Company and Patrick J. Norton (incorporated herein by</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reference to SMG’s Current Report on Form 8-K filed December 14, 2005 (File No. 1-13292) [Exhibit 10.3]).</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(d)(xiii)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Written description of employment, severance and change in control terms between SMG and David M. Aronowitz and Denise S.</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2"/>
              </w:rPr>
              <w:t>Stump (incorporated herein by reference to SMG’s Annual Report on Form 10-K for the fiscal year ended September 30, 2006 (File</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No. 1-13292) [Exhibit 10(k)]).</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(d)(xiv)(A)</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2"/>
              </w:rPr>
              <w:t>The Scotts Company 2003 Stock Option and Incentive Equity Plan (incorporated herein by reference to Scotts’ Quarterly Report on</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Form 10-Q for the quarterly period ended December 28, 2002 (File No. 1-13292) [Exhibit 10(w)]).</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(d)(xiv)(B)</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First Amendment to The Scotts Company 2003 Stock Option and Incentive Equity Plan, effective as of March 18, 2005 (amended title</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of plan to be The Scotts Miracle-Gro Company 2003 Stock Option and Incentive Equity Plan) (incorporated herein by reference to</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SMG’s Quarterly Report on Form 10-Q for the quarterly period ended April 2, 2005 (File No. 1-13292) [Exhibit 10(AA)]).</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(d)(xv)</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2"/>
              </w:rPr>
              <w:t>Employment Agreement for Christopher Nagel, entered into effective as of October 1, 2006, by and between Christopher Nagel and</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The Scotts Miracle-Gro Company (incorporated herein by reference to SMG’s Current Report on Form 8-K filed December 7, 2006</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(File No. 1-13292) [Exhibit 10.1]).</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(d)(xvi)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The Scotts Miracle-Gro Company 2006 Long-Term Incentive Plan Award Agreement for Employees, evidencing Restricted Stock</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Award of 38,000 Restricted Common Shares Awarded to Christopher Nagel on October 1, 2006 by The Scotts Miracle-Gro Company</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(incorporated herein by reference to SMG’s Current Report on Form 8-K filed December 7, 2006 (File No. 1-13292) [Exhibit 10.2]).</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(d)(xvii)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Form of 2003 Stock Option and Incentive Equity Plan Award Agreement for Nondirectors (incorporated herein by reference to SMG’s</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Annual Report on Form 10-K for the fiscal year ended September 30, 2005 (File No. 1-13292) [Exhibit 10(u)]).</w:t>
            </w:r>
          </w:p>
        </w:tc>
      </w:tr>
      <w:tr>
        <w:trPr>
          <w:trHeight w:val="632"/>
        </w:trPr>
        <w:tc>
          <w:tcPr>
            <w:tcW w:w="1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7"/>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100" w:type="dxa"/>
            <w:vAlign w:val="bottom"/>
          </w:tcPr>
          <w:p>
            <w:pPr>
              <w:spacing w:after="0"/>
              <w:rPr>
                <w:sz w:val="14"/>
                <w:szCs w:val="14"/>
                <w:color w:val="auto"/>
              </w:rPr>
            </w:pPr>
          </w:p>
        </w:tc>
        <w:tc>
          <w:tcPr>
            <w:tcW w:w="9700" w:type="dxa"/>
            <w:vAlign w:val="bottom"/>
            <w:tcBorders>
              <w:bottom w:val="single" w:sz="8" w:color="auto"/>
            </w:tcBorders>
          </w:tcPr>
          <w:p>
            <w:pPr>
              <w:ind w:left="4520"/>
              <w:spacing w:after="0"/>
              <w:rPr>
                <w:sz w:val="20"/>
                <w:szCs w:val="20"/>
                <w:color w:val="auto"/>
              </w:rPr>
            </w:pPr>
            <w:r>
              <w:rPr>
                <w:rFonts w:ascii="Arial" w:cs="Arial" w:eastAsia="Arial" w:hAnsi="Arial"/>
                <w:sz w:val="14"/>
                <w:szCs w:val="14"/>
                <w:color w:val="auto"/>
              </w:rPr>
              <w:t>Description</w:t>
            </w:r>
          </w:p>
        </w:tc>
      </w:tr>
      <w:tr>
        <w:trPr>
          <w:trHeight w:val="411"/>
        </w:trPr>
        <w:tc>
          <w:tcPr>
            <w:tcW w:w="1620" w:type="dxa"/>
            <w:vAlign w:val="bottom"/>
          </w:tcPr>
          <w:p>
            <w:pPr>
              <w:spacing w:after="0"/>
              <w:rPr>
                <w:sz w:val="20"/>
                <w:szCs w:val="20"/>
                <w:color w:val="auto"/>
              </w:rPr>
            </w:pPr>
            <w:r>
              <w:rPr>
                <w:rFonts w:ascii="Arial" w:cs="Arial" w:eastAsia="Arial" w:hAnsi="Arial"/>
                <w:sz w:val="18"/>
                <w:szCs w:val="18"/>
                <w:color w:val="auto"/>
              </w:rPr>
              <w:t>(d)(xviii)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Form of 2003 Stock Option and Incentive Equity Plan Award Agreement for Directors (incorporated herein by reference to SMG’s</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Annual Report on Form 10-K for the fiscal year ended September 30, 2005 (File No. 1-13292) [Exhibit 10(v)]).</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(d)(xix)</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The Scotts Miracle-Gro Company 2006 Long-Term Incentive Plan (incorporated herein by reference to SMG’s Current Report on</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Form 8-K filed February 2, 2006 (File No. 1-13292) [Exhibit 10.2]).</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(d)(xx)</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Specimen form of Award Agreement used to evidence Time-Based Nonqualified Stock Options for Non-Employee Directors under</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The Scotts Miracle-Gro Company 2006 Long-Term Incentive Plan (incorporated herein by reference to SMG’s Current Report on</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Form 8-K filed February 2, 2006 (File No. 1-13292) [Exhibit 10.3]).</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(d)(xxi)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2"/>
              </w:rPr>
              <w:t>Specimen form of Award Agreement to evidence Time-Based Nonqualified Stock Options for Employees under The Scotts Miracle-</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Gro Company 2006 Long-Term Incentive Plan (incorporated herein by reference to SMG’s Quarterly Report on Form 10-Q for the</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quarterly period ended December 31, 2005 (File No. 1-13292) [Exhibit 10(b)]).</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(d)(xxii)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Specimen form of Award Agreement for Third Party Service Providers to evidence awards under The Scotts Miracle-Gro Company</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2006 Long-Term Incentive Plan to third party service providers (incorporated herein by reference to SMG’s Quarterly Report on</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Form 10-Q for the quarterly period ended July 1, 2006 (File No. 1-13292) [Exhibit 10.3]).</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(d)(xxiii)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0"/>
              </w:rPr>
              <w:t>The Scotts Miracle-Gro Company Discounted Stock Purchase Plan (As Amended and Restated as of January 26, 2006; Reflects 2-for-</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7"/>
              </w:rPr>
              <w:t>1 Stock Split Distributed on November 9, 2005) (incorporated herein by reference to SMG’s Current Report on Form 8-K filed</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February 2, 2006 (File No. 1-13292) [Exhibit 10.1]).</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(d)(xxiv)</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Summary of Compensation for Directors of The Scotts Miracle-Gro Company (incorporated herein by reference to SMG’s Annual</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Report on Form 10-K for the fiscal year ended September 30, 2006 (File No. 1-13292) [Exhibit 10(jj)]).</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(d)(xxv)</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Specimen form of Award Agreement for Non-Qualified Stock Options, Restricted Stock and Restricted Stock Units granted and to be</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granted to employees under The Scotts Miracle-Gro Company 2006 Long-Term Incentive Plan (Standard International form covering</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2"/>
              </w:rPr>
              <w:t>Australian, Canadian and The Netherlands Specimens) (incorporated herein by reference to SMG’s Quarterly Report on Form 10-Q</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for the quarterly period ended December 30, 2006 (File No. 1-13292) [Exhibit 10.1]).</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(d)(xxvi)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Specimen form of Award Agreement for Non-Qualified Stock Options, Restricted Stock and Restricted Stock Units granted and to be</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3"/>
              </w:rPr>
              <w:t>granted to employees under The Scotts Miracle-Gro Company 2006 Long-Term Incentive Plan (Austrian Specimen) (incorporated</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2"/>
              </w:rPr>
              <w:t>herein by reference to SMG’s Quarterly Report on Form 10-Q for the quarterly period ended December 30, 2006 (File No. 1-13292)</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[Exhibit 10.2]).</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(d)(xxvii)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Specimen form of Award Agreement for Non-Qualified Stock Options granted and to be granted to employees under The Scotts</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Miracle-Gro Company 2006 Long-Term Incentive Plan (Belgian Specimen) (incorporated herein by reference to SMG’s Quarterly</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Report on Form 10-Q for the quarterly period ended December 30, 2006 (File No. 1-13292) [Exhibit 10.3]).</w:t>
            </w:r>
          </w:p>
        </w:tc>
      </w:tr>
      <w:tr>
        <w:trPr>
          <w:trHeight w:val="632"/>
        </w:trPr>
        <w:tc>
          <w:tcPr>
            <w:tcW w:w="1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7"/>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100" w:type="dxa"/>
            <w:vAlign w:val="bottom"/>
          </w:tcPr>
          <w:p>
            <w:pPr>
              <w:spacing w:after="0"/>
              <w:rPr>
                <w:sz w:val="14"/>
                <w:szCs w:val="14"/>
                <w:color w:val="auto"/>
              </w:rPr>
            </w:pPr>
          </w:p>
        </w:tc>
        <w:tc>
          <w:tcPr>
            <w:tcW w:w="9700" w:type="dxa"/>
            <w:vAlign w:val="bottom"/>
            <w:tcBorders>
              <w:bottom w:val="single" w:sz="8" w:color="auto"/>
            </w:tcBorders>
          </w:tcPr>
          <w:p>
            <w:pPr>
              <w:ind w:left="4520"/>
              <w:spacing w:after="0"/>
              <w:rPr>
                <w:sz w:val="20"/>
                <w:szCs w:val="20"/>
                <w:color w:val="auto"/>
              </w:rPr>
            </w:pPr>
            <w:r>
              <w:rPr>
                <w:rFonts w:ascii="Arial" w:cs="Arial" w:eastAsia="Arial" w:hAnsi="Arial"/>
                <w:sz w:val="14"/>
                <w:szCs w:val="14"/>
                <w:color w:val="auto"/>
              </w:rPr>
              <w:t>Description</w:t>
            </w:r>
          </w:p>
        </w:tc>
      </w:tr>
      <w:tr>
        <w:trPr>
          <w:trHeight w:val="411"/>
        </w:trPr>
        <w:tc>
          <w:tcPr>
            <w:tcW w:w="1620" w:type="dxa"/>
            <w:vAlign w:val="bottom"/>
          </w:tcPr>
          <w:p>
            <w:pPr>
              <w:spacing w:after="0"/>
              <w:rPr>
                <w:sz w:val="20"/>
                <w:szCs w:val="20"/>
                <w:color w:val="auto"/>
              </w:rPr>
            </w:pPr>
            <w:r>
              <w:rPr>
                <w:rFonts w:ascii="Arial" w:cs="Arial" w:eastAsia="Arial" w:hAnsi="Arial"/>
                <w:sz w:val="18"/>
                <w:szCs w:val="18"/>
                <w:color w:val="auto"/>
              </w:rPr>
              <w:t>(d)(xxviii)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Specimen form of Award Agreement for Non-Qualified Stock Options, Restricted Stock, Restricted Stock Units and Performance</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Shares granted and to be granted to employees under The Scotts Miracle-Gro Company 2006 Long-Term Incentive Plan (French</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2"/>
              </w:rPr>
              <w:t>Specimen) (incorporated herein by reference to SMG’s Quarterly Report on Form 10-Q for the quarterly period ended December 30,</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2006 (File No. 1-13292) [Exhibit 10.4]).</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(d)(xxix)</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Specimen form of Award Agreement for Non-Qualified Stock Options granted and to be granted to employees under The Scotts</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Miracle-Gro Company 2006 Long-Term Incentive Plan (German Specimen) (incorporated herein by reference to SMG’s Quarterly</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Report on Form 10-Q for the quarterly period ended December 30, 2006 (File No. 1-13292) [Exhibit 10.5]).</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(d)(xxx)</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Specimen form of Award Agreement for Non-Qualified Stock Options granted and to be granted to employees under The Scotts</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5"/>
              </w:rPr>
              <w:t>Miracle-Gro Company 2006 Long-Term Incentive Plan (Polish Specimen) (incorporated herein by reference to SMG’s Quarterly</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Report on Form 10-Q for the quarterly period ended December 30, 2006 (File No. 1-13292) [Exhibit 10.6]).</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(d)(xxxi)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Specimen form of Award Agreement for Non-Qualified Stock Options, Restricted Stock and Restricted Stock Units granted and to be</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8"/>
              </w:rPr>
              <w:t>granted to employees under The Scotts Miracle-Gro Company 2006 Long-Term Incentive Plan (United Kingdom Specimen)</w:t>
            </w:r>
          </w:p>
        </w:tc>
      </w:tr>
      <w:tr>
        <w:trPr>
          <w:trHeight w:val="216"/>
        </w:trPr>
        <w:tc>
          <w:tcPr>
            <w:tcW w:w="16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2"/>
              </w:rPr>
              <w:t>(incorporated herein by reference to SMG’s Quarterly Report on Form 10-Q for the quarterly period ended December 30, 2006 (File</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No. 1-13292) [Exhibit 10.7]).</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(d)(xxxii)</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2"/>
              </w:rPr>
              <w:t>Summary of Compensation for Directors of The Scotts Miracle-Gro Company (incorporated herein by reference to SMG’s Quarterly</w:t>
            </w:r>
          </w:p>
        </w:tc>
      </w:tr>
      <w:tr>
        <w:trPr>
          <w:trHeight w:val="230"/>
        </w:trPr>
        <w:tc>
          <w:tcPr>
            <w:tcW w:w="162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Report on Form 10-Q for the quarterly period ended December 30, 2006 (File No. 1-13292) [Exhibit 10.8]).</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(g)</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(h)</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the Schedule TO on January 10, 2007.</w:t>
      </w:r>
    </w:p>
    <w:p>
      <w:pPr>
        <w:spacing w:after="0" w:line="77"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Previously filed with Amendment No. 2 to the Schedule TO on February 7, 2007.</w:t>
      </w:r>
    </w:p>
    <w:p>
      <w:pPr>
        <w:spacing w:after="0" w:line="76" w:lineRule="exact"/>
        <w:rPr>
          <w:rFonts w:ascii="Arial" w:cs="Arial" w:eastAsia="Arial" w:hAnsi="Arial"/>
          <w:sz w:val="18"/>
          <w:szCs w:val="18"/>
          <w:color w:val="auto"/>
        </w:rPr>
      </w:pPr>
    </w:p>
    <w:p>
      <w:pPr>
        <w:ind w:left="480" w:hanging="47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with Amendment No. 3 to the Schedule TO on February 15, 2007.</w:t>
      </w:r>
    </w:p>
    <w:p>
      <w:pPr>
        <w:spacing w:after="0" w:line="76" w:lineRule="exact"/>
        <w:rPr>
          <w:rFonts w:ascii="Arial" w:cs="Arial" w:eastAsia="Arial" w:hAnsi="Arial"/>
          <w:sz w:val="18"/>
          <w:szCs w:val="18"/>
          <w:color w:val="auto"/>
        </w:rPr>
      </w:pPr>
    </w:p>
    <w:p>
      <w:pPr>
        <w:ind w:left="480" w:hanging="47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420"/>
          </w:cols>
          <w:pgMar w:left="240" w:top="114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Exhibit (a)(5)(vii)</w:t>
            </w:r>
          </w:p>
        </w:tc>
      </w:tr>
      <w:tr>
        <w:trPr>
          <w:trHeight w:val="1114"/>
        </w:trPr>
        <w:tc>
          <w:tcPr>
            <w:tcW w:w="7580" w:type="dxa"/>
            <w:vAlign w:val="bottom"/>
            <w:tcBorders>
              <w:bottom w:val="single" w:sz="8" w:color="auto"/>
            </w:tcBorders>
          </w:tcPr>
          <w:p>
            <w:pPr>
              <w:spacing w:after="0"/>
              <w:rPr>
                <w:sz w:val="20"/>
                <w:szCs w:val="20"/>
                <w:color w:val="auto"/>
              </w:rPr>
            </w:pPr>
            <w:r>
              <w:rPr>
                <w:rFonts w:ascii="Arial" w:cs="Arial" w:eastAsia="Arial" w:hAnsi="Arial"/>
                <w:sz w:val="36"/>
                <w:szCs w:val="36"/>
                <w:b w:val="1"/>
                <w:bCs w:val="1"/>
                <w:i w:val="1"/>
                <w:iCs w:val="1"/>
                <w:color w:val="auto"/>
              </w:rPr>
              <w:t>The Scotts Miracle-Gro Company</w:t>
            </w:r>
          </w:p>
        </w:tc>
        <w:tc>
          <w:tcPr>
            <w:tcW w:w="3840" w:type="dxa"/>
            <w:vAlign w:val="bottom"/>
            <w:tcBorders>
              <w:bottom w:val="single" w:sz="8" w:color="auto"/>
            </w:tcBorders>
          </w:tcPr>
          <w:p>
            <w:pPr>
              <w:jc w:val="right"/>
              <w:spacing w:after="0"/>
              <w:rPr>
                <w:sz w:val="20"/>
                <w:szCs w:val="20"/>
                <w:color w:val="auto"/>
              </w:rPr>
            </w:pPr>
            <w:r>
              <w:rPr>
                <w:rFonts w:ascii="Arial" w:cs="Arial" w:eastAsia="Arial" w:hAnsi="Arial"/>
                <w:sz w:val="25"/>
                <w:szCs w:val="25"/>
                <w:b w:val="1"/>
                <w:bCs w:val="1"/>
                <w:i w:val="1"/>
                <w:iCs w:val="1"/>
                <w:color w:val="auto"/>
              </w:rPr>
              <w:t>NEWS</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ScottsMiracle-Gro Announces Final Results of its Modified “Dutch Auction” Tender Offer</w:t>
      </w:r>
    </w:p>
    <w:p>
      <w:pPr>
        <w:spacing w:after="0" w:line="1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MARYSVILLE, Ohio (February 21, 2007) — The Scotts Miracle-Gro Company (NYSE: SMG), the world’s leading marketer of branded consumer lawn and garden products, today announced the final results of its tender offer which expired at 12:00 midnight, New York City time, on February 14, 2007. In the tender offer, ScottsMiracle-Gro offered to purchase for cash up to 4,504,504 common shares in a price range of $48.50 to $55.50 per share.</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accepted for purchase 4,504,504 common shares at a purchase price of $54.50 per share, for a total price of approximately $245.5 million, in accordance with the terms and conditions of the tender offer. A final count by National City Bank, the depositary for the tender offer, indicates that 4,811,939 common shares were validly tendered and not validly withdrawn at or below the purchase price, resulting in a pro-ration factor of approximately 93.6 percent.</w:t>
      </w:r>
    </w:p>
    <w:p>
      <w:pPr>
        <w:spacing w:after="0" w:line="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depositary will promptly commence payment for the shares purchased in the tender offer and will return all other common shares tendered and not accepted for purchase due to the pro-ration or conditional tender provisions of the tender offer .</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shares purchased in the tender offer represent approximately 7 percent of the Company’s outstanding shares. As a result of the completion of the tender offer, immediately following the purchase of the tendered shares, ScottsMiracle-Gro expects that approximately 63.4 million basic common shares will be issued and outstanding.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 was the dealer manager for the tender offer. D.F. King &amp; Co., Inc. served as information agent.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ScottsMiracle-Gro</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With $2.7 billion in worldwide sales and more than 6,000 associates, The Scotts Miracle-Gro Company, through its wholly-owned subsidiary, The Scotts Company LLC, is the world’s largest marketer of branded consumer products for lawn and garden care, with products for professional horticulture as well. The Company’s brands are the most recognized in the industry. In the U.S., the Company’s Scotts</w:t>
      </w:r>
      <w:r>
        <w:rPr>
          <w:rFonts w:ascii="Arial" w:cs="Arial" w:eastAsia="Arial" w:hAnsi="Arial"/>
          <w:sz w:val="14"/>
          <w:szCs w:val="14"/>
          <w:color w:val="auto"/>
        </w:rPr>
        <w:t>®</w:t>
      </w:r>
      <w:r>
        <w:rPr>
          <w:rFonts w:ascii="Arial" w:cs="Arial" w:eastAsia="Arial" w:hAnsi="Arial"/>
          <w:sz w:val="17"/>
          <w:szCs w:val="17"/>
          <w:color w:val="auto"/>
        </w:rPr>
        <w:t>, Miracle-Gro</w:t>
      </w:r>
      <w:r>
        <w:rPr>
          <w:rFonts w:ascii="Arial" w:cs="Arial" w:eastAsia="Arial" w:hAnsi="Arial"/>
          <w:sz w:val="14"/>
          <w:szCs w:val="14"/>
          <w:color w:val="auto"/>
        </w:rPr>
        <w:t>®</w:t>
      </w:r>
      <w:r>
        <w:rPr>
          <w:rFonts w:ascii="Arial" w:cs="Arial" w:eastAsia="Arial" w:hAnsi="Arial"/>
          <w:sz w:val="17"/>
          <w:szCs w:val="17"/>
          <w:color w:val="auto"/>
        </w:rPr>
        <w:t xml:space="preserve"> and Ortho</w:t>
      </w:r>
      <w:r>
        <w:rPr>
          <w:rFonts w:ascii="Arial" w:cs="Arial" w:eastAsia="Arial" w:hAnsi="Arial"/>
          <w:sz w:val="14"/>
          <w:szCs w:val="14"/>
          <w:color w:val="auto"/>
        </w:rPr>
        <w:t>®</w:t>
      </w:r>
      <w:r>
        <w:rPr>
          <w:rFonts w:ascii="Arial" w:cs="Arial" w:eastAsia="Arial" w:hAnsi="Arial"/>
          <w:sz w:val="17"/>
          <w:szCs w:val="17"/>
          <w:color w:val="auto"/>
        </w:rPr>
        <w:t xml:space="preserve"> brands are market-leading in their categories, as is the consumer Roundup</w:t>
      </w:r>
      <w:r>
        <w:rPr>
          <w:rFonts w:ascii="Arial" w:cs="Arial" w:eastAsia="Arial" w:hAnsi="Arial"/>
          <w:sz w:val="14"/>
          <w:szCs w:val="14"/>
          <w:color w:val="auto"/>
        </w:rPr>
        <w:t>®</w:t>
      </w:r>
      <w:r>
        <w:rPr>
          <w:rFonts w:ascii="Arial" w:cs="Arial" w:eastAsia="Arial" w:hAnsi="Arial"/>
          <w:sz w:val="17"/>
          <w:szCs w:val="17"/>
          <w:color w:val="auto"/>
        </w:rPr>
        <w:t xml:space="preserve"> brand, which is marketed in North America and most of Europe exclusively by Scotts and owned by Monsanto. The Company also owns Smith &amp; Hawken, a leading brand of garden-inspired products that includes pottery, watering equipment, gardening tools, outdoor furniture and live goods. In Europe, the Company’s brands include Weedol</w:t>
      </w:r>
      <w:r>
        <w:rPr>
          <w:rFonts w:ascii="Arial" w:cs="Arial" w:eastAsia="Arial" w:hAnsi="Arial"/>
          <w:sz w:val="14"/>
          <w:szCs w:val="14"/>
          <w:color w:val="auto"/>
        </w:rPr>
        <w:t>®</w:t>
      </w:r>
      <w:r>
        <w:rPr>
          <w:rFonts w:ascii="Arial" w:cs="Arial" w:eastAsia="Arial" w:hAnsi="Arial"/>
          <w:sz w:val="17"/>
          <w:szCs w:val="17"/>
          <w:color w:val="auto"/>
        </w:rPr>
        <w:t>, Pathclear</w:t>
      </w:r>
      <w:r>
        <w:rPr>
          <w:rFonts w:ascii="Arial" w:cs="Arial" w:eastAsia="Arial" w:hAnsi="Arial"/>
          <w:sz w:val="14"/>
          <w:szCs w:val="14"/>
          <w:color w:val="auto"/>
        </w:rPr>
        <w:t>®</w:t>
      </w:r>
      <w:r>
        <w:rPr>
          <w:rFonts w:ascii="Arial" w:cs="Arial" w:eastAsia="Arial" w:hAnsi="Arial"/>
          <w:sz w:val="17"/>
          <w:szCs w:val="17"/>
          <w:color w:val="auto"/>
        </w:rPr>
        <w:t>, Evergreen</w:t>
      </w:r>
      <w:r>
        <w:rPr>
          <w:rFonts w:ascii="Arial" w:cs="Arial" w:eastAsia="Arial" w:hAnsi="Arial"/>
          <w:sz w:val="14"/>
          <w:szCs w:val="14"/>
          <w:color w:val="auto"/>
        </w:rPr>
        <w:t>®</w:t>
      </w:r>
      <w:r>
        <w:rPr>
          <w:rFonts w:ascii="Arial" w:cs="Arial" w:eastAsia="Arial" w:hAnsi="Arial"/>
          <w:sz w:val="17"/>
          <w:szCs w:val="17"/>
          <w:color w:val="auto"/>
        </w:rPr>
        <w:t>, Levington</w:t>
      </w:r>
      <w:r>
        <w:rPr>
          <w:rFonts w:ascii="Arial" w:cs="Arial" w:eastAsia="Arial" w:hAnsi="Arial"/>
          <w:sz w:val="14"/>
          <w:szCs w:val="14"/>
          <w:color w:val="auto"/>
        </w:rPr>
        <w:t>®</w:t>
      </w:r>
      <w:r>
        <w:rPr>
          <w:rFonts w:ascii="Arial" w:cs="Arial" w:eastAsia="Arial" w:hAnsi="Arial"/>
          <w:sz w:val="17"/>
          <w:szCs w:val="17"/>
          <w:color w:val="auto"/>
        </w:rPr>
        <w:t>, Miracle-Gro</w:t>
      </w:r>
      <w:r>
        <w:rPr>
          <w:rFonts w:ascii="Arial" w:cs="Arial" w:eastAsia="Arial" w:hAnsi="Arial"/>
          <w:sz w:val="14"/>
          <w:szCs w:val="14"/>
          <w:color w:val="auto"/>
        </w:rPr>
        <w:t>®</w:t>
      </w:r>
      <w:r>
        <w:rPr>
          <w:rFonts w:ascii="Arial" w:cs="Arial" w:eastAsia="Arial" w:hAnsi="Arial"/>
          <w:sz w:val="17"/>
          <w:szCs w:val="17"/>
          <w:color w:val="auto"/>
        </w:rPr>
        <w:t>, KB</w:t>
      </w:r>
      <w:r>
        <w:rPr>
          <w:rFonts w:ascii="Arial" w:cs="Arial" w:eastAsia="Arial" w:hAnsi="Arial"/>
          <w:sz w:val="14"/>
          <w:szCs w:val="14"/>
          <w:color w:val="auto"/>
        </w:rPr>
        <w:t>®</w:t>
      </w:r>
      <w:r>
        <w:rPr>
          <w:rFonts w:ascii="Arial" w:cs="Arial" w:eastAsia="Arial" w:hAnsi="Arial"/>
          <w:sz w:val="17"/>
          <w:szCs w:val="17"/>
          <w:color w:val="auto"/>
        </w:rPr>
        <w:t>, Fertiligene</w:t>
      </w:r>
      <w:r>
        <w:rPr>
          <w:rFonts w:ascii="Arial" w:cs="Arial" w:eastAsia="Arial" w:hAnsi="Arial"/>
          <w:sz w:val="14"/>
          <w:szCs w:val="14"/>
          <w:color w:val="auto"/>
        </w:rPr>
        <w:t>®</w:t>
      </w:r>
      <w:r>
        <w:rPr>
          <w:rFonts w:ascii="Arial" w:cs="Arial" w:eastAsia="Arial" w:hAnsi="Arial"/>
          <w:sz w:val="17"/>
          <w:szCs w:val="17"/>
          <w:color w:val="auto"/>
        </w:rPr>
        <w:t xml:space="preserve"> and Substral</w:t>
      </w:r>
      <w:r>
        <w:rPr>
          <w:rFonts w:ascii="Arial" w:cs="Arial" w:eastAsia="Arial" w:hAnsi="Arial"/>
          <w:sz w:val="14"/>
          <w:szCs w:val="14"/>
          <w:color w:val="auto"/>
        </w:rPr>
        <w:t>®</w:t>
      </w:r>
      <w:r>
        <w:rPr>
          <w:rFonts w:ascii="Arial" w:cs="Arial" w:eastAsia="Arial" w:hAnsi="Arial"/>
          <w:sz w:val="17"/>
          <w:szCs w:val="17"/>
          <w:color w:val="auto"/>
        </w:rPr>
        <w:t xml:space="preserve">. For additional information, visit us at </w:t>
      </w:r>
      <w:r>
        <w:rPr>
          <w:rFonts w:ascii="Arial" w:cs="Arial" w:eastAsia="Arial" w:hAnsi="Arial"/>
          <w:sz w:val="17"/>
          <w:szCs w:val="17"/>
          <w:u w:val="single" w:color="auto"/>
          <w:color w:val="auto"/>
        </w:rPr>
        <w:t>www.scotts.com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spacing w:after="0" w:line="261" w:lineRule="auto"/>
        <w:rPr>
          <w:sz w:val="20"/>
          <w:szCs w:val="20"/>
          <w:color w:val="auto"/>
        </w:rPr>
      </w:pPr>
      <w:r>
        <w:rPr>
          <w:rFonts w:ascii="Arial" w:cs="Arial" w:eastAsia="Arial" w:hAnsi="Arial"/>
          <w:sz w:val="18"/>
          <w:szCs w:val="18"/>
          <w:b w:val="1"/>
          <w:bCs w:val="1"/>
          <w:u w:val="single" w:color="auto"/>
          <w:color w:val="auto"/>
        </w:rPr>
        <w:t>Statement under the Private Securities Litigation Act of 1995</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of the statements contained in this press release,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regarding the future economic performance and financial condition of the company, the plans and objectives of the company’s management, and the company’s assumptions regarding such performance and plans are forward looking in nature. Actual results could differ materially from the forward-looking information in this release, due to a variety of factors, including, but not limited to:</w:t>
      </w:r>
    </w:p>
    <w:p>
      <w:pPr>
        <w:spacing w:after="0" w:line="76"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Adverse weather conditions could adversely affect our sales and financial results;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historical seasonality could impair our ability to pay obligations as they come due and operating expenses;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substantial indebtedness could adversely affect our financial health;</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Public perceptions regarding the safety of our products could adversely affect us;</w:t>
      </w:r>
    </w:p>
    <w:p>
      <w:pPr>
        <w:spacing w:after="0" w:line="117" w:lineRule="exact"/>
        <w:rPr>
          <w:rFonts w:ascii="Arial" w:cs="Arial" w:eastAsia="Arial" w:hAnsi="Arial"/>
          <w:sz w:val="18"/>
          <w:szCs w:val="18"/>
          <w:b w:val="1"/>
          <w:bCs w:val="1"/>
          <w:color w:val="auto"/>
        </w:rPr>
      </w:pPr>
    </w:p>
    <w:p>
      <w:pPr>
        <w:ind w:left="220" w:right="220" w:hanging="212"/>
        <w:spacing w:after="0" w:line="277" w:lineRule="auto"/>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loss of one or more of our top customers could adversely affect our financial results because of the concentration of our sales to a small number of retail customers;</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expiration of certain patents could substantially increase our competition in the United States;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Compliance with environmental and other public health regulations could increase our cost of doing business; and</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Our significant international operations make us more susceptible to fluctuations in currency exchange rates and to the costs of international regulation.</w:t>
      </w:r>
    </w:p>
    <w:p>
      <w:pPr>
        <w:spacing w:after="0" w:line="14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 detailed information concerning a number of the important factors that could cause actual results to differ materially from the forward looking information contained in this release is readily available in the Company’s publicly filed quarterly, annual and other reports</w:t>
      </w:r>
      <w:r>
        <w:rPr>
          <w:rFonts w:ascii="Arial" w:cs="Arial" w:eastAsia="Arial" w:hAnsi="Arial"/>
          <w:sz w:val="18"/>
          <w:szCs w:val="18"/>
          <w:b w:val="1"/>
          <w:bCs w:val="1"/>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King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&amp;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937-578-5622</w:t>
      </w:r>
    </w:p>
    <w:sectPr>
      <w:pgSz w:w="11900" w:h="16838" w:orient="portrait"/>
      <w:cols w:equalWidth="0" w:num="1">
        <w:col w:w="11300"/>
      </w:cols>
      <w:pgMar w:left="24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o"/>
      <w:numFmt w:val="bullet"/>
      <w:start w:val="1"/>
    </w:lvl>
  </w:abstractNum>
  <w:abstractNum w:abstractNumId="4">
    <w:nsid w:val="5BD062C2"/>
    <w:multiLevelType w:val="hybridMultilevel"/>
    <w:lvl w:ilvl="0">
      <w:lvlJc w:val="left"/>
      <w:lvlText w:val="o"/>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o"/>
      <w:numFmt w:val="bullet"/>
      <w:start w:val="1"/>
    </w:lvl>
  </w:abstractNum>
  <w:abstractNum w:abstractNumId="7">
    <w:nsid w:val="216231B"/>
    <w:multiLevelType w:val="hybridMultilevel"/>
    <w:lvl w:ilvl="0">
      <w:lvlJc w:val="left"/>
      <w:lvlText w:val="o"/>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2019-12-20T06:24:52Z</dcterms:created>
  <dcterms:modified xsi:type="dcterms:W3CDTF">2019-12-20T06:24:52Z</dcterms:modified>
</cp:coreProperties>
</file>