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2"/>
          <w:szCs w:val="22"/>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3846830</wp:posOffset>
            </wp:positionH>
            <wp:positionV relativeFrom="paragraph">
              <wp:posOffset>-12065</wp:posOffset>
            </wp:positionV>
            <wp:extent cx="4889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810186106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46"/>
          <w:szCs w:val="46"/>
          <w:b w:val="1"/>
          <w:bCs w:val="1"/>
          <w:color w:val="auto"/>
          <w:vertAlign w:val="subscript"/>
        </w:rPr>
      </w:pPr>
      <w:r>
        <w:rPr>
          <w:rFonts w:ascii="Arial" w:cs="Arial" w:eastAsia="Arial" w:hAnsi="Arial"/>
          <w:sz w:val="16"/>
          <w:szCs w:val="16"/>
          <w:color w:val="auto"/>
        </w:rPr>
        <w:t>I.R.S. IDENTIFICATION NOS. OF ABOVE PERSONS (ENTITIES ONLY) KAYNE ANDERSON RUDNICK INVESTMENT MANAGEMENT LLC 95-4575414</w:t>
      </w:r>
    </w:p>
    <w:p>
      <w:pPr>
        <w:spacing w:after="0" w:line="69" w:lineRule="exact"/>
        <w:rPr>
          <w:rFonts w:ascii="Arial" w:cs="Arial" w:eastAsia="Arial" w:hAnsi="Arial"/>
          <w:sz w:val="46"/>
          <w:szCs w:val="46"/>
          <w:b w:val="1"/>
          <w:bCs w:val="1"/>
          <w:color w:val="auto"/>
          <w:vertAlign w:val="subscript"/>
        </w:rPr>
      </w:pPr>
    </w:p>
    <w:p>
      <w:pPr>
        <w:ind w:left="760"/>
        <w:spacing w:after="0"/>
        <w:rPr>
          <w:rFonts w:ascii="Arial" w:cs="Arial" w:eastAsia="Arial" w:hAnsi="Arial"/>
          <w:sz w:val="46"/>
          <w:szCs w:val="46"/>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A California Limited Liability Company</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2,357,234</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448,298</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2,357,234</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448,298</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2,805,532</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5.03%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SCOTTS MIRACLE-GRO COMPANY</w:t>
      </w:r>
    </w:p>
    <w:p>
      <w:pPr>
        <w:spacing w:after="0" w:line="237" w:lineRule="exact"/>
        <w:rPr>
          <w:rFonts w:ascii="Arial" w:cs="Arial" w:eastAsia="Arial" w:hAnsi="Arial"/>
          <w:sz w:val="18"/>
          <w:szCs w:val="18"/>
          <w:color w:val="auto"/>
        </w:rPr>
      </w:pPr>
    </w:p>
    <w:p>
      <w:pPr>
        <w:ind w:left="1300" w:right="6480" w:hanging="644"/>
        <w:spacing w:after="0" w:line="264"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14111 SCOTTSLAWN ROAD MARYSVILLE, OH 43041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KAYNE ANDERSON RUDNICK INVESTMENT MANAGEMENT LLC</w:t>
      </w:r>
    </w:p>
    <w:p>
      <w:pPr>
        <w:spacing w:after="0" w:line="237" w:lineRule="exact"/>
        <w:rPr>
          <w:rFonts w:ascii="Arial" w:cs="Arial" w:eastAsia="Arial" w:hAnsi="Arial"/>
          <w:sz w:val="18"/>
          <w:szCs w:val="18"/>
          <w:color w:val="auto"/>
        </w:rPr>
      </w:pPr>
    </w:p>
    <w:p>
      <w:pPr>
        <w:ind w:left="1300" w:right="54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1800 Avenue of the Stars, 2nd Floor, Los Angeles, CA 90067</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California Limited Liability Company</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810186106</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2,805,532</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5.03%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2,357,234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448,298</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2,357,234</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448,298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Kayne Anderson Rudnick Investment Management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LLC</w:t>
      </w:r>
    </w:p>
    <w:p>
      <w:pPr>
        <w:sectPr>
          <w:pgSz w:w="11900" w:h="16838" w:orient="portrait"/>
          <w:cols w:equalWidth="0" w:num="1">
            <w:col w:w="11340"/>
          </w:cols>
          <w:pgMar w:left="240" w:top="756" w:right="31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/s/ Michael Shoemaker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Shoemaker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Compliance Officer</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2020-02-14T05:41:13Z</dcterms:created>
  <dcterms:modified xsi:type="dcterms:W3CDTF">2020-02-14T05:41:13Z</dcterms:modified>
</cp:coreProperties>
</file>