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594995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560705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8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10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November 4, 2026</w:t>
      </w:r>
    </w:p>
    <w:p>
      <w:pPr>
        <w:spacing w:after="0" w:line="3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Scotts Miracle-Gro Company</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41" w:lineRule="exact"/>
        <w:rPr>
          <w:sz w:val="24"/>
          <w:szCs w:val="24"/>
          <w:color w:val="auto"/>
        </w:rPr>
      </w:pPr>
    </w:p>
    <w:tbl>
      <w:tblPr>
        <w:tblLayout w:type="fixed"/>
        <w:tblInd w:w="680" w:type="dxa"/>
        <w:tblCellMar>
          <w:top w:w="0" w:type="dxa"/>
          <w:left w:w="0" w:type="dxa"/>
          <w:bottom w:w="0" w:type="dxa"/>
          <w:right w:w="0" w:type="dxa"/>
        </w:tblCellMar>
      </w:tblPr>
      <w:tr>
        <w:trPr>
          <w:trHeight w:val="238"/>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001-11593</w:t>
            </w:r>
          </w:p>
        </w:tc>
        <w:tc>
          <w:tcPr>
            <w:tcW w:w="1420" w:type="dxa"/>
            <w:vAlign w:val="bottom"/>
          </w:tcPr>
          <w:p>
            <w:pPr>
              <w:spacing w:after="0"/>
              <w:rPr>
                <w:sz w:val="20"/>
                <w:szCs w:val="20"/>
                <w:color w:val="auto"/>
              </w:rPr>
            </w:pPr>
          </w:p>
        </w:tc>
        <w:tc>
          <w:tcPr>
            <w:tcW w:w="2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31-1414921</w:t>
            </w:r>
          </w:p>
        </w:tc>
      </w:tr>
      <w:tr>
        <w:trPr>
          <w:trHeight w:val="243"/>
        </w:trPr>
        <w:tc>
          <w:tcPr>
            <w:tcW w:w="33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(Commission</w:t>
            </w:r>
          </w:p>
        </w:tc>
        <w:tc>
          <w:tcPr>
            <w:tcW w:w="23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43"/>
        </w:trPr>
        <w:tc>
          <w:tcPr>
            <w:tcW w:w="33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File Number)</w:t>
            </w:r>
          </w:p>
        </w:tc>
        <w:tc>
          <w:tcPr>
            <w:tcW w:w="23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05"/>
        </w:trPr>
        <w:tc>
          <w:tcPr>
            <w:tcW w:w="330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14111 Scottslawn Road</w:t>
            </w:r>
          </w:p>
        </w:tc>
        <w:tc>
          <w:tcPr>
            <w:tcW w:w="19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Marysville</w:t>
            </w:r>
          </w:p>
        </w:tc>
        <w:tc>
          <w:tcPr>
            <w:tcW w:w="1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Ohio</w:t>
            </w:r>
          </w:p>
        </w:tc>
        <w:tc>
          <w:tcPr>
            <w:tcW w:w="2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43041</w:t>
            </w:r>
          </w:p>
        </w:tc>
      </w:tr>
      <w:tr>
        <w:trPr>
          <w:trHeight w:val="243"/>
        </w:trPr>
        <w:tc>
          <w:tcPr>
            <w:tcW w:w="33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3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(937) 644-0011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44"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4"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4"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006" w:right="339" w:bottom="1440" w:gutter="0" w:footer="0" w:header="0"/>
        </w:sectPr>
      </w:pPr>
    </w:p>
    <w:p>
      <w:pPr>
        <w:spacing w:after="0" w:line="63"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48" w:lineRule="exact"/>
        <w:rPr>
          <w:sz w:val="24"/>
          <w:szCs w:val="24"/>
          <w:color w:val="auto"/>
        </w:rPr>
      </w:pPr>
    </w:p>
    <w:p>
      <w:pPr>
        <w:sectPr>
          <w:pgSz w:w="11900" w:h="16838" w:orient="portrait"/>
          <w:cols w:equalWidth="0" w:num="3">
            <w:col w:w="3920" w:space="720"/>
            <w:col w:w="2120" w:space="720"/>
            <w:col w:w="3760"/>
          </w:cols>
          <w:pgMar w:left="320" w:top="1006"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Common Shares, $0.01 stated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NYSE</w:t>
      </w:r>
    </w:p>
    <w:p>
      <w:pPr>
        <w:spacing w:after="0" w:line="211" w:lineRule="exact"/>
        <w:rPr>
          <w:sz w:val="24"/>
          <w:szCs w:val="24"/>
          <w:color w:val="auto"/>
        </w:rPr>
      </w:pPr>
    </w:p>
    <w:p>
      <w:pPr>
        <w:sectPr>
          <w:pgSz w:w="11900" w:h="16838" w:orient="portrait"/>
          <w:cols w:equalWidth="0" w:num="3">
            <w:col w:w="4420" w:space="720"/>
            <w:col w:w="2980" w:space="720"/>
            <w:col w:w="2400"/>
          </w:cols>
          <w:pgMar w:left="320" w:top="1006" w:right="339" w:bottom="1440" w:gutter="0" w:footer="0" w:header="0"/>
          <w:type w:val="continuous"/>
        </w:sectPr>
      </w:pPr>
    </w:p>
    <w:p>
      <w:pPr>
        <w:spacing w:after="0" w:line="255"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34290</wp:posOffset>
            </wp:positionV>
            <wp:extent cx="6703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0</wp:posOffset>
            </wp:positionV>
            <wp:extent cx="6703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2.02. Results of Operations and Financial Condition.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4, 2026, Scotts Miracle-Gro issued a news release reporting information regarding its financial results for the three and twelve months ended September 30, 2026 and its financial condition as of September 30, 2026. The news release is furnished herewith as Exhibit 99.1 to this Current Report on Form 8-K and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9.01. Financial Statements and Exhibits.</w:t>
      </w:r>
    </w:p>
    <w:p>
      <w:pPr>
        <w:spacing w:after="0" w:line="175" w:lineRule="exact"/>
        <w:rPr>
          <w:sz w:val="20"/>
          <w:szCs w:val="20"/>
          <w:color w:val="auto"/>
        </w:rPr>
      </w:pPr>
    </w:p>
    <w:p>
      <w:pPr>
        <w:ind w:right="7800" w:firstLine="8"/>
        <w:spacing w:after="0" w:line="438" w:lineRule="auto"/>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Financial statements of businesses acquired: </w:t>
      </w:r>
      <w:r>
        <w:rPr>
          <w:rFonts w:ascii="Times New Roman" w:cs="Times New Roman" w:eastAsia="Times New Roman" w:hAnsi="Times New Roman"/>
          <w:sz w:val="18"/>
          <w:szCs w:val="18"/>
          <w:color w:val="auto"/>
        </w:rPr>
        <w:t>Not applicable.</w:t>
      </w: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71" w:lineRule="exact"/>
        <w:rPr>
          <w:sz w:val="20"/>
          <w:szCs w:val="20"/>
          <w:color w:val="auto"/>
        </w:rPr>
      </w:pPr>
    </w:p>
    <w:p>
      <w:pPr>
        <w:ind w:right="8960" w:firstLine="8"/>
        <w:spacing w:after="0" w:line="438" w:lineRule="auto"/>
        <w:tabs>
          <w:tab w:leader="none" w:pos="2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Shell company transactions: </w:t>
      </w:r>
      <w:r>
        <w:rPr>
          <w:rFonts w:ascii="Times New Roman" w:cs="Times New Roman" w:eastAsia="Times New Roman" w:hAnsi="Times New Roman"/>
          <w:sz w:val="18"/>
          <w:szCs w:val="18"/>
          <w:color w:val="auto"/>
        </w:rPr>
        <w:t>Not applicable.</w:t>
      </w: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22"/>
                <w:szCs w:val="22"/>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News release issued by The Scotts Miracle-Gro Company on November 4, 2026</w:t>
            </w:r>
          </w:p>
        </w:tc>
      </w:tr>
      <w:tr>
        <w:trPr>
          <w:trHeight w:val="297"/>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84"/>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93" w:lineRule="exact"/>
        <w:rPr>
          <w:sz w:val="20"/>
          <w:szCs w:val="20"/>
          <w:color w:val="auto"/>
        </w:rPr>
      </w:pPr>
    </w:p>
    <w:p>
      <w:pPr>
        <w:ind w:left="20"/>
        <w:spacing w:after="0"/>
        <w:tabs>
          <w:tab w:leader="none" w:pos="2660" w:val="left"/>
          <w:tab w:leader="none" w:pos="3160" w:val="left"/>
        </w:tabs>
        <w:rPr>
          <w:sz w:val="20"/>
          <w:szCs w:val="20"/>
          <w:color w:val="auto"/>
        </w:rPr>
      </w:pPr>
      <w:r>
        <w:rPr>
          <w:rFonts w:ascii="Times New Roman" w:cs="Times New Roman" w:eastAsia="Times New Roman" w:hAnsi="Times New Roman"/>
          <w:sz w:val="18"/>
          <w:szCs w:val="18"/>
          <w:color w:val="auto"/>
        </w:rPr>
        <w:t>Dated: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J. SCHEIWER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51435</wp:posOffset>
            </wp:positionV>
            <wp:extent cx="5117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spacing w:after="0" w:line="8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Printed Name: Mark J. Scheiwer</w:t>
      </w:r>
    </w:p>
    <w:p>
      <w:pPr>
        <w:spacing w:after="0" w:line="3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Title: Executive Vice President, Chief Financial Officer &amp;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 w:name="page4"/>
    <w:bookmarkEnd w:id="3"/>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5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Current Report on Form 8-K</w:t>
      </w:r>
    </w:p>
    <w:p>
      <w:pPr>
        <w:spacing w:after="0" w:line="2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9"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760" w:type="dxa"/>
            <w:vAlign w:val="bottom"/>
          </w:tcPr>
          <w:p>
            <w:pPr>
              <w:spacing w:after="0"/>
              <w:rPr>
                <w:sz w:val="17"/>
                <w:szCs w:val="17"/>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23"/>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News release issued by The Scotts Miracle-Gro Company on November 4, 2026</w:t>
            </w:r>
          </w:p>
        </w:tc>
      </w:tr>
    </w:tbl>
    <w:p>
      <w:pPr>
        <w:sectPr>
          <w:pgSz w:w="11900" w:h="16838" w:orient="portrait"/>
          <w:cols w:equalWidth="0" w:num="1">
            <w:col w:w="10099"/>
          </w:cols>
          <w:pgMar w:left="360" w:top="887" w:right="1440"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The Scotts Miracle-Gro Company NEWS</w:t>
      </w:r>
    </w:p>
    <w:p>
      <w:pPr>
        <w:spacing w:after="0" w:line="344" w:lineRule="exact"/>
        <w:rPr>
          <w:sz w:val="20"/>
          <w:szCs w:val="20"/>
          <w:color w:val="auto"/>
        </w:rPr>
      </w:pPr>
    </w:p>
    <w:p>
      <w:pPr>
        <w:jc w:val="center"/>
        <w:ind w:left="340" w:right="1920"/>
        <w:spacing w:after="0" w:line="258" w:lineRule="auto"/>
        <w:rPr>
          <w:sz w:val="20"/>
          <w:szCs w:val="20"/>
          <w:color w:val="auto"/>
        </w:rPr>
      </w:pPr>
      <w:r>
        <w:rPr>
          <w:rFonts w:ascii="Times New Roman" w:cs="Times New Roman" w:eastAsia="Times New Roman" w:hAnsi="Times New Roman"/>
          <w:sz w:val="27"/>
          <w:szCs w:val="27"/>
          <w:b w:val="1"/>
          <w:bCs w:val="1"/>
          <w:color w:val="auto"/>
        </w:rPr>
        <w:t>ScottsMiracle-Gro Reports Strong Fiscal 2026 Full-Year Results GAAP and Non-GAAP Gross Margin Expands, Non-GAAP Adjusted EPS Exceeds Guidance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i w:val="1"/>
          <w:iCs w:val="1"/>
          <w:color w:val="auto"/>
        </w:rPr>
        <w:t>Fiscal 2027 guidance calls for continued top-line and bottom-line growth</w:t>
      </w:r>
    </w:p>
    <w:p>
      <w:pPr>
        <w:spacing w:after="0" w:line="2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MARYSVILLE, Ohio, November 4, 2026 </w:t>
      </w:r>
      <w:r>
        <w:rPr>
          <w:rFonts w:ascii="Times New Roman" w:cs="Times New Roman" w:eastAsia="Times New Roman" w:hAnsi="Times New Roman"/>
          <w:sz w:val="18"/>
          <w:szCs w:val="18"/>
          <w:color w:val="auto"/>
        </w:rPr>
        <w:t>– The Scotts Miracle-Gro Company (NYSE: SMG), home to North America’s leading consumer lawn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garden brands, today announced its results for the fourth quarter and full fiscal year ended September 30, 2026.</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 pleased with our performance and financial discipline in fiscal 2026, as we delivered on all our imperatives and significantly strengthened our balance sheet,” said Nate Baxter, president and CEO. “At the same time, we are making important investments to transform our business into a modern lifestyle company with iconic brands in a category that is growing.</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look to fiscal 2027, we have developed a sound plan that relies on what we can control and enables us to navigate a volatile macroeconomic environment while further advancing the building blocks of our SMG 2.0 strategy. We will build on this momentum to drive sustainable and consistent growth.”</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 Scheiwer, chief financial officer and chief accounting officer, added, “We met or exceeded our fiscal 2026 commitments for net sales, gross margin, EPS, free cash flow and leverage ratio. Importantly, we expanded our gross margin despite a challenging commodity and freight environment and delivered adjusted earnings per share above our guidance. Our fiscal 2027 outlook reflects pricing and innovation, SG&amp;A efficiencies and supply chain savings supported by our continued capital reinvestment. We remain committed to de-levering with a path to 3.0 to 3.5x by fiscal 2029.”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D1E23"/>
        </w:rPr>
        <w:t>Fiscal 2026 Full Year Highlights</w:t>
      </w:r>
    </w:p>
    <w:p>
      <w:pPr>
        <w:spacing w:after="0" w:line="25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2D1E23"/>
        </w:rPr>
      </w:pPr>
      <w:r>
        <w:rPr>
          <w:rFonts w:ascii="Times New Roman" w:cs="Times New Roman" w:eastAsia="Times New Roman" w:hAnsi="Times New Roman"/>
          <w:sz w:val="18"/>
          <w:szCs w:val="18"/>
          <w:color w:val="auto"/>
        </w:rPr>
        <w:t>Net sales were $3.29 billion, an increase of 1% versus prior year, driven by growth in our branded products and continued e-commerce expansion.</w:t>
      </w:r>
    </w:p>
    <w:p>
      <w:pPr>
        <w:spacing w:after="0" w:line="14" w:lineRule="exact"/>
        <w:rPr>
          <w:rFonts w:ascii="Arial" w:cs="Arial" w:eastAsia="Arial" w:hAnsi="Arial"/>
          <w:sz w:val="18"/>
          <w:szCs w:val="18"/>
          <w:color w:val="2D1E23"/>
        </w:rPr>
      </w:pPr>
    </w:p>
    <w:p>
      <w:pPr>
        <w:jc w:val="both"/>
        <w:ind w:left="660" w:hanging="328"/>
        <w:spacing w:after="0"/>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rate of 32.3% and non-GAAP adjusted gross margin rate of 32.4% improved by 100 and 80 basis points over prior year, respectively, driven by continued supply chain savings, favorable mix from higher-margin branded product sales and pricing actions, partially offset by higher commodity and freight costs.</w:t>
      </w:r>
    </w:p>
    <w:p>
      <w:pPr>
        <w:ind w:left="660" w:hanging="328"/>
        <w:spacing w:after="0" w:line="24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from continuing operations of $3.30 per diluted share and non-GAAP adjusted earnings from continuing operations of $4.48 per diluted share improved by 6% and 18% over prior year, respectively, aided by lower interest expense and lower tax rate.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was $278.4 million, and net leverage of 3.89x improved 0.21x versus last year.</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2027 Outlook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provided direction for fiscal 2027 that includes:</w:t>
      </w:r>
    </w:p>
    <w:p>
      <w:pPr>
        <w:spacing w:after="0" w:line="23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growth of 2% to 4%.</w:t>
      </w:r>
    </w:p>
    <w:p>
      <w:pPr>
        <w:spacing w:after="0" w:line="2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expansion of non-GAAP adjusted gross margin rate.</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earnings per share from continuing operations of $4.70 to $4.90.</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approximately $275 million.</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ratio declining year over year, with the Company remaining on track to reach its target range of 3.0 to 3.5x by fiscal 2029.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Scheduled for 8:15 a.m. ET Today, November 4, 2026</w:t>
      </w:r>
    </w:p>
    <w:p>
      <w:pPr>
        <w:spacing w:after="0" w:line="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 will discuss results during an audio presentation via webcast today at 8:15 a.m. ET. To listen to the Company presentation and the question-and-answer session, please register in advance at this webcast link. For those planning to participate in the question-and-answer session that follows the presentation, please register for the webcast in addition to registering in advance via this audio link to receive call-in details and a unique PIN. A replay of the conference call will also be available on the Company’s investor website, where an archive of the press release and any accompanying information will remain available for at least a 12-month period.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About ScottsMiracle-Gro</w:t>
      </w:r>
    </w:p>
    <w:p>
      <w:pPr>
        <w:spacing w:after="0" w:line="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With approximately $3.3 billion in sales, the Company is home to North America’s leading consumer lawn and garden brands. The Company’s brands are among the most recognized in the industry. The Company’s Scotts®, Miracle-Gro®, Ortho® and Tomcat® brands are market-leading in their categories. For additional information, visit us at www.scottsmiraclegro.com.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Statements contained in this press release, other than statements of historical fact, which address activities, events and developments that the Company expects or anticipates will or may occur in the future, including, but not limited to, information regarding the future economic performance and financial condition of the Company, the plans and objectives of the Company’s management, and the Company’s assumptions regarding such performance and plans are “forward-looking statements” within the meaning of the U.S. federal securities laws that are subject to risks and uncertainties. These forward-looking statements generally can be identified as statements that include phrases such as “guidance,” “outlook,” “projected,” “believe,” “target,” “predict,” “estimate,” “forecast,” “strategy,” “may,” “goal,” “expect,” “anticipate,” “intend,” “plan,” “foresee,” “likely,” “will,” “should” or other similar words or phrases. Actual results could differ materially from the forward-looking information in this release due to a variety of factors, including, but not limited to:</w:t>
      </w:r>
    </w:p>
    <w:p>
      <w:pPr>
        <w:spacing w:after="0" w:line="222"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An economic downturn and economic uncertainty may adversely affect demand for the Company’s products;</w:t>
      </w:r>
    </w:p>
    <w:p>
      <w:pPr>
        <w:spacing w:after="0" w:line="22"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operations, financial condition or reputation may be impaired if its information or operational technology systems fail to perform adequately or if the Company is the subject of a data breach or cyber attack;</w:t>
      </w:r>
    </w:p>
    <w:p>
      <w:pPr>
        <w:ind w:left="640" w:hanging="308"/>
        <w:spacing w:after="0" w:line="228" w:lineRule="auto"/>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highly competitive nature of the Company’s markets could adversely affect its ability to maintain or grow revenues;</w:t>
      </w: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disaster, the Company’s disaster recovery and business continuity plans may fail, which could adversely interrupt its operations;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Climate change and unfavorable weather conditions could adversely impact financial results;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not successfully develop new product lines and products or improve existing product lines and products;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indebtedness could limit its flexibility and adversely affect its financial condition;</w:t>
      </w:r>
    </w:p>
    <w:p>
      <w:pPr>
        <w:spacing w:after="0" w:line="5" w:lineRule="exact"/>
        <w:rPr>
          <w:rFonts w:ascii="Times New Roman" w:cs="Times New Roman" w:eastAsia="Times New Roman" w:hAnsi="Times New Roman"/>
          <w:sz w:val="16"/>
          <w:szCs w:val="16"/>
          <w:color w:val="auto"/>
        </w:rPr>
      </w:pPr>
    </w:p>
    <w:p>
      <w:pPr>
        <w:ind w:left="660" w:hanging="328"/>
        <w:spacing w:after="0" w:line="237"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environmental and other public health regulations or changes in such regulations or regulatory enforcement priorities could increase the Company’s costs of doing business or limit its ability to market certain products;</w:t>
      </w:r>
    </w:p>
    <w:p>
      <w:pPr>
        <w:spacing w:after="0" w:line="1" w:lineRule="exact"/>
        <w:rPr>
          <w:rFonts w:ascii="Times New Roman" w:cs="Times New Roman" w:eastAsia="Times New Roman" w:hAnsi="Times New Roman"/>
          <w:sz w:val="16"/>
          <w:szCs w:val="16"/>
          <w:color w:val="auto"/>
        </w:rPr>
      </w:pPr>
    </w:p>
    <w:p>
      <w:pPr>
        <w:ind w:left="660" w:hanging="328"/>
        <w:spacing w:after="0" w:line="246"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of the concentration of the Company’s sales to a small number of retail customers, the loss of one or more of, or significant reduction in orders from, any of its top customers, or a material reduction in the inventory of the Company’s products that they carry, could adversely affect the Company’s financial results;</w:t>
      </w:r>
    </w:p>
    <w:p>
      <w:pPr>
        <w:ind w:left="660" w:hanging="328"/>
        <w:spacing w:after="0" w:line="237"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perception of the Company’s brands or organizational reputation are damaged, its consumers, distributors and retailers may react negatively, which could materially and adversely affect the Company’s business, financial condition and results of operations;</w:t>
      </w:r>
    </w:p>
    <w:p>
      <w:pPr>
        <w:spacing w:after="0" w:line="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success depends on the retention and availability of key personnel and the effective succession of senior management; and</w:t>
      </w:r>
    </w:p>
    <w:p>
      <w:pPr>
        <w:spacing w:after="0" w:line="5" w:lineRule="exact"/>
        <w:rPr>
          <w:rFonts w:ascii="Times New Roman" w:cs="Times New Roman" w:eastAsia="Times New Roman" w:hAnsi="Times New Roman"/>
          <w:sz w:val="16"/>
          <w:szCs w:val="16"/>
          <w:color w:val="auto"/>
        </w:rPr>
      </w:pPr>
    </w:p>
    <w:p>
      <w:pPr>
        <w:ind w:left="660" w:right="20" w:hanging="328"/>
        <w:spacing w:after="0" w:line="257"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involved in a number of legal proceedings and, while it cannot predict the outcomes of such proceedings and other contingencies with certainty, some of these outcomes could adversely affect the Company’s financial condition, results of operations and cash flows.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Additional detailed information concerning a number of the important factors that could cause actual results to differ materially from the forward-looking information contained in this release is readily available in the Company’s publicly filed quarterly, annual and other reports. The Company disclaims any obligation to update developments of these risk factors or to announce publicly any revision to any of the forward-looking statements contained in this release, or to make corrections to reflect future events or developments.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investor inquiries: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 Chelton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Vice President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Treasury, Tax and Investor Relations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brad.chelton@scotts.com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(937) 309-2503</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media inquiries: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Tom Matthews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Chief Communications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tom.matthews@scotts.com</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(937) 844-3864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75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4"/>
          </w:tcPr>
          <w:p>
            <w:pPr>
              <w:jc w:val="right"/>
              <w:ind w:right="548"/>
              <w:spacing w:after="0"/>
              <w:rPr>
                <w:sz w:val="20"/>
                <w:szCs w:val="20"/>
                <w:color w:val="auto"/>
              </w:rPr>
            </w:pPr>
            <w:r>
              <w:rPr>
                <w:rFonts w:ascii="Times New Roman" w:cs="Times New Roman" w:eastAsia="Times New Roman" w:hAnsi="Times New Roman"/>
                <w:sz w:val="14"/>
                <w:szCs w:val="14"/>
                <w:color w:val="auto"/>
              </w:rPr>
              <w:t>Twelve Months Ended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300" w:type="dxa"/>
            <w:vAlign w:val="bottom"/>
          </w:tcPr>
          <w:p>
            <w:pPr>
              <w:spacing w:after="0"/>
              <w:rPr>
                <w:sz w:val="12"/>
                <w:szCs w:val="12"/>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Footnotes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September 30,</w:t>
            </w:r>
          </w:p>
        </w:tc>
        <w:tc>
          <w:tcPr>
            <w:tcW w:w="140" w:type="dxa"/>
            <w:vAlign w:val="bottom"/>
          </w:tcPr>
          <w:p>
            <w:pPr>
              <w:spacing w:after="0"/>
              <w:rPr>
                <w:sz w:val="12"/>
                <w:szCs w:val="12"/>
                <w:color w:val="auto"/>
              </w:rPr>
            </w:pPr>
          </w:p>
        </w:tc>
        <w:tc>
          <w:tcPr>
            <w:tcW w:w="1060" w:type="dxa"/>
            <w:vAlign w:val="bottom"/>
          </w:tcPr>
          <w:p>
            <w:pPr>
              <w:jc w:val="right"/>
              <w:ind w:right="108"/>
              <w:spacing w:after="0" w:line="147" w:lineRule="exact"/>
              <w:rPr>
                <w:sz w:val="20"/>
                <w:szCs w:val="20"/>
                <w:color w:val="auto"/>
              </w:rPr>
            </w:pPr>
            <w:r>
              <w:rPr>
                <w:rFonts w:ascii="Times New Roman" w:cs="Times New Roman" w:eastAsia="Times New Roman" w:hAnsi="Times New Roman"/>
                <w:sz w:val="14"/>
                <w:szCs w:val="14"/>
                <w:color w:val="auto"/>
              </w:rPr>
              <w:t>September 30,</w:t>
            </w:r>
          </w:p>
        </w:tc>
        <w:tc>
          <w:tcPr>
            <w:tcW w:w="100" w:type="dxa"/>
            <w:vAlign w:val="bottom"/>
          </w:tcPr>
          <w:p>
            <w:pPr>
              <w:spacing w:after="0"/>
              <w:rPr>
                <w:sz w:val="12"/>
                <w:szCs w:val="12"/>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 Change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September 30,</w:t>
            </w:r>
          </w:p>
        </w:tc>
        <w:tc>
          <w:tcPr>
            <w:tcW w:w="140" w:type="dxa"/>
            <w:vAlign w:val="bottom"/>
          </w:tcPr>
          <w:p>
            <w:pPr>
              <w:spacing w:after="0"/>
              <w:rPr>
                <w:sz w:val="12"/>
                <w:szCs w:val="12"/>
                <w:color w:val="auto"/>
              </w:rPr>
            </w:pPr>
          </w:p>
        </w:tc>
        <w:tc>
          <w:tcPr>
            <w:tcW w:w="1080" w:type="dxa"/>
            <w:vAlign w:val="bottom"/>
          </w:tcPr>
          <w:p>
            <w:pPr>
              <w:jc w:val="right"/>
              <w:ind w:right="128"/>
              <w:spacing w:after="0" w:line="147" w:lineRule="exact"/>
              <w:rPr>
                <w:sz w:val="20"/>
                <w:szCs w:val="20"/>
                <w:color w:val="auto"/>
              </w:rPr>
            </w:pPr>
            <w:r>
              <w:rPr>
                <w:rFonts w:ascii="Times New Roman" w:cs="Times New Roman" w:eastAsia="Times New Roman" w:hAnsi="Times New Roman"/>
                <w:sz w:val="14"/>
                <w:szCs w:val="14"/>
                <w:color w:val="auto"/>
              </w:rPr>
              <w:t>September 30,</w:t>
            </w:r>
          </w:p>
        </w:tc>
        <w:tc>
          <w:tcPr>
            <w:tcW w:w="100" w:type="dxa"/>
            <w:vAlign w:val="bottom"/>
          </w:tcPr>
          <w:p>
            <w:pPr>
              <w:spacing w:after="0"/>
              <w:rPr>
                <w:sz w:val="12"/>
                <w:szCs w:val="12"/>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193"/>
        </w:trPr>
        <w:tc>
          <w:tcPr>
            <w:tcW w:w="33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302.9</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340.1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3,288.9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3,255.8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322.3</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2,223.4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2,226.1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sales—impairment, restructuring and other</w:t>
            </w: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1,063.0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1,019.6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of sales</w:t>
            </w: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32.3 %</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31.3 %</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144.0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127.7</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594.7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563.8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3"/>
        </w:trPr>
        <w:tc>
          <w:tcPr>
            <w:tcW w:w="3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Impairment, restructuring and other</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(income) expense, net</w:t>
            </w: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(143.0)</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(123.8)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406.7</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402.0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of sales</w:t>
            </w: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12.4 %</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12.3 %</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(income) loss of unconsolidated affiliates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129.0</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non-operating expense, net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3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Income (loss) from continuing operations before</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(178.9)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(164.2)</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278.0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264.9</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Income tax expense (benefit) from continuing</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(54.7)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operations</w:t>
            </w: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from continuing operations</w:t>
            </w: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(124.2)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(127.3)</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194.9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182.1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discontinued operations, net of tax</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(121.9)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(151.8)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145.2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net income (loss) per common share:</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Continuing operations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Discontinued operations</w:t>
            </w: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(0.42)</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(0.64)</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Basic net income (loss) per common share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net income (loss) per common share: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Continuing operations</w:t>
            </w: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(2.21)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3"/>
        </w:trPr>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Discontinued operations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(0.42)</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(0.63)</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 net income (loss) per common share</w:t>
            </w: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Common shares used in basic net income (loss) per</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57.7</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57.6</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1"/>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calculation</w:t>
            </w: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20"/>
              <w:spacing w:after="0" w:line="140" w:lineRule="exact"/>
              <w:rPr>
                <w:sz w:val="20"/>
                <w:szCs w:val="20"/>
                <w:color w:val="auto"/>
              </w:rPr>
            </w:pPr>
            <w:r>
              <w:rPr>
                <w:rFonts w:ascii="Times New Roman" w:cs="Times New Roman" w:eastAsia="Times New Roman" w:hAnsi="Times New Roman"/>
                <w:sz w:val="14"/>
                <w:szCs w:val="14"/>
                <w:color w:val="auto"/>
              </w:rPr>
              <w:t>Common shares and potential common shares used in</w:t>
            </w: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3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58.0</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57.7</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58.7</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71"/>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net income (loss) per share calculation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Non-GAAP results: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 (loss) from continuing operations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(113.9)</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223.0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20"/>
              <w:spacing w:after="0" w:line="140" w:lineRule="exact"/>
              <w:rPr>
                <w:sz w:val="20"/>
                <w:szCs w:val="20"/>
                <w:color w:val="auto"/>
              </w:rPr>
            </w:pPr>
            <w:r>
              <w:rPr>
                <w:rFonts w:ascii="Times New Roman" w:cs="Times New Roman" w:eastAsia="Times New Roman" w:hAnsi="Times New Roman"/>
                <w:sz w:val="14"/>
                <w:szCs w:val="14"/>
                <w:color w:val="auto"/>
              </w:rPr>
              <w:t>Adjusted diluted net income (loss) per common share</w:t>
            </w: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300" w:type="dxa"/>
            <w:vAlign w:val="bottom"/>
            <w:vMerge w:val="continue"/>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 (3) (4)</w:t>
            </w:r>
          </w:p>
        </w:tc>
        <w:tc>
          <w:tcPr>
            <w:tcW w:w="1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(1.97)</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3.80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7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continuing operations</w:t>
            </w: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(106.7)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(86.1)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569.7</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Note: See accompanying footnotes.</w:t>
            </w: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30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Results (3) (4)</w:t>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classification of the Hawthorne business as a discontinued operation, the Company’s reportable segments for fiscal 2026 differ from those used in prior periods. The prior period amounts have been reclassified to reflect the removal of Hawthorne as a reportable segment and from results of continuing operations. U.S. Consumer consists of the Company’s consumer lawn and garden business in the United States. Other primarily consists of the Company’s consumer lawn and garden business in Canada. Corporate consists of general and administrative expenses and certain other income and expense items not allocated to the Company’s operating segments.</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performance is evaluated based on several factors, including income (loss) from continuing operations before income taxes, amortization, impairment, restructuring and other charges (“Segment Profit (Loss)”), which is a non-GAAP financial measure. The Company believes this measure is indicative of performance trends and the overall earnings potential of each segment.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segment financial information from continuing operations for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color w:val="auto"/>
              </w:rPr>
              <w:t>Twelve Months Ended</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September 30,</w:t>
            </w:r>
          </w:p>
        </w:tc>
        <w:tc>
          <w:tcPr>
            <w:tcW w:w="140" w:type="dxa"/>
            <w:vAlign w:val="bottom"/>
          </w:tcPr>
          <w:p>
            <w:pPr>
              <w:spacing w:after="0"/>
              <w:rPr>
                <w:sz w:val="12"/>
                <w:szCs w:val="12"/>
                <w:color w:val="auto"/>
              </w:rPr>
            </w:pPr>
          </w:p>
        </w:tc>
        <w:tc>
          <w:tcPr>
            <w:tcW w:w="1120" w:type="dxa"/>
            <w:vAlign w:val="bottom"/>
          </w:tcPr>
          <w:p>
            <w:pPr>
              <w:jc w:val="right"/>
              <w:ind w:right="148"/>
              <w:spacing w:after="0" w:line="147" w:lineRule="exact"/>
              <w:rPr>
                <w:sz w:val="20"/>
                <w:szCs w:val="20"/>
                <w:color w:val="auto"/>
              </w:rPr>
            </w:pPr>
            <w:r>
              <w:rPr>
                <w:rFonts w:ascii="Times New Roman" w:cs="Times New Roman" w:eastAsia="Times New Roman" w:hAnsi="Times New Roman"/>
                <w:sz w:val="14"/>
                <w:szCs w:val="14"/>
                <w:color w:val="auto"/>
              </w:rPr>
              <w:t>September 30,</w:t>
            </w:r>
          </w:p>
        </w:tc>
        <w:tc>
          <w:tcPr>
            <w:tcW w:w="10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 Change</w:t>
            </w:r>
          </w:p>
        </w:tc>
        <w:tc>
          <w:tcPr>
            <w:tcW w:w="160" w:type="dxa"/>
            <w:vAlign w:val="bottom"/>
          </w:tcPr>
          <w:p>
            <w:pPr>
              <w:spacing w:after="0"/>
              <w:rPr>
                <w:sz w:val="12"/>
                <w:szCs w:val="12"/>
                <w:color w:val="auto"/>
              </w:rPr>
            </w:pPr>
          </w:p>
        </w:tc>
        <w:tc>
          <w:tcPr>
            <w:tcW w:w="12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September 30,</w:t>
            </w:r>
          </w:p>
        </w:tc>
        <w:tc>
          <w:tcPr>
            <w:tcW w:w="160" w:type="dxa"/>
            <w:vAlign w:val="bottom"/>
          </w:tcPr>
          <w:p>
            <w:pPr>
              <w:spacing w:after="0"/>
              <w:rPr>
                <w:sz w:val="12"/>
                <w:szCs w:val="12"/>
                <w:color w:val="auto"/>
              </w:rPr>
            </w:pPr>
          </w:p>
        </w:tc>
        <w:tc>
          <w:tcPr>
            <w:tcW w:w="1100" w:type="dxa"/>
            <w:vAlign w:val="bottom"/>
          </w:tcPr>
          <w:p>
            <w:pPr>
              <w:jc w:val="right"/>
              <w:ind w:right="148"/>
              <w:spacing w:after="0" w:line="147" w:lineRule="exact"/>
              <w:rPr>
                <w:sz w:val="20"/>
                <w:szCs w:val="20"/>
                <w:color w:val="auto"/>
              </w:rPr>
            </w:pPr>
            <w:r>
              <w:rPr>
                <w:rFonts w:ascii="Times New Roman" w:cs="Times New Roman" w:eastAsia="Times New Roman" w:hAnsi="Times New Roman"/>
                <w:sz w:val="14"/>
                <w:szCs w:val="14"/>
                <w:color w:val="auto"/>
              </w:rPr>
              <w:t>September 30,</w:t>
            </w:r>
          </w:p>
        </w:tc>
        <w:tc>
          <w:tcPr>
            <w:tcW w:w="120" w:type="dxa"/>
            <w:vAlign w:val="bottom"/>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Net Sales:</w:t>
            </w:r>
          </w:p>
        </w:tc>
        <w:tc>
          <w:tcPr>
            <w:tcW w:w="32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 Consumer reportable segment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3,017.6</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8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Consolidated</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3,288.9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3,255.8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Segment Profit (Loss) (Non-GAAP):</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U.S. Consumer reportable segment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601.4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571.3</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Corporate</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IT transformation costs</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Intangible asset amortization</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restructuring and other</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Equity in income (loss) of unconsolidated affiliates</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non-operating expense, net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3880" w:type="dxa"/>
            <w:vAlign w:val="bottom"/>
            <w:gridSpan w:val="3"/>
            <w:shd w:val="clear" w:color="auto" w:fill="CCEEFF"/>
          </w:tcPr>
          <w:p>
            <w:pPr>
              <w:ind w:left="460"/>
              <w:spacing w:after="0" w:line="133" w:lineRule="exact"/>
              <w:rPr>
                <w:sz w:val="20"/>
                <w:szCs w:val="20"/>
                <w:color w:val="auto"/>
              </w:rPr>
            </w:pPr>
            <w:r>
              <w:rPr>
                <w:rFonts w:ascii="Times New Roman" w:cs="Times New Roman" w:eastAsia="Times New Roman" w:hAnsi="Times New Roman"/>
                <w:sz w:val="14"/>
                <w:szCs w:val="14"/>
                <w:color w:val="auto"/>
              </w:rPr>
              <w:t>Income (loss) from continuing operations before income</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278.0</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388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taxes (GAAP)</w:t>
            </w: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Current assets:</w:t>
      </w:r>
    </w:p>
    <w:p>
      <w:pPr>
        <w:spacing w:after="0" w:line="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Accounts receivable, net</w:t>
      </w:r>
    </w:p>
    <w:p>
      <w:pPr>
        <w:spacing w:after="0" w:line="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Inventories</w:t>
      </w:r>
    </w:p>
    <w:p>
      <w:pPr>
        <w:spacing w:after="0" w:line="46" w:lineRule="exact"/>
        <w:rPr>
          <w:sz w:val="20"/>
          <w:szCs w:val="20"/>
          <w:color w:val="auto"/>
        </w:rPr>
      </w:pPr>
    </w:p>
    <w:p>
      <w:pPr>
        <w:ind w:left="800" w:right="360"/>
        <w:spacing w:after="0" w:line="308" w:lineRule="auto"/>
        <w:rPr>
          <w:sz w:val="20"/>
          <w:szCs w:val="20"/>
          <w:color w:val="auto"/>
        </w:rPr>
      </w:pPr>
      <w:r>
        <w:rPr>
          <w:rFonts w:ascii="Times New Roman" w:cs="Times New Roman" w:eastAsia="Times New Roman" w:hAnsi="Times New Roman"/>
          <w:sz w:val="16"/>
          <w:szCs w:val="16"/>
          <w:color w:val="auto"/>
        </w:rPr>
        <w:t>Current assets held for sale Prepaid and other current assets</w:t>
      </w:r>
    </w:p>
    <w:p>
      <w:pPr>
        <w:ind w:left="1200"/>
        <w:spacing w:after="0"/>
        <w:rPr>
          <w:sz w:val="20"/>
          <w:szCs w:val="20"/>
          <w:color w:val="auto"/>
        </w:rPr>
      </w:pPr>
      <w:r>
        <w:rPr>
          <w:rFonts w:ascii="Times New Roman" w:cs="Times New Roman" w:eastAsia="Times New Roman" w:hAnsi="Times New Roman"/>
          <w:sz w:val="16"/>
          <w:szCs w:val="16"/>
          <w:color w:val="auto"/>
        </w:rPr>
        <w:t>Total current assets</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Investment in unconsolidated affiliates</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Property, plant and equipment, net</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Goodwill</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Intangible assets, net</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Noncurrent assets held for sale</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Other assets</w:t>
      </w:r>
    </w:p>
    <w:p>
      <w:pPr>
        <w:spacing w:after="0" w:line="8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Total assets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 (DEFICIT)</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Current liabilities:</w:t>
      </w:r>
    </w:p>
    <w:p>
      <w:pPr>
        <w:spacing w:after="0" w:line="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Current portion of debt</w:t>
      </w:r>
    </w:p>
    <w:p>
      <w:pPr>
        <w:spacing w:after="0" w:line="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46" w:lineRule="exact"/>
        <w:rPr>
          <w:sz w:val="20"/>
          <w:szCs w:val="20"/>
          <w:color w:val="auto"/>
        </w:rPr>
      </w:pPr>
    </w:p>
    <w:p>
      <w:pPr>
        <w:ind w:left="800" w:right="440"/>
        <w:spacing w:after="0" w:line="308" w:lineRule="auto"/>
        <w:rPr>
          <w:sz w:val="20"/>
          <w:szCs w:val="20"/>
          <w:color w:val="auto"/>
        </w:rPr>
      </w:pPr>
      <w:r>
        <w:rPr>
          <w:rFonts w:ascii="Times New Roman" w:cs="Times New Roman" w:eastAsia="Times New Roman" w:hAnsi="Times New Roman"/>
          <w:sz w:val="16"/>
          <w:szCs w:val="16"/>
          <w:color w:val="auto"/>
        </w:rPr>
        <w:t>Current liabilities held for sale Other current liabilities</w:t>
      </w:r>
    </w:p>
    <w:p>
      <w:pPr>
        <w:ind w:left="480" w:right="540" w:firstLine="729"/>
        <w:spacing w:after="0" w:line="299" w:lineRule="auto"/>
        <w:rPr>
          <w:sz w:val="20"/>
          <w:szCs w:val="20"/>
          <w:color w:val="auto"/>
        </w:rPr>
      </w:pPr>
      <w:r>
        <w:rPr>
          <w:rFonts w:ascii="Times New Roman" w:cs="Times New Roman" w:eastAsia="Times New Roman" w:hAnsi="Times New Roman"/>
          <w:sz w:val="16"/>
          <w:szCs w:val="16"/>
          <w:color w:val="auto"/>
        </w:rPr>
        <w:t>Total current liabilities Long-term debt</w:t>
      </w:r>
    </w:p>
    <w:p>
      <w:pPr>
        <w:spacing w:after="0" w:line="1" w:lineRule="exact"/>
        <w:rPr>
          <w:sz w:val="20"/>
          <w:szCs w:val="20"/>
          <w:color w:val="auto"/>
        </w:rPr>
      </w:pPr>
    </w:p>
    <w:p>
      <w:pPr>
        <w:ind w:left="480" w:right="520"/>
        <w:spacing w:after="0" w:line="308" w:lineRule="auto"/>
        <w:rPr>
          <w:sz w:val="20"/>
          <w:szCs w:val="20"/>
          <w:color w:val="auto"/>
        </w:rPr>
      </w:pPr>
      <w:r>
        <w:rPr>
          <w:rFonts w:ascii="Times New Roman" w:cs="Times New Roman" w:eastAsia="Times New Roman" w:hAnsi="Times New Roman"/>
          <w:sz w:val="16"/>
          <w:szCs w:val="16"/>
          <w:color w:val="auto"/>
        </w:rPr>
        <w:t>Noncurrent liabilities held for sale Other liabilities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center"/>
        <w:ind w:right="39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(4)</w:t>
      </w:r>
    </w:p>
    <w:p>
      <w:pPr>
        <w:spacing w:after="0" w:line="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452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September 30,</w:t>
            </w:r>
          </w:p>
        </w:tc>
        <w:tc>
          <w:tcPr>
            <w:tcW w:w="16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September 30,</w:t>
            </w:r>
          </w:p>
        </w:tc>
      </w:tr>
      <w:tr>
        <w:trPr>
          <w:trHeight w:val="213"/>
        </w:trPr>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r>
      <w:tr>
        <w:trPr>
          <w:trHeight w:val="665"/>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r>
      <w:tr>
        <w:trPr>
          <w:trHeight w:val="229"/>
        </w:trPr>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w:t>
            </w:r>
          </w:p>
        </w:tc>
      </w:tr>
      <w:tr>
        <w:trPr>
          <w:trHeight w:val="229"/>
        </w:trPr>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542.7</w:t>
            </w:r>
          </w:p>
        </w:tc>
      </w:tr>
      <w:tr>
        <w:trPr>
          <w:trHeight w:val="230"/>
        </w:trPr>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w:t>
            </w:r>
          </w:p>
        </w:tc>
      </w:tr>
      <w:tr>
        <w:trPr>
          <w:trHeight w:val="232"/>
        </w:trPr>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w:t>
            </w:r>
          </w:p>
        </w:tc>
      </w:tr>
      <w:tr>
        <w:trPr>
          <w:trHeight w:val="220"/>
        </w:trPr>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940.3</w:t>
            </w:r>
          </w:p>
        </w:tc>
      </w:tr>
      <w:tr>
        <w:trPr>
          <w:trHeight w:val="229"/>
        </w:trPr>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r>
      <w:tr>
        <w:trPr>
          <w:trHeight w:val="229"/>
        </w:trPr>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607.6</w:t>
            </w:r>
          </w:p>
        </w:tc>
      </w:tr>
      <w:tr>
        <w:trPr>
          <w:trHeight w:val="230"/>
        </w:trPr>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w:t>
            </w:r>
          </w:p>
        </w:tc>
      </w:tr>
      <w:tr>
        <w:trPr>
          <w:trHeight w:val="229"/>
        </w:trPr>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352.0</w:t>
            </w:r>
          </w:p>
        </w:tc>
      </w:tr>
      <w:tr>
        <w:trPr>
          <w:trHeight w:val="230"/>
        </w:trPr>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r>
      <w:tr>
        <w:trPr>
          <w:trHeight w:val="232"/>
        </w:trPr>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452.7</w:t>
            </w:r>
          </w:p>
        </w:tc>
      </w:tr>
      <w:tr>
        <w:trPr>
          <w:trHeight w:val="22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2,742.0</w:t>
            </w:r>
          </w:p>
        </w:tc>
      </w:tr>
      <w:tr>
        <w:trPr>
          <w:trHeight w:val="23"/>
        </w:trPr>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649"/>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29"/>
        </w:trPr>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w:t>
            </w:r>
          </w:p>
        </w:tc>
      </w:tr>
      <w:tr>
        <w:trPr>
          <w:trHeight w:val="230"/>
        </w:trPr>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32"/>
        </w:trPr>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436.8</w:t>
            </w:r>
          </w:p>
        </w:tc>
      </w:tr>
      <w:tr>
        <w:trPr>
          <w:trHeight w:val="220"/>
        </w:trPr>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739.7</w:t>
            </w:r>
          </w:p>
        </w:tc>
      </w:tr>
      <w:tr>
        <w:trPr>
          <w:trHeight w:val="230"/>
        </w:trPr>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2,049.2</w:t>
            </w:r>
          </w:p>
        </w:tc>
      </w:tr>
      <w:tr>
        <w:trPr>
          <w:trHeight w:val="230"/>
        </w:trPr>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30"/>
        </w:trPr>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-3681730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-3390265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-3098800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-2807335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-2507615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-2215515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-1924050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-1632585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-1315720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-1024255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-732790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-433070</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-140970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3220" w:space="720"/>
            <w:col w:w="7300"/>
          </w:cols>
          <w:pgMar w:left="320" w:top="111"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84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Total liabilities</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3,099.5</w:t>
            </w:r>
          </w:p>
        </w:tc>
      </w:tr>
      <w:tr>
        <w:trPr>
          <w:trHeight w:val="230"/>
        </w:trPr>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Equity (deficit)</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w:t>
            </w:r>
          </w:p>
        </w:tc>
      </w:tr>
      <w:tr>
        <w:trPr>
          <w:trHeight w:val="226"/>
        </w:trPr>
        <w:tc>
          <w:tcPr>
            <w:tcW w:w="84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Total liabilities and equity (deficit)</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2,742.2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2,742.0</w:t>
            </w:r>
          </w:p>
        </w:tc>
      </w:tr>
      <w:tr>
        <w:trPr>
          <w:trHeight w:val="21"/>
        </w:trPr>
        <w:tc>
          <w:tcPr>
            <w:tcW w:w="8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1"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(4)</w:t>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4"/>
          </w:tcPr>
          <w:p>
            <w:pPr>
              <w:jc w:val="right"/>
              <w:ind w:right="428"/>
              <w:spacing w:after="0"/>
              <w:rPr>
                <w:sz w:val="20"/>
                <w:szCs w:val="20"/>
                <w:color w:val="auto"/>
              </w:rPr>
            </w:pPr>
            <w:r>
              <w:rPr>
                <w:rFonts w:ascii="Times New Roman" w:cs="Times New Roman" w:eastAsia="Times New Roman" w:hAnsi="Times New Roman"/>
                <w:sz w:val="14"/>
                <w:szCs w:val="14"/>
                <w:color w:val="auto"/>
              </w:rPr>
              <w:t>Year Ended September 30,</w:t>
            </w:r>
          </w:p>
        </w:tc>
      </w:tr>
      <w:tr>
        <w:trPr>
          <w:trHeight w:val="23"/>
        </w:trPr>
        <w:tc>
          <w:tcPr>
            <w:tcW w:w="8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8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2025</w:t>
            </w:r>
          </w:p>
        </w:tc>
      </w:tr>
      <w:tr>
        <w:trPr>
          <w:trHeight w:val="23"/>
        </w:trPr>
        <w:tc>
          <w:tcPr>
            <w:tcW w:w="8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6"/>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193"/>
        </w:trPr>
        <w:tc>
          <w:tcPr>
            <w:tcW w:w="8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r>
      <w:tr>
        <w:trPr>
          <w:trHeight w:val="23"/>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8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193"/>
        </w:trPr>
        <w:tc>
          <w:tcPr>
            <w:tcW w:w="86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Impairment, restructuring and other</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23"/>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8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r>
      <w:tr>
        <w:trPr>
          <w:trHeight w:val="193"/>
        </w:trPr>
        <w:tc>
          <w:tcPr>
            <w:tcW w:w="86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Depreciation</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r>
      <w:tr>
        <w:trPr>
          <w:trHeight w:val="23"/>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8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Amortization</w:t>
            </w: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93"/>
        </w:trPr>
        <w:tc>
          <w:tcPr>
            <w:tcW w:w="86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Deferred taxes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w:t>
            </w:r>
          </w:p>
        </w:tc>
      </w:tr>
      <w:tr>
        <w:trPr>
          <w:trHeight w:val="23"/>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8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Loss on sale of business</w:t>
            </w: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r>
      <w:tr>
        <w:trPr>
          <w:trHeight w:val="193"/>
        </w:trPr>
        <w:tc>
          <w:tcPr>
            <w:tcW w:w="86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Unrealized loss on investments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8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Equity in (income) loss of unconsolidated affiliates</w:t>
            </w: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3"/>
        </w:trPr>
        <w:tc>
          <w:tcPr>
            <w:tcW w:w="86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Changes in assets and liabilities, net of acquisitions and dispositions: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868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193"/>
        </w:trPr>
        <w:tc>
          <w:tcPr>
            <w:tcW w:w="868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Inventories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23"/>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868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3"/>
        </w:trPr>
        <w:tc>
          <w:tcPr>
            <w:tcW w:w="868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23"/>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868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93"/>
        </w:trPr>
        <w:tc>
          <w:tcPr>
            <w:tcW w:w="868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Other non-current items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23"/>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868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Other, net</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86"/>
        </w:trPr>
        <w:tc>
          <w:tcPr>
            <w:tcW w:w="868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371.3</w:t>
            </w:r>
          </w:p>
        </w:tc>
      </w:tr>
      <w:tr>
        <w:trPr>
          <w:trHeight w:val="23"/>
        </w:trPr>
        <w:tc>
          <w:tcPr>
            <w:tcW w:w="8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6"/>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193"/>
        </w:trPr>
        <w:tc>
          <w:tcPr>
            <w:tcW w:w="8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sale of long-lived assets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8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Investments in property, plant and equipment</w:t>
            </w: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r>
      <w:tr>
        <w:trPr>
          <w:trHeight w:val="193"/>
        </w:trPr>
        <w:tc>
          <w:tcPr>
            <w:tcW w:w="8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cash disposed of on sale of business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3"/>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8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investing, net</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86"/>
        </w:trPr>
        <w:tc>
          <w:tcPr>
            <w:tcW w:w="868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(112.1)</w:t>
            </w:r>
          </w:p>
        </w:tc>
      </w:tr>
      <w:tr>
        <w:trPr>
          <w:trHeight w:val="23"/>
        </w:trPr>
        <w:tc>
          <w:tcPr>
            <w:tcW w:w="8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6"/>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193"/>
        </w:trPr>
        <w:tc>
          <w:tcPr>
            <w:tcW w:w="8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Borrowings under revolving and bank lines of credit and term loans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702.7</w:t>
            </w:r>
          </w:p>
        </w:tc>
      </w:tr>
      <w:tr>
        <w:trPr>
          <w:trHeight w:val="23"/>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8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Repayments under revolving and bank lines of credit and term loans</w:t>
            </w: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(824.8)</w:t>
            </w:r>
          </w:p>
        </w:tc>
      </w:tr>
      <w:tr>
        <w:trPr>
          <w:trHeight w:val="193"/>
        </w:trPr>
        <w:tc>
          <w:tcPr>
            <w:tcW w:w="8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Repayment of 5.250% Senior Notes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8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Financing and issuance fees</w:t>
            </w: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Dividends paid</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w:t>
            </w:r>
          </w:p>
        </w:tc>
      </w:tr>
      <w:tr>
        <w:trPr>
          <w:trHeight w:val="23"/>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8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 of Common Shares</w:t>
            </w: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193"/>
        </w:trPr>
        <w:tc>
          <w:tcPr>
            <w:tcW w:w="8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received from exercise of stock options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23"/>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8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financing, net</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86"/>
        </w:trPr>
        <w:tc>
          <w:tcPr>
            <w:tcW w:w="868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(276.4)</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(294.0)</w:t>
            </w:r>
          </w:p>
        </w:tc>
      </w:tr>
      <w:tr>
        <w:trPr>
          <w:trHeight w:val="23"/>
        </w:trPr>
        <w:tc>
          <w:tcPr>
            <w:tcW w:w="8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0"/>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86"/>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 including cash and cash equivalents classified within current assets held for sale</w:t>
            </w: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w:t>
            </w:r>
          </w:p>
        </w:tc>
      </w:tr>
      <w:tr>
        <w:trPr>
          <w:trHeight w:val="23"/>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decrease in cash and cash equivalents classified within current assets held for sale</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6"/>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w:t>
            </w:r>
          </w:p>
        </w:tc>
      </w:tr>
      <w:tr>
        <w:trPr>
          <w:trHeight w:val="23"/>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r>
      <w:tr>
        <w:trPr>
          <w:trHeight w:val="186"/>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23"/>
        </w:trPr>
        <w:tc>
          <w:tcPr>
            <w:tcW w:w="8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Disclosure Items (3) (4)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400" w:lineRule="exact"/>
        <w:rPr>
          <w:sz w:val="20"/>
          <w:szCs w:val="20"/>
          <w:color w:val="auto"/>
        </w:rPr>
      </w:pPr>
    </w:p>
    <w:p>
      <w:pPr>
        <w:jc w:val="right"/>
        <w:ind w:right="420"/>
        <w:spacing w:after="0"/>
        <w:tabs>
          <w:tab w:leader="none" w:pos="2680" w:val="left"/>
        </w:tabs>
        <w:rPr>
          <w:sz w:val="20"/>
          <w:szCs w:val="20"/>
          <w:color w:val="auto"/>
        </w:rPr>
      </w:pPr>
      <w:r>
        <w:rPr>
          <w:rFonts w:ascii="Times New Roman" w:cs="Times New Roman" w:eastAsia="Times New Roman" w:hAnsi="Times New Roman"/>
          <w:sz w:val="16"/>
          <w:szCs w:val="16"/>
          <w:color w:val="auto"/>
        </w:rPr>
        <w:t>Three Months Ended September 30, 2026</w:t>
      </w:r>
      <w:r>
        <w:rPr>
          <w:sz w:val="20"/>
          <w:szCs w:val="20"/>
          <w:color w:val="auto"/>
        </w:rPr>
        <w:tab/>
      </w:r>
      <w:r>
        <w:rPr>
          <w:rFonts w:ascii="Times New Roman" w:cs="Times New Roman" w:eastAsia="Times New Roman" w:hAnsi="Times New Roman"/>
          <w:sz w:val="16"/>
          <w:szCs w:val="16"/>
          <w:color w:val="auto"/>
        </w:rPr>
        <w:t>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20320</wp:posOffset>
            </wp:positionV>
            <wp:extent cx="45091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p>
      <w:pPr>
        <w:spacing w:after="0" w:line="38" w:lineRule="exact"/>
        <w:rPr>
          <w:sz w:val="20"/>
          <w:szCs w:val="20"/>
          <w:color w:val="auto"/>
        </w:rPr>
      </w:pPr>
    </w:p>
    <w:tbl>
      <w:tblPr>
        <w:tblLayout w:type="fixed"/>
        <w:tblInd w:w="4460" w:type="dxa"/>
        <w:tblCellMar>
          <w:top w:w="0" w:type="dxa"/>
          <w:left w:w="0" w:type="dxa"/>
          <w:bottom w:w="0" w:type="dxa"/>
          <w:right w:w="0" w:type="dxa"/>
        </w:tblCellMar>
      </w:tblPr>
      <w:tr>
        <w:trPr>
          <w:trHeight w:val="161"/>
        </w:trPr>
        <w:tc>
          <w:tcPr>
            <w:tcW w:w="78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As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w:t>
            </w:r>
          </w:p>
        </w:tc>
        <w:tc>
          <w:tcPr>
            <w:tcW w:w="78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Adjusted</w:t>
            </w:r>
          </w:p>
        </w:tc>
      </w:tr>
      <w:tr>
        <w:trPr>
          <w:trHeight w:val="144"/>
        </w:trPr>
        <w:tc>
          <w:tcPr>
            <w:tcW w:w="780" w:type="dxa"/>
            <w:vAlign w:val="bottom"/>
          </w:tcPr>
          <w:p>
            <w:pPr>
              <w:jc w:val="center"/>
              <w:ind w:right="188"/>
              <w:spacing w:after="0" w:line="145" w:lineRule="exact"/>
              <w:rPr>
                <w:sz w:val="20"/>
                <w:szCs w:val="20"/>
                <w:color w:val="auto"/>
              </w:rPr>
            </w:pPr>
            <w:r>
              <w:rPr>
                <w:rFonts w:ascii="Times New Roman" w:cs="Times New Roman" w:eastAsia="Times New Roman" w:hAnsi="Times New Roman"/>
                <w:sz w:val="14"/>
                <w:szCs w:val="14"/>
                <w:color w:val="auto"/>
              </w:rPr>
              <w:t>Reported</w:t>
            </w:r>
          </w:p>
        </w:tc>
        <w:tc>
          <w:tcPr>
            <w:tcW w:w="12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GAAP</w:t>
            </w:r>
          </w:p>
        </w:tc>
        <w:tc>
          <w:tcPr>
            <w:tcW w:w="780" w:type="dxa"/>
            <w:vAlign w:val="bottom"/>
          </w:tcPr>
          <w:p>
            <w:pPr>
              <w:jc w:val="center"/>
              <w:ind w:left="208"/>
              <w:spacing w:after="0" w:line="145" w:lineRule="exact"/>
              <w:rPr>
                <w:sz w:val="20"/>
                <w:szCs w:val="20"/>
                <w:color w:val="auto"/>
              </w:rPr>
            </w:pPr>
            <w:r>
              <w:rPr>
                <w:rFonts w:ascii="Times New Roman" w:cs="Times New Roman" w:eastAsia="Times New Roman" w:hAnsi="Times New Roman"/>
                <w:sz w:val="14"/>
                <w:szCs w:val="14"/>
                <w:color w:val="auto"/>
              </w:rPr>
              <w:t>(Non-</w:t>
            </w:r>
          </w:p>
        </w:tc>
      </w:tr>
      <w:tr>
        <w:trPr>
          <w:trHeight w:val="188"/>
        </w:trPr>
        <w:tc>
          <w:tcPr>
            <w:tcW w:w="78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(GAAP)</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Adjustments</w:t>
            </w:r>
          </w:p>
        </w:tc>
        <w:tc>
          <w:tcPr>
            <w:tcW w:w="78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GAAP)</w:t>
            </w: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As</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w:t>
            </w:r>
          </w:p>
        </w:tc>
        <w:tc>
          <w:tcPr>
            <w:tcW w:w="78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Adjusted</w:t>
            </w:r>
          </w:p>
        </w:tc>
      </w:tr>
      <w:tr>
        <w:trPr>
          <w:trHeight w:val="144"/>
        </w:trPr>
        <w:tc>
          <w:tcPr>
            <w:tcW w:w="780" w:type="dxa"/>
            <w:vAlign w:val="bottom"/>
          </w:tcPr>
          <w:p>
            <w:pPr>
              <w:jc w:val="center"/>
              <w:ind w:right="188"/>
              <w:spacing w:after="0" w:line="145" w:lineRule="exact"/>
              <w:rPr>
                <w:sz w:val="20"/>
                <w:szCs w:val="20"/>
                <w:color w:val="auto"/>
              </w:rPr>
            </w:pPr>
            <w:r>
              <w:rPr>
                <w:rFonts w:ascii="Times New Roman" w:cs="Times New Roman" w:eastAsia="Times New Roman" w:hAnsi="Times New Roman"/>
                <w:sz w:val="14"/>
                <w:szCs w:val="14"/>
                <w:color w:val="auto"/>
              </w:rPr>
              <w:t>Reported</w:t>
            </w:r>
          </w:p>
        </w:tc>
        <w:tc>
          <w:tcPr>
            <w:tcW w:w="12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GAAP</w:t>
            </w:r>
          </w:p>
        </w:tc>
        <w:tc>
          <w:tcPr>
            <w:tcW w:w="780" w:type="dxa"/>
            <w:vAlign w:val="bottom"/>
          </w:tcPr>
          <w:p>
            <w:pPr>
              <w:jc w:val="center"/>
              <w:ind w:left="188"/>
              <w:spacing w:after="0" w:line="145" w:lineRule="exact"/>
              <w:rPr>
                <w:sz w:val="20"/>
                <w:szCs w:val="20"/>
                <w:color w:val="auto"/>
              </w:rPr>
            </w:pPr>
            <w:r>
              <w:rPr>
                <w:rFonts w:ascii="Times New Roman" w:cs="Times New Roman" w:eastAsia="Times New Roman" w:hAnsi="Times New Roman"/>
                <w:sz w:val="14"/>
                <w:szCs w:val="14"/>
                <w:color w:val="auto"/>
              </w:rPr>
              <w:t>(Non-</w:t>
            </w:r>
          </w:p>
        </w:tc>
      </w:tr>
      <w:tr>
        <w:trPr>
          <w:trHeight w:val="188"/>
        </w:trPr>
        <w:tc>
          <w:tcPr>
            <w:tcW w:w="78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(GAAP)</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Adjustments</w:t>
            </w:r>
          </w:p>
        </w:tc>
        <w:tc>
          <w:tcPr>
            <w:tcW w:w="78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GAAP)</w:t>
            </w:r>
          </w:p>
        </w:tc>
      </w:tr>
    </w:tbl>
    <w:p>
      <w:pPr>
        <w:spacing w:after="0" w:line="1" w:lineRule="exact"/>
        <w:rPr>
          <w:sz w:val="20"/>
          <w:szCs w:val="20"/>
          <w:color w:val="auto"/>
        </w:rPr>
      </w:pPr>
    </w:p>
    <w:p>
      <w:pPr>
        <w:sectPr>
          <w:pgSz w:w="11900" w:h="16838" w:orient="portrait"/>
          <w:cols w:equalWidth="0" w:num="2">
            <w:col w:w="7340" w:space="720"/>
            <w:col w:w="3180"/>
          </w:cols>
          <w:pgMar w:left="320" w:top="111"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4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Gross margin as a % of sales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144.0</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(13.5)</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130.4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3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(143.0)</w:t>
            </w:r>
          </w:p>
        </w:tc>
        <w:tc>
          <w:tcPr>
            <w:tcW w:w="380" w:type="dxa"/>
            <w:vAlign w:val="bottom"/>
          </w:tcPr>
          <w:p>
            <w:pPr>
              <w:spacing w:after="0"/>
              <w:rPr>
                <w:sz w:val="19"/>
                <w:szCs w:val="19"/>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(11.7)</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3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 as a % of sales</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Equity in loss of unconsolidated affiliates</w:t>
            </w:r>
          </w:p>
        </w:tc>
        <w:tc>
          <w:tcPr>
            <w:tcW w:w="3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(8.6)</w:t>
            </w:r>
          </w:p>
        </w:tc>
        <w:tc>
          <w:tcPr>
            <w:tcW w:w="380" w:type="dxa"/>
            <w:vAlign w:val="bottom"/>
          </w:tcPr>
          <w:p>
            <w:pPr>
              <w:spacing w:after="0"/>
              <w:rPr>
                <w:sz w:val="19"/>
                <w:szCs w:val="19"/>
                <w:color w:val="auto"/>
              </w:rPr>
            </w:pPr>
          </w:p>
        </w:tc>
        <w:tc>
          <w:tcPr>
            <w:tcW w:w="10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continuing operations before income taxes</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(178.9)</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(10.7)</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(168.2)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from continuing operations</w:t>
            </w:r>
          </w:p>
        </w:tc>
        <w:tc>
          <w:tcPr>
            <w:tcW w:w="3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(54.7)</w:t>
            </w:r>
          </w:p>
        </w:tc>
        <w:tc>
          <w:tcPr>
            <w:tcW w:w="380" w:type="dxa"/>
            <w:vAlign w:val="bottom"/>
          </w:tcPr>
          <w:p>
            <w:pPr>
              <w:spacing w:after="0"/>
              <w:rPr>
                <w:sz w:val="19"/>
                <w:szCs w:val="19"/>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(11.9)</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from continuing operations</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(124.2)</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1.1</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(125.4)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(127.3)</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(113.9)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08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Diluted net loss per common share from continuing</w:t>
            </w:r>
          </w:p>
        </w:tc>
        <w:tc>
          <w:tcPr>
            <w:tcW w:w="340" w:type="dxa"/>
            <w:vAlign w:val="bottom"/>
          </w:tcPr>
          <w:p>
            <w:pPr>
              <w:spacing w:after="0"/>
              <w:rPr>
                <w:sz w:val="15"/>
                <w:szCs w:val="15"/>
                <w:color w:val="auto"/>
              </w:rPr>
            </w:pPr>
          </w:p>
        </w:tc>
        <w:tc>
          <w:tcPr>
            <w:tcW w:w="8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(2.14)</w:t>
            </w:r>
          </w:p>
        </w:tc>
        <w:tc>
          <w:tcPr>
            <w:tcW w:w="380" w:type="dxa"/>
            <w:vAlign w:val="bottom"/>
          </w:tcPr>
          <w:p>
            <w:pPr>
              <w:spacing w:after="0"/>
              <w:rPr>
                <w:sz w:val="15"/>
                <w:szCs w:val="15"/>
                <w:color w:val="auto"/>
              </w:rPr>
            </w:pPr>
          </w:p>
        </w:tc>
        <w:tc>
          <w:tcPr>
            <w:tcW w:w="104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0.02</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(2.16)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(2.21)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(0.24)</w:t>
            </w:r>
          </w:p>
        </w:tc>
        <w:tc>
          <w:tcPr>
            <w:tcW w:w="340" w:type="dxa"/>
            <w:vAlign w:val="bottom"/>
          </w:tcPr>
          <w:p>
            <w:pPr>
              <w:spacing w:after="0"/>
              <w:rPr>
                <w:sz w:val="15"/>
                <w:szCs w:val="15"/>
                <w:color w:val="auto"/>
              </w:rPr>
            </w:pPr>
          </w:p>
        </w:tc>
        <w:tc>
          <w:tcPr>
            <w:tcW w:w="8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3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4"/>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Calculation of Adjusted EBITDA (3):</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Three Months Ended</w:t>
            </w:r>
          </w:p>
        </w:tc>
        <w:tc>
          <w:tcPr>
            <w:tcW w:w="180" w:type="dxa"/>
            <w:vAlign w:val="bottom"/>
          </w:tcPr>
          <w:p>
            <w:pPr>
              <w:spacing w:after="0"/>
              <w:rPr>
                <w:sz w:val="24"/>
                <w:szCs w:val="24"/>
                <w:color w:val="auto"/>
              </w:rPr>
            </w:pPr>
          </w:p>
        </w:tc>
        <w:tc>
          <w:tcPr>
            <w:tcW w:w="170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gridSpan w:val="2"/>
            <w:vMerge w:val="continue"/>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September 30, 2026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6"/>
                <w:szCs w:val="16"/>
                <w:color w:val="auto"/>
              </w:rPr>
              <w:t>September 30, 2025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shd w:val="clear" w:color="auto" w:fill="CCEEFF"/>
          </w:tcPr>
          <w:p>
            <w:pPr>
              <w:spacing w:after="0"/>
              <w:rPr>
                <w:sz w:val="19"/>
                <w:szCs w:val="19"/>
                <w:color w:val="auto"/>
              </w:rPr>
            </w:pPr>
          </w:p>
        </w:tc>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loss (GAAP)</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 benefit from continuing operations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shd w:val="clear" w:color="auto" w:fill="CCEEFF"/>
          </w:tcPr>
          <w:p>
            <w:pPr>
              <w:spacing w:after="0"/>
              <w:rPr>
                <w:sz w:val="20"/>
                <w:szCs w:val="20"/>
                <w:color w:val="auto"/>
              </w:rPr>
            </w:pPr>
          </w:p>
        </w:tc>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 w:type="dxa"/>
            <w:vAlign w:val="bottom"/>
            <w:shd w:val="clear" w:color="auto" w:fill="CCEEFF"/>
          </w:tcPr>
          <w:p>
            <w:pPr>
              <w:spacing w:after="0"/>
              <w:rPr>
                <w:sz w:val="20"/>
                <w:szCs w:val="20"/>
                <w:color w:val="auto"/>
              </w:rPr>
            </w:pPr>
          </w:p>
        </w:tc>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Amortization</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shd w:val="clear" w:color="auto" w:fill="CCEEFF"/>
          </w:tcPr>
          <w:p>
            <w:pPr>
              <w:spacing w:after="0"/>
              <w:rPr>
                <w:sz w:val="20"/>
                <w:szCs w:val="20"/>
                <w:color w:val="auto"/>
              </w:rPr>
            </w:pPr>
          </w:p>
        </w:tc>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Impairment, restructuring and other</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IT transformation costs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shd w:val="clear" w:color="auto" w:fill="CCEEFF"/>
          </w:tcPr>
          <w:p>
            <w:pPr>
              <w:spacing w:after="0"/>
              <w:rPr>
                <w:sz w:val="20"/>
                <w:szCs w:val="20"/>
                <w:color w:val="auto"/>
              </w:rPr>
            </w:pPr>
          </w:p>
        </w:tc>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Equity in loss of unconsolidated affiliates</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Unrealized gains on non-core equity and other investments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 w:type="dxa"/>
            <w:vAlign w:val="bottom"/>
            <w:shd w:val="clear" w:color="auto" w:fill="CCEEFF"/>
          </w:tcPr>
          <w:p>
            <w:pPr>
              <w:spacing w:after="0"/>
              <w:rPr>
                <w:sz w:val="20"/>
                <w:szCs w:val="20"/>
                <w:color w:val="auto"/>
              </w:rPr>
            </w:pPr>
          </w:p>
        </w:tc>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(86.1)</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Note: See accompanying footnotes for details related to the use of non-GAAP measures and the adjustments to arrive at the non-GAAP measures.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1"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Disclosure Items (3) (4)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400" w:lineRule="exact"/>
        <w:rPr>
          <w:sz w:val="20"/>
          <w:szCs w:val="20"/>
          <w:color w:val="auto"/>
        </w:rPr>
      </w:pPr>
    </w:p>
    <w:p>
      <w:pPr>
        <w:jc w:val="right"/>
        <w:ind w:right="380"/>
        <w:spacing w:after="0"/>
        <w:tabs>
          <w:tab w:leader="none" w:pos="2800" w:val="left"/>
        </w:tabs>
        <w:rPr>
          <w:sz w:val="20"/>
          <w:szCs w:val="20"/>
          <w:color w:val="auto"/>
        </w:rPr>
      </w:pPr>
      <w:r>
        <w:rPr>
          <w:rFonts w:ascii="Times New Roman" w:cs="Times New Roman" w:eastAsia="Times New Roman" w:hAnsi="Times New Roman"/>
          <w:sz w:val="16"/>
          <w:szCs w:val="16"/>
          <w:color w:val="auto"/>
        </w:rPr>
        <w:t>Twelve Months Ended September 30, 2026</w:t>
      </w:r>
      <w:r>
        <w:rPr>
          <w:sz w:val="20"/>
          <w:szCs w:val="20"/>
          <w:color w:val="auto"/>
        </w:rPr>
        <w:tab/>
      </w:r>
      <w:r>
        <w:rPr>
          <w:rFonts w:ascii="Times New Roman" w:cs="Times New Roman" w:eastAsia="Times New Roman" w:hAnsi="Times New Roman"/>
          <w:sz w:val="16"/>
          <w:szCs w:val="16"/>
          <w:color w:val="auto"/>
        </w:rPr>
        <w:t>Twelve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20320</wp:posOffset>
            </wp:positionV>
            <wp:extent cx="4534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p>
      <w:pPr>
        <w:spacing w:after="0" w:line="38" w:lineRule="exact"/>
        <w:rPr>
          <w:sz w:val="20"/>
          <w:szCs w:val="20"/>
          <w:color w:val="auto"/>
        </w:rPr>
      </w:pPr>
    </w:p>
    <w:tbl>
      <w:tblPr>
        <w:tblLayout w:type="fixed"/>
        <w:tblInd w:w="4400" w:type="dxa"/>
        <w:tblCellMar>
          <w:top w:w="0" w:type="dxa"/>
          <w:left w:w="0" w:type="dxa"/>
          <w:bottom w:w="0" w:type="dxa"/>
          <w:right w:w="0" w:type="dxa"/>
        </w:tblCellMar>
      </w:tblPr>
      <w:tr>
        <w:trPr>
          <w:trHeight w:val="161"/>
        </w:trPr>
        <w:tc>
          <w:tcPr>
            <w:tcW w:w="80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As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Non-</w:t>
            </w:r>
          </w:p>
        </w:tc>
        <w:tc>
          <w:tcPr>
            <w:tcW w:w="78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Adjusted</w:t>
            </w:r>
          </w:p>
        </w:tc>
      </w:tr>
      <w:tr>
        <w:trPr>
          <w:trHeight w:val="144"/>
        </w:trPr>
        <w:tc>
          <w:tcPr>
            <w:tcW w:w="800" w:type="dxa"/>
            <w:vAlign w:val="bottom"/>
          </w:tcPr>
          <w:p>
            <w:pPr>
              <w:jc w:val="center"/>
              <w:ind w:right="188"/>
              <w:spacing w:after="0" w:line="145" w:lineRule="exact"/>
              <w:rPr>
                <w:sz w:val="20"/>
                <w:szCs w:val="20"/>
                <w:color w:val="auto"/>
              </w:rPr>
            </w:pPr>
            <w:r>
              <w:rPr>
                <w:rFonts w:ascii="Times New Roman" w:cs="Times New Roman" w:eastAsia="Times New Roman" w:hAnsi="Times New Roman"/>
                <w:sz w:val="14"/>
                <w:szCs w:val="14"/>
                <w:color w:val="auto"/>
              </w:rPr>
              <w:t>Reported</w:t>
            </w:r>
          </w:p>
        </w:tc>
        <w:tc>
          <w:tcPr>
            <w:tcW w:w="12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GAAP</w:t>
            </w:r>
          </w:p>
        </w:tc>
        <w:tc>
          <w:tcPr>
            <w:tcW w:w="780" w:type="dxa"/>
            <w:vAlign w:val="bottom"/>
          </w:tcPr>
          <w:p>
            <w:pPr>
              <w:jc w:val="center"/>
              <w:ind w:left="208"/>
              <w:spacing w:after="0" w:line="145" w:lineRule="exact"/>
              <w:rPr>
                <w:sz w:val="20"/>
                <w:szCs w:val="20"/>
                <w:color w:val="auto"/>
              </w:rPr>
            </w:pPr>
            <w:r>
              <w:rPr>
                <w:rFonts w:ascii="Times New Roman" w:cs="Times New Roman" w:eastAsia="Times New Roman" w:hAnsi="Times New Roman"/>
                <w:sz w:val="14"/>
                <w:szCs w:val="14"/>
                <w:color w:val="auto"/>
              </w:rPr>
              <w:t>(Non-</w:t>
            </w:r>
          </w:p>
        </w:tc>
      </w:tr>
      <w:tr>
        <w:trPr>
          <w:trHeight w:val="188"/>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(GAAP)</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Adjustments</w:t>
            </w:r>
          </w:p>
        </w:tc>
        <w:tc>
          <w:tcPr>
            <w:tcW w:w="78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GAAP)</w:t>
            </w: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As</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w:t>
            </w:r>
          </w:p>
        </w:tc>
        <w:tc>
          <w:tcPr>
            <w:tcW w:w="78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Adjusted</w:t>
            </w:r>
          </w:p>
        </w:tc>
      </w:tr>
      <w:tr>
        <w:trPr>
          <w:trHeight w:val="144"/>
        </w:trPr>
        <w:tc>
          <w:tcPr>
            <w:tcW w:w="780" w:type="dxa"/>
            <w:vAlign w:val="bottom"/>
          </w:tcPr>
          <w:p>
            <w:pPr>
              <w:jc w:val="center"/>
              <w:ind w:right="188"/>
              <w:spacing w:after="0" w:line="145" w:lineRule="exact"/>
              <w:rPr>
                <w:sz w:val="20"/>
                <w:szCs w:val="20"/>
                <w:color w:val="auto"/>
              </w:rPr>
            </w:pPr>
            <w:r>
              <w:rPr>
                <w:rFonts w:ascii="Times New Roman" w:cs="Times New Roman" w:eastAsia="Times New Roman" w:hAnsi="Times New Roman"/>
                <w:sz w:val="14"/>
                <w:szCs w:val="14"/>
                <w:color w:val="auto"/>
              </w:rPr>
              <w:t>Reported</w:t>
            </w:r>
          </w:p>
        </w:tc>
        <w:tc>
          <w:tcPr>
            <w:tcW w:w="12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GAAP</w:t>
            </w:r>
          </w:p>
        </w:tc>
        <w:tc>
          <w:tcPr>
            <w:tcW w:w="780" w:type="dxa"/>
            <w:vAlign w:val="bottom"/>
          </w:tcPr>
          <w:p>
            <w:pPr>
              <w:jc w:val="center"/>
              <w:ind w:left="208"/>
              <w:spacing w:after="0" w:line="145" w:lineRule="exact"/>
              <w:rPr>
                <w:sz w:val="20"/>
                <w:szCs w:val="20"/>
                <w:color w:val="auto"/>
              </w:rPr>
            </w:pPr>
            <w:r>
              <w:rPr>
                <w:rFonts w:ascii="Times New Roman" w:cs="Times New Roman" w:eastAsia="Times New Roman" w:hAnsi="Times New Roman"/>
                <w:sz w:val="14"/>
                <w:szCs w:val="14"/>
                <w:color w:val="auto"/>
              </w:rPr>
              <w:t>(Non-</w:t>
            </w:r>
          </w:p>
        </w:tc>
      </w:tr>
      <w:tr>
        <w:trPr>
          <w:trHeight w:val="188"/>
        </w:trPr>
        <w:tc>
          <w:tcPr>
            <w:tcW w:w="78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(GAAP)</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Adjustments</w:t>
            </w:r>
          </w:p>
        </w:tc>
        <w:tc>
          <w:tcPr>
            <w:tcW w:w="78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GAAP)</w:t>
            </w:r>
          </w:p>
        </w:tc>
      </w:tr>
    </w:tbl>
    <w:p>
      <w:pPr>
        <w:spacing w:after="0" w:line="1" w:lineRule="exact"/>
        <w:rPr>
          <w:sz w:val="20"/>
          <w:szCs w:val="20"/>
          <w:color w:val="auto"/>
        </w:rPr>
      </w:pPr>
    </w:p>
    <w:p>
      <w:pPr>
        <w:sectPr>
          <w:pgSz w:w="11900" w:h="16838" w:orient="portrait"/>
          <w:cols w:equalWidth="0" w:num="2">
            <w:col w:w="7320" w:space="720"/>
            <w:col w:w="3200"/>
          </w:cols>
          <w:pgMar w:left="320" w:top="111"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1,063.0</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1,065.4</w:t>
            </w: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1,019.6</w:t>
            </w:r>
          </w:p>
        </w:tc>
        <w:tc>
          <w:tcPr>
            <w:tcW w:w="46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 as a % of sales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32.4 %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31.3 %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594.7</w:t>
            </w: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3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581.2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563.8</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00" w:type="dxa"/>
            <w:vAlign w:val="bottom"/>
          </w:tcPr>
          <w:p>
            <w:pPr>
              <w:spacing w:after="0"/>
              <w:rPr>
                <w:sz w:val="19"/>
                <w:szCs w:val="19"/>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406.7</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3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471.9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320" w:type="dxa"/>
            <w:vAlign w:val="bottom"/>
          </w:tcPr>
          <w:p>
            <w:pPr>
              <w:spacing w:after="0"/>
              <w:rPr>
                <w:sz w:val="19"/>
                <w:szCs w:val="19"/>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 as a % of sales</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12.3 %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income (loss) of unconsolidated affiliates</w:t>
            </w:r>
          </w:p>
        </w:tc>
        <w:tc>
          <w:tcPr>
            <w:tcW w:w="300" w:type="dxa"/>
            <w:vAlign w:val="bottom"/>
          </w:tcPr>
          <w:p>
            <w:pPr>
              <w:spacing w:after="0"/>
              <w:rPr>
                <w:sz w:val="19"/>
                <w:szCs w:val="19"/>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20" w:type="dxa"/>
            <w:vAlign w:val="bottom"/>
          </w:tcPr>
          <w:p>
            <w:pPr>
              <w:spacing w:after="0"/>
              <w:rPr>
                <w:sz w:val="19"/>
                <w:szCs w:val="19"/>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278.0</w:t>
            </w: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3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357.9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from continuing operations</w:t>
            </w:r>
          </w:p>
        </w:tc>
        <w:tc>
          <w:tcPr>
            <w:tcW w:w="300" w:type="dxa"/>
            <w:vAlign w:val="bottom"/>
          </w:tcPr>
          <w:p>
            <w:pPr>
              <w:spacing w:after="0"/>
              <w:rPr>
                <w:sz w:val="19"/>
                <w:szCs w:val="19"/>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83.1</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3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320" w:type="dxa"/>
            <w:vAlign w:val="bottom"/>
          </w:tcPr>
          <w:p>
            <w:pPr>
              <w:spacing w:after="0"/>
              <w:rPr>
                <w:sz w:val="19"/>
                <w:szCs w:val="19"/>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from continuing operations</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194.9</w:t>
            </w: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(69.9)</w:t>
            </w:r>
          </w:p>
        </w:tc>
        <w:tc>
          <w:tcPr>
            <w:tcW w:w="3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264.8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182.1</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(40.9)</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223.0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0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Diluted net income per common share from continuing</w:t>
            </w:r>
          </w:p>
        </w:tc>
        <w:tc>
          <w:tcPr>
            <w:tcW w:w="300" w:type="dxa"/>
            <w:vAlign w:val="bottom"/>
          </w:tcPr>
          <w:p>
            <w:pPr>
              <w:spacing w:after="0"/>
              <w:rPr>
                <w:sz w:val="15"/>
                <w:szCs w:val="15"/>
                <w:color w:val="auto"/>
              </w:rPr>
            </w:pPr>
          </w:p>
        </w:tc>
        <w:tc>
          <w:tcPr>
            <w:tcW w:w="9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3.30</w:t>
            </w:r>
          </w:p>
        </w:tc>
        <w:tc>
          <w:tcPr>
            <w:tcW w:w="3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(1.18)</w:t>
            </w:r>
          </w:p>
        </w:tc>
        <w:tc>
          <w:tcPr>
            <w:tcW w:w="32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4.48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3.10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(0.70)</w:t>
            </w:r>
          </w:p>
        </w:tc>
        <w:tc>
          <w:tcPr>
            <w:tcW w:w="320" w:type="dxa"/>
            <w:vAlign w:val="bottom"/>
          </w:tcPr>
          <w:p>
            <w:pPr>
              <w:spacing w:after="0"/>
              <w:rPr>
                <w:sz w:val="15"/>
                <w:szCs w:val="15"/>
                <w:color w:val="auto"/>
              </w:rPr>
            </w:pPr>
          </w:p>
        </w:tc>
        <w:tc>
          <w:tcPr>
            <w:tcW w:w="9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3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4"/>
        </w:trPr>
        <w:tc>
          <w:tcPr>
            <w:tcW w:w="4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Calculation of Adjusted EBITDA (3):</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Twelve Months Ended</w:t>
            </w:r>
          </w:p>
        </w:tc>
        <w:tc>
          <w:tcPr>
            <w:tcW w:w="160" w:type="dxa"/>
            <w:vAlign w:val="bottom"/>
          </w:tcPr>
          <w:p>
            <w:pPr>
              <w:spacing w:after="0"/>
              <w:rPr>
                <w:sz w:val="24"/>
                <w:szCs w:val="24"/>
                <w:color w:val="auto"/>
              </w:rPr>
            </w:pPr>
          </w:p>
        </w:tc>
        <w:tc>
          <w:tcPr>
            <w:tcW w:w="172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Twelve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80" w:type="dxa"/>
            <w:vAlign w:val="bottom"/>
            <w:tcBorders>
              <w:bottom w:val="single" w:sz="8" w:color="CCEEFF"/>
            </w:tcBorders>
            <w:gridSpan w:val="2"/>
            <w:vMerge w:val="continue"/>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September 30, 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6"/>
                <w:szCs w:val="16"/>
                <w:color w:val="auto"/>
              </w:rPr>
              <w:t>September 30, 2025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shd w:val="clear" w:color="auto" w:fill="CCEEFF"/>
          </w:tcPr>
          <w:p>
            <w:pPr>
              <w:spacing w:after="0"/>
              <w:rPr>
                <w:sz w:val="19"/>
                <w:szCs w:val="19"/>
                <w:color w:val="auto"/>
              </w:rPr>
            </w:pPr>
          </w:p>
        </w:tc>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 (GAAP)</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 expense from continuing operations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shd w:val="clear" w:color="auto" w:fill="CCEEFF"/>
          </w:tcPr>
          <w:p>
            <w:pPr>
              <w:spacing w:after="0"/>
              <w:rPr>
                <w:sz w:val="20"/>
                <w:szCs w:val="20"/>
                <w:color w:val="auto"/>
              </w:rPr>
            </w:pPr>
          </w:p>
        </w:tc>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shd w:val="clear" w:color="auto" w:fill="CCEEFF"/>
          </w:tcPr>
          <w:p>
            <w:pPr>
              <w:spacing w:after="0"/>
              <w:rPr>
                <w:sz w:val="20"/>
                <w:szCs w:val="20"/>
                <w:color w:val="auto"/>
              </w:rPr>
            </w:pPr>
          </w:p>
        </w:tc>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Amortization</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shd w:val="clear" w:color="auto" w:fill="CCEEFF"/>
          </w:tcPr>
          <w:p>
            <w:pPr>
              <w:spacing w:after="0"/>
              <w:rPr>
                <w:sz w:val="20"/>
                <w:szCs w:val="20"/>
                <w:color w:val="auto"/>
              </w:rPr>
            </w:pPr>
          </w:p>
        </w:tc>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Impairment, restructuring and other</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IT transformation costs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shd w:val="clear" w:color="auto" w:fill="CCEEFF"/>
          </w:tcPr>
          <w:p>
            <w:pPr>
              <w:spacing w:after="0"/>
              <w:rPr>
                <w:sz w:val="20"/>
                <w:szCs w:val="20"/>
                <w:color w:val="auto"/>
              </w:rPr>
            </w:pPr>
          </w:p>
        </w:tc>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Equity in (income) loss of unconsolidated affiliates</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Unrealized losses on non-core equity and other investments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 w:type="dxa"/>
            <w:vAlign w:val="bottom"/>
            <w:shd w:val="clear" w:color="auto" w:fill="CCEEFF"/>
          </w:tcPr>
          <w:p>
            <w:pPr>
              <w:spacing w:after="0"/>
              <w:rPr>
                <w:sz w:val="20"/>
                <w:szCs w:val="20"/>
                <w:color w:val="auto"/>
              </w:rPr>
            </w:pPr>
          </w:p>
        </w:tc>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569.7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Note: See accompanying footnotes for details related to the use of non-GAAP measures and the adjustments to arrive at the non-GAAP measures.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1"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Disclosure Items (3) (4)</w:t>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color w:val="auto"/>
              </w:rPr>
              <w:t>Year Ended September 30,</w:t>
            </w:r>
          </w:p>
        </w:tc>
        <w:tc>
          <w:tcPr>
            <w:tcW w:w="560" w:type="dxa"/>
            <w:vAlign w:val="bottom"/>
            <w:tcBorders>
              <w:bottom w:val="single" w:sz="8" w:color="auto"/>
            </w:tcBorders>
          </w:tcPr>
          <w:p>
            <w:pPr>
              <w:spacing w:after="0"/>
              <w:rPr>
                <w:sz w:val="18"/>
                <w:szCs w:val="18"/>
                <w:color w:val="auto"/>
              </w:rPr>
            </w:pPr>
          </w:p>
        </w:tc>
      </w:tr>
      <w:tr>
        <w:trPr>
          <w:trHeight w:val="220"/>
        </w:trPr>
        <w:tc>
          <w:tcPr>
            <w:tcW w:w="7700" w:type="dxa"/>
            <w:vAlign w:val="bottom"/>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2026</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2025</w:t>
            </w:r>
          </w:p>
        </w:tc>
        <w:tc>
          <w:tcPr>
            <w:tcW w:w="560" w:type="dxa"/>
            <w:vAlign w:val="bottom"/>
            <w:tcBorders>
              <w:bottom w:val="single" w:sz="8" w:color="auto"/>
            </w:tcBorders>
          </w:tcPr>
          <w:p>
            <w:pPr>
              <w:spacing w:after="0"/>
              <w:rPr>
                <w:sz w:val="19"/>
                <w:szCs w:val="19"/>
                <w:color w:val="auto"/>
              </w:rPr>
            </w:pPr>
          </w:p>
        </w:tc>
      </w:tr>
      <w:tr>
        <w:trPr>
          <w:trHeight w:val="212"/>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Calculation of free cash flow (3):</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3"/>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provided by operating activities (GAAP)</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373.0</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371.3</w:t>
            </w:r>
          </w:p>
        </w:tc>
      </w:tr>
      <w:tr>
        <w:trPr>
          <w:trHeight w:val="227"/>
        </w:trPr>
        <w:tc>
          <w:tcPr>
            <w:tcW w:w="7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Investments in property, plant and equipment</w:t>
            </w: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(94.6)</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(97.4)</w:t>
            </w:r>
          </w:p>
        </w:tc>
      </w:tr>
      <w:tr>
        <w:trPr>
          <w:trHeight w:val="224"/>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 (Non-GAAP)</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278.4</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273.9</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Note: See accompanying footnotes for details related to the use of non-GAAP measures and the adjustments to arrive at the 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1" w:right="339" w:bottom="1440" w:gutter="0" w:footer="0" w:header="0"/>
        </w:sectPr>
      </w:pPr>
    </w:p>
    <w:bookmarkStart w:id="13" w:name="page14"/>
    <w:bookmarkEnd w:id="13"/>
    <w:p>
      <w:pPr>
        <w:jc w:val="center"/>
        <w:ind w:right="150"/>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Footnotes to Preceding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0" w:hanging="330"/>
        <w:spacing w:after="0" w:line="282" w:lineRule="auto"/>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(loss) per common share amounts are calculated by dividing net income (loss) from continuing operations and discontinued operations by the weighted average number of common shares outstanding during the period.</w:t>
      </w:r>
    </w:p>
    <w:p>
      <w:pPr>
        <w:spacing w:after="0" w:line="188" w:lineRule="exact"/>
        <w:rPr>
          <w:rFonts w:ascii="Times New Roman" w:cs="Times New Roman" w:eastAsia="Times New Roman" w:hAnsi="Times New Roman"/>
          <w:sz w:val="18"/>
          <w:szCs w:val="18"/>
          <w:color w:val="auto"/>
        </w:rPr>
      </w:pPr>
    </w:p>
    <w:p>
      <w:pPr>
        <w:jc w:val="both"/>
        <w:ind w:left="330" w:hanging="330"/>
        <w:spacing w:after="0" w:line="266" w:lineRule="auto"/>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(loss) per common share amounts are calculated by dividing net income (loss) from continuing operations and discontinued operations by the weighted average number of common shares, plus all potential dilutive securities (common stock options, performance shares, performance units, restricted stock and restricted stock units) outstanding during the period.</w:t>
      </w:r>
    </w:p>
    <w:p>
      <w:pPr>
        <w:spacing w:after="0" w:line="200" w:lineRule="exact"/>
        <w:rPr>
          <w:rFonts w:ascii="Times New Roman" w:cs="Times New Roman" w:eastAsia="Times New Roman" w:hAnsi="Times New Roman"/>
          <w:sz w:val="18"/>
          <w:szCs w:val="18"/>
          <w:color w:val="auto"/>
        </w:rPr>
      </w:pPr>
    </w:p>
    <w:p>
      <w:pPr>
        <w:ind w:left="330" w:right="7920" w:hanging="330"/>
        <w:spacing w:after="0" w:line="564" w:lineRule="auto"/>
        <w:tabs>
          <w:tab w:leader="none" w:pos="32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Reconciliation of Non-GAAP Measures </w:t>
      </w:r>
      <w:r>
        <w:rPr>
          <w:rFonts w:ascii="Times New Roman" w:cs="Times New Roman" w:eastAsia="Times New Roman" w:hAnsi="Times New Roman"/>
          <w:sz w:val="17"/>
          <w:szCs w:val="17"/>
          <w:u w:val="single" w:color="auto"/>
          <w:color w:val="auto"/>
        </w:rPr>
        <w:t>Use of Non-GAAP Measures</w:t>
      </w:r>
    </w:p>
    <w:p>
      <w:pPr>
        <w:spacing w:after="0" w:line="1" w:lineRule="exact"/>
        <w:rPr>
          <w:rFonts w:ascii="Times New Roman" w:cs="Times New Roman" w:eastAsia="Times New Roman" w:hAnsi="Times New Roman"/>
          <w:sz w:val="17"/>
          <w:szCs w:val="17"/>
          <w:color w:val="auto"/>
        </w:rPr>
      </w:pPr>
    </w:p>
    <w:p>
      <w:pPr>
        <w:jc w:val="both"/>
        <w:ind w:left="33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supplement the financial measures prepared in accordance with U.S. generally accepted accounting principles (“GAAP”), the Company uses non-GAAP financial measures. The reconciliations of these non-GAAP financial measures to the most directly comparable financial measures calculated and presented in accordance with GAAP are shown in the tables above. These non-GAAP financial measures should not be considered in isolation from, or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than the Company, limiting the usefulness of those measures for comparative purposes.</w:t>
      </w:r>
    </w:p>
    <w:p>
      <w:pPr>
        <w:spacing w:after="0" w:line="215" w:lineRule="exact"/>
        <w:rPr>
          <w:rFonts w:ascii="Times New Roman" w:cs="Times New Roman" w:eastAsia="Times New Roman" w:hAnsi="Times New Roman"/>
          <w:sz w:val="17"/>
          <w:szCs w:val="17"/>
          <w:color w:val="auto"/>
        </w:rPr>
      </w:pPr>
    </w:p>
    <w:p>
      <w:pPr>
        <w:jc w:val="both"/>
        <w:ind w:left="33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addition to GAAP measures, management uses these non-GAAP financial measures to evaluate the Company’s performance, engage in financial and operational planning, determine incentive compensation and monitor compliance with the financial covenants contained in the Company’s borrowing agreements because it believes that these non-GAAP financial measures provide additional perspective on and, in some circumstances are more closely correlated to, the performance of the Company’s underlying, ongoing business.</w:t>
      </w:r>
    </w:p>
    <w:p>
      <w:pPr>
        <w:spacing w:after="0" w:line="206" w:lineRule="exact"/>
        <w:rPr>
          <w:rFonts w:ascii="Times New Roman" w:cs="Times New Roman" w:eastAsia="Times New Roman" w:hAnsi="Times New Roman"/>
          <w:sz w:val="17"/>
          <w:szCs w:val="17"/>
          <w:color w:val="auto"/>
        </w:rPr>
      </w:pPr>
    </w:p>
    <w:p>
      <w:pPr>
        <w:jc w:val="both"/>
        <w:ind w:left="33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Management believes that these non-GAAP financial measures are useful to investors in their assessment of operating performance and the valuation of the Company. In addition, these non-GAAP financial measures address questions routinely received from analysts and investors and, in order to ensure that all investors have access to the same data, management has determined that it is appropriate to make this data available to all investors. Non-GAAP financial measures exclude the impact of certain items (as further described below) and provide supplemental information regarding operating performance. By disclosing these non-GAAP financial measures, management intends to provide investors with a supplemental comparison of operating results and trends for the periods presented. Management believes these non-GAAP financial measures are also useful to investors as such measures allow investors to evaluate performance using the same metrics that management uses to evaluate past performance and prospects for future performance. Management views free cash flow as an important measure because it is one factor used in determining the amount of cash available for dividends and discretionary investment.</w:t>
      </w:r>
    </w:p>
    <w:p>
      <w:pPr>
        <w:spacing w:after="0" w:line="215" w:lineRule="exact"/>
        <w:rPr>
          <w:rFonts w:ascii="Times New Roman" w:cs="Times New Roman" w:eastAsia="Times New Roman" w:hAnsi="Times New Roman"/>
          <w:sz w:val="17"/>
          <w:szCs w:val="17"/>
          <w:color w:val="auto"/>
        </w:rPr>
      </w:pPr>
    </w:p>
    <w:p>
      <w:pPr>
        <w:ind w:left="33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Exclusions from Non-GAAP Financial Measures</w:t>
      </w:r>
    </w:p>
    <w:p>
      <w:pPr>
        <w:spacing w:after="0" w:line="252" w:lineRule="exact"/>
        <w:rPr>
          <w:rFonts w:ascii="Times New Roman" w:cs="Times New Roman" w:eastAsia="Times New Roman" w:hAnsi="Times New Roman"/>
          <w:sz w:val="17"/>
          <w:szCs w:val="17"/>
          <w:color w:val="auto"/>
        </w:rPr>
      </w:pPr>
    </w:p>
    <w:p>
      <w:pPr>
        <w:ind w:left="33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Non-GAAP financial measures reflect adjustments based on the following items:</w:t>
      </w:r>
    </w:p>
    <w:p>
      <w:pPr>
        <w:spacing w:after="0" w:line="252" w:lineRule="exact"/>
        <w:rPr>
          <w:rFonts w:ascii="Times New Roman" w:cs="Times New Roman" w:eastAsia="Times New Roman" w:hAnsi="Times New Roman"/>
          <w:sz w:val="17"/>
          <w:szCs w:val="17"/>
          <w:color w:val="auto"/>
        </w:rPr>
      </w:pPr>
    </w:p>
    <w:p>
      <w:pPr>
        <w:ind w:left="970" w:right="20" w:hanging="322"/>
        <w:spacing w:after="0" w:line="261" w:lineRule="auto"/>
        <w:tabs>
          <w:tab w:leader="none" w:pos="9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which are excluded because they do not occur in or reflect the ordinary course of the Company’s ongoing business operations and their exclusion results in a metric that provides supplemental information about the sustainability of operating performance.</w:t>
      </w:r>
    </w:p>
    <w:p>
      <w:pPr>
        <w:jc w:val="both"/>
        <w:ind w:left="970" w:hanging="322"/>
        <w:spacing w:after="0" w:line="250" w:lineRule="auto"/>
        <w:tabs>
          <w:tab w:leader="none" w:pos="9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employee severance costs, which include charges for discrete projects or transactions that fundamentally change the Company’s operations and are excluded because they are not part of the ongoing operations of its underlying business, which includes normal levels of reinvestment in the business.</w:t>
      </w:r>
    </w:p>
    <w:p>
      <w:pPr>
        <w:spacing w:after="0" w:line="1" w:lineRule="exact"/>
        <w:rPr>
          <w:rFonts w:ascii="Times New Roman" w:cs="Times New Roman" w:eastAsia="Times New Roman" w:hAnsi="Times New Roman"/>
          <w:sz w:val="18"/>
          <w:szCs w:val="18"/>
          <w:color w:val="auto"/>
        </w:rPr>
      </w:pPr>
    </w:p>
    <w:p>
      <w:pPr>
        <w:jc w:val="both"/>
        <w:ind w:left="970" w:hanging="322"/>
        <w:spacing w:after="0" w:line="250" w:lineRule="auto"/>
        <w:tabs>
          <w:tab w:leader="none" w:pos="9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refinancing, which are excluded because they do not typically occur in the normal course of business and may obscure analysis of trends and financial performance. Additionally, the amount and frequency of these types of charges is not consistent and is significantly impacted by the timing and size of debt financing transactions.</w:t>
      </w:r>
    </w:p>
    <w:p>
      <w:pPr>
        <w:spacing w:after="0" w:line="1" w:lineRule="exact"/>
        <w:rPr>
          <w:rFonts w:ascii="Times New Roman" w:cs="Times New Roman" w:eastAsia="Times New Roman" w:hAnsi="Times New Roman"/>
          <w:sz w:val="18"/>
          <w:szCs w:val="18"/>
          <w:color w:val="auto"/>
        </w:rPr>
      </w:pPr>
    </w:p>
    <w:p>
      <w:pPr>
        <w:ind w:left="970" w:hanging="322"/>
        <w:spacing w:after="0" w:line="250" w:lineRule="auto"/>
        <w:tabs>
          <w:tab w:leader="none" w:pos="9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gains and losses on non-core equity and other investments, which are excluded because the valuations of these investments are subject to significant market volatility that is not directly related to the operating performance of the Company’s core business operations.</w:t>
      </w:r>
    </w:p>
    <w:p>
      <w:pPr>
        <w:jc w:val="both"/>
        <w:ind w:left="970" w:hanging="322"/>
        <w:spacing w:after="0" w:line="255" w:lineRule="auto"/>
        <w:tabs>
          <w:tab w:leader="none" w:pos="9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operations and other unusual items, which include costs or gains related to discrete projects or transactions and are excluded because they are not comparable from one period to the next and are not part of the ongoing operations of the Company’s underlying business.</w:t>
      </w:r>
    </w:p>
    <w:p>
      <w:pPr>
        <w:sectPr>
          <w:pgSz w:w="11900" w:h="16838" w:orient="portrait"/>
          <w:cols w:equalWidth="0" w:num="1">
            <w:col w:w="11070"/>
          </w:cols>
          <w:pgMar w:left="49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70"/>
          </w:cols>
          <w:pgMar w:left="490" w:top="111"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Footnotes to Preceding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The tax effect for each of the items listed above is determined using the tax rate and other tax attributes applicable to the item and the jurisdiction(s) in which the item is recorded.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Definitions of Non-GAAP Financial Measures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reconciliations of non-GAAP disclosure items include the following financial measures that are not calculated in accordance with GAAP:</w:t>
      </w:r>
    </w:p>
    <w:p>
      <w:pPr>
        <w:spacing w:after="0" w:line="2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Adjusted gross margin</w:t>
      </w:r>
      <w:r>
        <w:rPr>
          <w:rFonts w:ascii="Times New Roman" w:cs="Times New Roman" w:eastAsia="Times New Roman" w:hAnsi="Times New Roman"/>
          <w:sz w:val="18"/>
          <w:szCs w:val="18"/>
          <w:color w:val="auto"/>
        </w:rPr>
        <w:t>: Gross margin excluding impairment, restructuring and other charges / recoveries.</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Adjusted selling, general and administrative</w:t>
      </w:r>
      <w:r>
        <w:rPr>
          <w:rFonts w:ascii="Times New Roman" w:cs="Times New Roman" w:eastAsia="Times New Roman" w:hAnsi="Times New Roman"/>
          <w:sz w:val="18"/>
          <w:szCs w:val="18"/>
          <w:color w:val="auto"/>
        </w:rPr>
        <w:t>: Selling, general and administrative excluding IT transformation costs.</w:t>
      </w:r>
    </w:p>
    <w:p>
      <w:pPr>
        <w:spacing w:after="0" w:line="9" w:lineRule="exact"/>
        <w:rPr>
          <w:sz w:val="20"/>
          <w:szCs w:val="20"/>
          <w:color w:val="auto"/>
        </w:rPr>
      </w:pPr>
    </w:p>
    <w:p>
      <w:pPr>
        <w:jc w:val="both"/>
        <w:ind w:left="820"/>
        <w:spacing w:after="0" w:line="250" w:lineRule="auto"/>
        <w:rPr>
          <w:sz w:val="20"/>
          <w:szCs w:val="20"/>
          <w:color w:val="auto"/>
        </w:rPr>
      </w:pPr>
      <w:r>
        <w:rPr>
          <w:rFonts w:ascii="Times New Roman" w:cs="Times New Roman" w:eastAsia="Times New Roman" w:hAnsi="Times New Roman"/>
          <w:sz w:val="18"/>
          <w:szCs w:val="18"/>
          <w:b w:val="1"/>
          <w:bCs w:val="1"/>
          <w:color w:val="auto"/>
        </w:rPr>
        <w:t>Adjusted income (loss) from operations</w:t>
      </w:r>
      <w:r>
        <w:rPr>
          <w:rFonts w:ascii="Times New Roman" w:cs="Times New Roman" w:eastAsia="Times New Roman" w:hAnsi="Times New Roman"/>
          <w:sz w:val="18"/>
          <w:szCs w:val="18"/>
          <w:color w:val="auto"/>
        </w:rPr>
        <w:t>: Income (loss) from operations excluding impairment, restructuring and other charges / recoveries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transformation costs.</w:t>
      </w:r>
    </w:p>
    <w:p>
      <w:pPr>
        <w:spacing w:after="0" w:line="1" w:lineRule="exact"/>
        <w:rPr>
          <w:sz w:val="20"/>
          <w:szCs w:val="20"/>
          <w:color w:val="auto"/>
        </w:rPr>
      </w:pPr>
    </w:p>
    <w:p>
      <w:pPr>
        <w:jc w:val="both"/>
        <w:ind w:left="820"/>
        <w:spacing w:after="0" w:line="250" w:lineRule="auto"/>
        <w:rPr>
          <w:sz w:val="20"/>
          <w:szCs w:val="20"/>
          <w:color w:val="auto"/>
        </w:rPr>
      </w:pPr>
      <w:r>
        <w:rPr>
          <w:rFonts w:ascii="Times New Roman" w:cs="Times New Roman" w:eastAsia="Times New Roman" w:hAnsi="Times New Roman"/>
          <w:sz w:val="18"/>
          <w:szCs w:val="18"/>
          <w:b w:val="1"/>
          <w:bCs w:val="1"/>
          <w:color w:val="auto"/>
        </w:rPr>
        <w:t>Adjusted equity in income (loss) of unconsolidated affiliates</w:t>
      </w:r>
      <w:r>
        <w:rPr>
          <w:rFonts w:ascii="Times New Roman" w:cs="Times New Roman" w:eastAsia="Times New Roman" w:hAnsi="Times New Roman"/>
          <w:sz w:val="18"/>
          <w:szCs w:val="18"/>
          <w:color w:val="auto"/>
        </w:rPr>
        <w:t>: Equity in income / loss of unconsolidated affiliates excluding impairment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charges.</w:t>
      </w:r>
    </w:p>
    <w:p>
      <w:pPr>
        <w:spacing w:after="0" w:line="1" w:lineRule="exact"/>
        <w:rPr>
          <w:sz w:val="20"/>
          <w:szCs w:val="20"/>
          <w:color w:val="auto"/>
        </w:rPr>
      </w:pPr>
    </w:p>
    <w:p>
      <w:pPr>
        <w:jc w:val="both"/>
        <w:ind w:left="820"/>
        <w:spacing w:after="0" w:line="250" w:lineRule="auto"/>
        <w:rPr>
          <w:sz w:val="20"/>
          <w:szCs w:val="20"/>
          <w:color w:val="auto"/>
        </w:rPr>
      </w:pPr>
      <w:r>
        <w:rPr>
          <w:rFonts w:ascii="Times New Roman" w:cs="Times New Roman" w:eastAsia="Times New Roman" w:hAnsi="Times New Roman"/>
          <w:sz w:val="18"/>
          <w:szCs w:val="18"/>
          <w:b w:val="1"/>
          <w:bCs w:val="1"/>
          <w:color w:val="auto"/>
        </w:rPr>
        <w:t>Adjusted income (loss) from continuing operations before income taxes</w:t>
      </w:r>
      <w:r>
        <w:rPr>
          <w:rFonts w:ascii="Times New Roman" w:cs="Times New Roman" w:eastAsia="Times New Roman" w:hAnsi="Times New Roman"/>
          <w:sz w:val="18"/>
          <w:szCs w:val="18"/>
          <w:color w:val="auto"/>
        </w:rPr>
        <w:t>: Income (loss) from continuing operations before income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excluding impairment, restructuring and other charges / recoveries, IT transformation costs, unrealized gains and losses on non-core equity and other investments, costs related to refinancing and certain other non-operating income / expense items.</w:t>
      </w:r>
    </w:p>
    <w:p>
      <w:pPr>
        <w:spacing w:after="0" w:line="1" w:lineRule="exact"/>
        <w:rPr>
          <w:sz w:val="20"/>
          <w:szCs w:val="20"/>
          <w:color w:val="auto"/>
        </w:rPr>
      </w:pPr>
    </w:p>
    <w:p>
      <w:pPr>
        <w:jc w:val="both"/>
        <w:ind w:left="820"/>
        <w:spacing w:after="0" w:line="250" w:lineRule="auto"/>
        <w:rPr>
          <w:sz w:val="20"/>
          <w:szCs w:val="20"/>
          <w:color w:val="auto"/>
        </w:rPr>
      </w:pPr>
      <w:r>
        <w:rPr>
          <w:rFonts w:ascii="Times New Roman" w:cs="Times New Roman" w:eastAsia="Times New Roman" w:hAnsi="Times New Roman"/>
          <w:sz w:val="18"/>
          <w:szCs w:val="18"/>
          <w:b w:val="1"/>
          <w:bCs w:val="1"/>
          <w:color w:val="auto"/>
        </w:rPr>
        <w:t>Adjusted income tax expense (benefit) from continuing operations</w:t>
      </w:r>
      <w:r>
        <w:rPr>
          <w:rFonts w:ascii="Times New Roman" w:cs="Times New Roman" w:eastAsia="Times New Roman" w:hAnsi="Times New Roman"/>
          <w:sz w:val="18"/>
          <w:szCs w:val="18"/>
          <w:color w:val="auto"/>
        </w:rPr>
        <w:t>: Income tax expense (benefit) from continuing operations excluding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effect of impairment, restructuring and other charges / recoveries, IT transformation costs, unrealized gains and losses on non-core equity and other investments, costs related to refinancing and certain other non-operating income / expense items.</w:t>
      </w:r>
    </w:p>
    <w:p>
      <w:pPr>
        <w:spacing w:after="0" w:line="1" w:lineRule="exact"/>
        <w:rPr>
          <w:sz w:val="20"/>
          <w:szCs w:val="20"/>
          <w:color w:val="auto"/>
        </w:rPr>
      </w:pPr>
    </w:p>
    <w:p>
      <w:pPr>
        <w:jc w:val="both"/>
        <w:ind w:left="820" w:right="20"/>
        <w:spacing w:after="0" w:line="250" w:lineRule="auto"/>
        <w:rPr>
          <w:sz w:val="20"/>
          <w:szCs w:val="20"/>
          <w:color w:val="auto"/>
        </w:rPr>
      </w:pPr>
      <w:r>
        <w:rPr>
          <w:rFonts w:ascii="Times New Roman" w:cs="Times New Roman" w:eastAsia="Times New Roman" w:hAnsi="Times New Roman"/>
          <w:sz w:val="18"/>
          <w:szCs w:val="18"/>
          <w:b w:val="1"/>
          <w:bCs w:val="1"/>
          <w:color w:val="auto"/>
        </w:rPr>
        <w:t>Adjusted net income (loss) from continuing operations</w:t>
      </w:r>
      <w:r>
        <w:rPr>
          <w:rFonts w:ascii="Times New Roman" w:cs="Times New Roman" w:eastAsia="Times New Roman" w:hAnsi="Times New Roman"/>
          <w:sz w:val="18"/>
          <w:szCs w:val="18"/>
          <w:color w:val="auto"/>
        </w:rPr>
        <w:t>: Net income (loss) from continuing operations excluding impairment, restructuring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charges / recoveries, IT transformation costs, unrealized gains and losses on non-core equity and other investments, costs related to refinancing and certain other non-operating income / expense items, each net of tax.</w:t>
      </w:r>
    </w:p>
    <w:p>
      <w:pPr>
        <w:spacing w:after="0" w:line="1" w:lineRule="exact"/>
        <w:rPr>
          <w:sz w:val="20"/>
          <w:szCs w:val="20"/>
          <w:color w:val="auto"/>
        </w:rPr>
      </w:pPr>
    </w:p>
    <w:p>
      <w:pPr>
        <w:jc w:val="both"/>
        <w:ind w:left="820"/>
        <w:spacing w:after="0" w:line="250" w:lineRule="auto"/>
        <w:rPr>
          <w:sz w:val="20"/>
          <w:szCs w:val="20"/>
          <w:color w:val="auto"/>
        </w:rPr>
      </w:pPr>
      <w:r>
        <w:rPr>
          <w:rFonts w:ascii="Times New Roman" w:cs="Times New Roman" w:eastAsia="Times New Roman" w:hAnsi="Times New Roman"/>
          <w:sz w:val="18"/>
          <w:szCs w:val="18"/>
          <w:b w:val="1"/>
          <w:bCs w:val="1"/>
          <w:color w:val="auto"/>
        </w:rPr>
        <w:t>Adjusted diluted net income (loss) per common share from continuing operations</w:t>
      </w:r>
      <w:r>
        <w:rPr>
          <w:rFonts w:ascii="Times New Roman" w:cs="Times New Roman" w:eastAsia="Times New Roman" w:hAnsi="Times New Roman"/>
          <w:sz w:val="18"/>
          <w:szCs w:val="18"/>
          <w:color w:val="auto"/>
        </w:rPr>
        <w:t>: Diluted net income (loss) per common share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operations excluding impairment, restructuring and other charges / recoveries, IT transformation costs, unrealized gains and losses on non-core equity and other investments, costs related to refinancing and certain other non-operating income / expense items, each net of tax.</w:t>
      </w:r>
    </w:p>
    <w:p>
      <w:pPr>
        <w:spacing w:after="0" w:line="1" w:lineRule="exact"/>
        <w:rPr>
          <w:sz w:val="20"/>
          <w:szCs w:val="20"/>
          <w:color w:val="auto"/>
        </w:rPr>
      </w:pPr>
    </w:p>
    <w:p>
      <w:pPr>
        <w:jc w:val="both"/>
        <w:ind w:left="820"/>
        <w:spacing w:after="0" w:line="250" w:lineRule="auto"/>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Net income (loss) before interest, taxes, depreciation and amortization as well as certain other items such as discontinued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the impact of the cumulative effect of changes in accounting, costs associated with debt refinancing and other non-recurring or non-cash items affecting net income (loss). A form of Adjusted EBITDA is used in agreements governing the Company’s outstanding indebtedness for debt covenant compliance purposes. Adjusted EBITDA as used in those agreements includes additional adjustments to the Adjusted EBITDA presented in the reconciliations above which may decrease or increase Adjusted EBITDA for purposes of the Company’s financial covenants.</w:t>
      </w:r>
    </w:p>
    <w:p>
      <w:pPr>
        <w:spacing w:after="0" w:line="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18"/>
          <w:szCs w:val="18"/>
          <w:color w:val="auto"/>
        </w:rPr>
        <w:t>: Net cash provided by (used in) operating activities reduced by investments in property, plant and equipment.</w:t>
      </w:r>
    </w:p>
    <w:p>
      <w:pPr>
        <w:spacing w:after="0" w:line="234"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For the three and twelve months ended September 30, 2026, the following items were adjusted, in accordance with the definitions above, to arrive at the non-GAAP financial measures:</w:t>
      </w:r>
    </w:p>
    <w:p>
      <w:pPr>
        <w:spacing w:after="0" w:line="189" w:lineRule="exact"/>
        <w:rPr>
          <w:sz w:val="20"/>
          <w:szCs w:val="20"/>
          <w:color w:val="auto"/>
        </w:rPr>
      </w:pPr>
    </w:p>
    <w:p>
      <w:pPr>
        <w:jc w:val="both"/>
        <w:ind w:left="1140" w:hanging="322"/>
        <w:spacing w:after="0" w:line="254"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(loss) from discontinued operations, net of tax, associated with the Hawthorne business was $2.3 million and $(91.0) million for the three and twelve months ended September 30, 2026, respectively. This includes a pre-tax loss of $106.2 million for the twelve months ended September 30, 2026 related to the sale of the Hawthorne business in North America. During the three months ended September 30, 2026, post-closing adjustments related to the sale were finalized and the Company recorded an increase to the cumulative pre-tax loss of $4.3 million.</w:t>
      </w:r>
    </w:p>
    <w:p>
      <w:pPr>
        <w:spacing w:after="0" w:line="3" w:lineRule="exact"/>
        <w:rPr>
          <w:rFonts w:ascii="Times New Roman" w:cs="Times New Roman" w:eastAsia="Times New Roman" w:hAnsi="Times New Roman"/>
          <w:sz w:val="18"/>
          <w:szCs w:val="18"/>
          <w:color w:val="auto"/>
        </w:rPr>
      </w:pPr>
    </w:p>
    <w:p>
      <w:pPr>
        <w:jc w:val="both"/>
        <w:ind w:left="1140" w:hanging="322"/>
        <w:spacing w:after="0" w:line="250"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twelve months ended September 30, 2026, the Company recorded employee and executive severance charges of $0.0 million and $1.7 million, respectively, in the “Cost of sales—impairment, restructuring and other” line in the Condensed Consolidated Statements of Operations and $4.8 million and $26.4 million, respectively, in the “Impairment, restructuring and other” line in the Condensed Consolidated Statements of Operations.</w:t>
      </w:r>
    </w:p>
    <w:p>
      <w:pPr>
        <w:spacing w:after="0" w:line="1" w:lineRule="exact"/>
        <w:rPr>
          <w:rFonts w:ascii="Times New Roman" w:cs="Times New Roman" w:eastAsia="Times New Roman" w:hAnsi="Times New Roman"/>
          <w:sz w:val="18"/>
          <w:szCs w:val="18"/>
          <w:color w:val="auto"/>
        </w:rPr>
      </w:pPr>
    </w:p>
    <w:p>
      <w:pPr>
        <w:jc w:val="both"/>
        <w:ind w:left="1140" w:hanging="322"/>
        <w:spacing w:after="0" w:line="250"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twelve months ended September 30, 2026, the Company recorded unrealized gains (losses) on non-core equity and other investments of $0.9 million and $(14.7) million, respectively, in the “Other non-operating expense, net” line in the Condensed Consolidated Statements of Operations.</w:t>
      </w:r>
    </w:p>
    <w:p>
      <w:pPr>
        <w:spacing w:after="0" w:line="1" w:lineRule="exact"/>
        <w:rPr>
          <w:rFonts w:ascii="Times New Roman" w:cs="Times New Roman" w:eastAsia="Times New Roman" w:hAnsi="Times New Roman"/>
          <w:sz w:val="18"/>
          <w:szCs w:val="18"/>
          <w:color w:val="auto"/>
        </w:rPr>
      </w:pPr>
    </w:p>
    <w:p>
      <w:pPr>
        <w:ind w:left="1140" w:hanging="322"/>
        <w:spacing w:after="0" w:line="260"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twelve months ended September 30, 2026, the Company recorded a non-cash impairment charge of $3.5 million related to other investments in the “Impairment, restructuring and other” line in the Condensed Consolidated Statements of Operations.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1" w:right="339" w:bottom="1440" w:gutter="0" w:footer="0" w:header="0"/>
        </w:sectPr>
      </w:pPr>
    </w:p>
    <w:bookmarkStart w:id="15" w:name="page16"/>
    <w:bookmarkEnd w:id="15"/>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Footnotes to Preceding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640" w:hanging="322"/>
        <w:spacing w:after="0" w:line="25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twelve months ended September 30, 2026, the Company recorded a non-cash impairment charge of $0.0 million and $8.7 million, respectively, related to a seller financing loan in the “Impairment, restructuring and other” line in the Condensed Consolidated Statements of Operations.</w:t>
      </w:r>
    </w:p>
    <w:p>
      <w:pPr>
        <w:spacing w:after="0" w:line="1" w:lineRule="exact"/>
        <w:rPr>
          <w:rFonts w:ascii="Times New Roman" w:cs="Times New Roman" w:eastAsia="Times New Roman" w:hAnsi="Times New Roman"/>
          <w:sz w:val="18"/>
          <w:szCs w:val="18"/>
          <w:color w:val="auto"/>
        </w:rPr>
      </w:pPr>
    </w:p>
    <w:p>
      <w:pPr>
        <w:jc w:val="both"/>
        <w:ind w:left="640" w:hanging="322"/>
        <w:spacing w:after="0" w:line="250"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twelve months ended September 30, 2026, the Company recorded a non-cash impairment charge of $0.0 million and $7.9 million, respectively, related to a convertible debt investment in the “Impairment, restructuring and other” line in the Condensed Consolidated Statements of Operations.</w:t>
      </w:r>
    </w:p>
    <w:p>
      <w:pPr>
        <w:spacing w:after="0" w:line="1" w:lineRule="exact"/>
        <w:rPr>
          <w:rFonts w:ascii="Times New Roman" w:cs="Times New Roman" w:eastAsia="Times New Roman" w:hAnsi="Times New Roman"/>
          <w:sz w:val="18"/>
          <w:szCs w:val="18"/>
          <w:color w:val="auto"/>
        </w:rPr>
      </w:pPr>
    </w:p>
    <w:p>
      <w:pPr>
        <w:jc w:val="both"/>
        <w:ind w:left="640" w:hanging="322"/>
        <w:spacing w:after="0" w:line="250"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twelve months ended September 30, 2026, the Company recorded pre-tax gains on the sale of land and real estate facilities of $6.6 million and $7.6 million, respectively, in the “Impairment, restructuring and other” line in the Condensed Consolidated Statements of Operations.</w:t>
      </w:r>
    </w:p>
    <w:p>
      <w:pPr>
        <w:spacing w:after="0" w:line="1" w:lineRule="exact"/>
        <w:rPr>
          <w:rFonts w:ascii="Times New Roman" w:cs="Times New Roman" w:eastAsia="Times New Roman" w:hAnsi="Times New Roman"/>
          <w:sz w:val="18"/>
          <w:szCs w:val="18"/>
          <w:color w:val="auto"/>
        </w:rPr>
      </w:pPr>
    </w:p>
    <w:p>
      <w:pPr>
        <w:jc w:val="both"/>
        <w:ind w:left="640" w:hanging="322"/>
        <w:spacing w:after="0" w:line="250"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twelve months ended September 30, 2026, the Company recorded a charge of $0.0 million and $4.0 million, respectively, in the “Impairment, restructuring and other” line in the Condensed Consolidated Statements of Operations associated with a settlement agreement to resolve a dispute with former shareholders of a business that was acquired in fiscal 2021.</w:t>
      </w:r>
    </w:p>
    <w:p>
      <w:pPr>
        <w:spacing w:after="0" w:line="1" w:lineRule="exact"/>
        <w:rPr>
          <w:rFonts w:ascii="Times New Roman" w:cs="Times New Roman" w:eastAsia="Times New Roman" w:hAnsi="Times New Roman"/>
          <w:sz w:val="18"/>
          <w:szCs w:val="18"/>
          <w:color w:val="auto"/>
        </w:rPr>
      </w:pPr>
    </w:p>
    <w:p>
      <w:pPr>
        <w:jc w:val="both"/>
        <w:ind w:left="640" w:hanging="322"/>
        <w:spacing w:after="0" w:line="251"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year 2026, the Company commenced a multi-year project to transform its information technology (“IT”) infrastructure, including replacing its enterprise resource planning system and implementing complementary software across critical business functions. The Company plans to invest over $100.0 million, including capital expenditures and operating expenses, associated with these IT implementations over the course of the project, which is expected to be substantially complete during fiscal year 2028. The majority of these costs are expected to be third-party consulting and implementation fees. Other anticipated costs include dedicated incremental internal labor and other discrete costs incurred in connection with the project. Due to the nature, scope and magnitude of this investment, these costs are considered by management to represent incremental transformational costs above the historical normal level of spending for IT to support operations. These costs will cease at the end of the investment period, are not expected to recur in the foreseeable future, and are not considered representative of the Company’s underlying operating performance. During the three and twelve months ended September 30, 2026, the Company recorded IT transformation costs of $13.5 million in the “Selling, general and administrative” line in the Condensed Consolidated Statements of Operations associated with this initiative. The expenses relate to the following:</w:t>
      </w:r>
    </w:p>
    <w:p>
      <w:pPr>
        <w:spacing w:after="0" w:line="13"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Three Months Ended</w:t>
            </w:r>
          </w:p>
        </w:tc>
        <w:tc>
          <w:tcPr>
            <w:tcW w:w="140" w:type="dxa"/>
            <w:vAlign w:val="bottom"/>
          </w:tcPr>
          <w:p>
            <w:pPr>
              <w:spacing w:after="0"/>
              <w:rPr>
                <w:sz w:val="16"/>
                <w:szCs w:val="16"/>
                <w:color w:val="auto"/>
              </w:rPr>
            </w:pPr>
          </w:p>
        </w:tc>
        <w:tc>
          <w:tcPr>
            <w:tcW w:w="1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Twelve Months Ended</w:t>
            </w:r>
          </w:p>
        </w:tc>
      </w:tr>
      <w:tr>
        <w:trPr>
          <w:trHeight w:val="213"/>
        </w:trPr>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September 30, 2026</w:t>
            </w:r>
          </w:p>
        </w:tc>
        <w:tc>
          <w:tcPr>
            <w:tcW w:w="14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September 30, 2026</w:t>
            </w:r>
          </w:p>
        </w:tc>
      </w:tr>
      <w:tr>
        <w:trPr>
          <w:trHeight w:val="226"/>
        </w:trPr>
        <w:tc>
          <w:tcPr>
            <w:tcW w:w="5680" w:type="dxa"/>
            <w:vAlign w:val="bottom"/>
            <w:tcBorders>
              <w:top w:val="single" w:sz="8" w:color="CCEEFF"/>
            </w:tcBorders>
            <w:shd w:val="clear" w:color="auto" w:fill="CCEEFF"/>
          </w:tcPr>
          <w:p>
            <w:pPr>
              <w:ind w:left="40"/>
              <w:spacing w:after="0" w:line="226" w:lineRule="exact"/>
              <w:rPr>
                <w:sz w:val="20"/>
                <w:szCs w:val="20"/>
                <w:color w:val="auto"/>
              </w:rPr>
            </w:pPr>
            <w:r>
              <w:rPr>
                <w:rFonts w:ascii="Times New Roman" w:cs="Times New Roman" w:eastAsia="Times New Roman" w:hAnsi="Times New Roman"/>
                <w:sz w:val="16"/>
                <w:szCs w:val="16"/>
                <w:color w:val="auto"/>
              </w:rPr>
              <w:t xml:space="preserve">External consulting fees </w:t>
            </w:r>
            <w:r>
              <w:rPr>
                <w:rFonts w:ascii="Times New Roman" w:cs="Times New Roman" w:eastAsia="Times New Roman" w:hAnsi="Times New Roman"/>
                <w:sz w:val="21"/>
                <w:szCs w:val="21"/>
                <w:color w:val="auto"/>
                <w:vertAlign w:val="superscript"/>
              </w:rPr>
              <w:t>(a)</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30"/>
        </w:trPr>
        <w:tc>
          <w:tcPr>
            <w:tcW w:w="5680" w:type="dxa"/>
            <w:vAlign w:val="bottom"/>
          </w:tcPr>
          <w:p>
            <w:pPr>
              <w:ind w:left="40"/>
              <w:spacing w:after="0" w:line="230" w:lineRule="exact"/>
              <w:rPr>
                <w:sz w:val="20"/>
                <w:szCs w:val="20"/>
                <w:color w:val="auto"/>
              </w:rPr>
            </w:pPr>
            <w:r>
              <w:rPr>
                <w:rFonts w:ascii="Times New Roman" w:cs="Times New Roman" w:eastAsia="Times New Roman" w:hAnsi="Times New Roman"/>
                <w:sz w:val="16"/>
                <w:szCs w:val="16"/>
                <w:color w:val="auto"/>
              </w:rPr>
              <w:t xml:space="preserve">IT project personnel costs </w:t>
            </w:r>
            <w:r>
              <w:rPr>
                <w:rFonts w:ascii="Times New Roman" w:cs="Times New Roman" w:eastAsia="Times New Roman" w:hAnsi="Times New Roman"/>
                <w:sz w:val="21"/>
                <w:szCs w:val="21"/>
                <w:color w:val="auto"/>
                <w:vertAlign w:val="superscript"/>
              </w:rPr>
              <w:t>(b)</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30"/>
        </w:trPr>
        <w:tc>
          <w:tcPr>
            <w:tcW w:w="568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(c)</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20"/>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13.5</w:t>
            </w:r>
          </w:p>
        </w:tc>
      </w:tr>
      <w:tr>
        <w:trPr>
          <w:trHeight w:val="23"/>
        </w:trPr>
        <w:tc>
          <w:tcPr>
            <w:tcW w:w="5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pacing w:after="0" w:line="130" w:lineRule="exact"/>
        <w:rPr>
          <w:sz w:val="20"/>
          <w:szCs w:val="20"/>
          <w:color w:val="auto"/>
        </w:rPr>
      </w:pPr>
    </w:p>
    <w:p>
      <w:pPr>
        <w:jc w:val="both"/>
        <w:ind w:left="1300" w:hanging="496"/>
        <w:spacing w:after="0" w:line="258" w:lineRule="auto"/>
        <w:tabs>
          <w:tab w:leader="none" w:pos="129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third-party consulting fees incurred to assist in the project management, system architecture design, data cleansing and end-to-end systems integration of this transformative investment. The Company relies on external consultants for specialized technical capabilities, software configuration expertise, and program governance required exclusively for system deployment that the Company does not maintain internally. These costs are incremental to the Company’s normal IT costs and will not be incurred following implementation.</w:t>
      </w:r>
    </w:p>
    <w:p>
      <w:pPr>
        <w:spacing w:after="0" w:line="21" w:lineRule="exact"/>
        <w:rPr>
          <w:rFonts w:ascii="Times New Roman" w:cs="Times New Roman" w:eastAsia="Times New Roman" w:hAnsi="Times New Roman"/>
          <w:sz w:val="18"/>
          <w:szCs w:val="18"/>
          <w:color w:val="auto"/>
        </w:rPr>
      </w:pPr>
    </w:p>
    <w:p>
      <w:pPr>
        <w:jc w:val="both"/>
        <w:ind w:left="1300" w:hanging="496"/>
        <w:spacing w:after="0" w:line="258" w:lineRule="auto"/>
        <w:tabs>
          <w:tab w:leader="none" w:pos="12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incremental labor costs associated with internal IT project management teams dedicated exclusively to the system implementations. Given the magnitude and transformative nature of the implementations planned, the necessary project management costs are incremental to historical levels of spend. These costs are directly and exclusively attributable to the implementation phase of the project and are not representative of the costs expected after the implementation activities are substantially complete.</w:t>
      </w:r>
    </w:p>
    <w:p>
      <w:pPr>
        <w:spacing w:after="0" w:line="21" w:lineRule="exact"/>
        <w:rPr>
          <w:rFonts w:ascii="Times New Roman" w:cs="Times New Roman" w:eastAsia="Times New Roman" w:hAnsi="Times New Roman"/>
          <w:sz w:val="18"/>
          <w:szCs w:val="18"/>
          <w:color w:val="auto"/>
        </w:rPr>
      </w:pPr>
    </w:p>
    <w:p>
      <w:pPr>
        <w:ind w:left="1300" w:right="20" w:hanging="496"/>
        <w:spacing w:after="0" w:line="282" w:lineRule="auto"/>
        <w:tabs>
          <w:tab w:leader="none" w:pos="129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various other expenses directly associated with the new system implementations, primarily including costs associated with software and other third-party diagnostic tools utilized for scoping and visioning of the project.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and twelve months ended September 30, 2025, the following items were adjusted, in accordance with the definitions above, to arrive at the non-GAAP financial measures:</w:t>
      </w:r>
    </w:p>
    <w:p>
      <w:pPr>
        <w:spacing w:after="0" w:line="189" w:lineRule="exact"/>
        <w:rPr>
          <w:sz w:val="20"/>
          <w:szCs w:val="20"/>
          <w:color w:val="auto"/>
        </w:rPr>
      </w:pPr>
    </w:p>
    <w:p>
      <w:pPr>
        <w:jc w:val="both"/>
        <w:ind w:left="640" w:hanging="322"/>
        <w:spacing w:after="0" w:line="261" w:lineRule="auto"/>
        <w:tabs>
          <w:tab w:leader="none" w:pos="63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Loss from discontinued operations, net of tax, associated with the Hawthorne business was $24.5 million and $36.9 million for the three and twelve months ended September 30, 2025, respectively. This includes a non tax-deductible loss of $17.7 million for the three and twelve months ended September 30, 2025 related to the divestiture of the Hawthorne professional horticulture business based in the Netherlands.</w:t>
      </w:r>
    </w:p>
    <w:p>
      <w:pPr>
        <w:spacing w:after="0" w:line="200" w:lineRule="exact"/>
        <w:rPr>
          <w:sz w:val="20"/>
          <w:szCs w:val="20"/>
          <w:color w:val="auto"/>
        </w:rPr>
      </w:pPr>
    </w:p>
    <w:p>
      <w:pPr>
        <w:spacing w:after="0" w:line="35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40"/>
          </w:cols>
          <w:pgMar w:left="820" w:top="111" w:right="339" w:bottom="1440" w:gutter="0" w:footer="0" w:header="0"/>
        </w:sectPr>
      </w:pPr>
    </w:p>
    <w:bookmarkStart w:id="16" w:name="page17"/>
    <w:bookmarkEnd w:id="16"/>
    <w:p>
      <w:pPr>
        <w:jc w:val="center"/>
        <w:ind w:right="150"/>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Footnotes to Preceding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970" w:hanging="322"/>
        <w:spacing w:after="0" w:line="255" w:lineRule="auto"/>
        <w:tabs>
          <w:tab w:leader="none" w:pos="9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twelve months ended September 30, 2025, the Company recorded employee and executive severance charges of $1.1 million and $6.1 million, respectively, in the “Cost of sales—impairment, restructuring and other” line in the Condensed Consolidated Statements of Operations and $1.5 million and $15.0 million, respectively, in the “Impairment, restructuring and other” line in the Condensed Consolidated Statements of Operations.</w:t>
      </w:r>
    </w:p>
    <w:p>
      <w:pPr>
        <w:spacing w:after="0" w:line="2" w:lineRule="exact"/>
        <w:rPr>
          <w:rFonts w:ascii="Times New Roman" w:cs="Times New Roman" w:eastAsia="Times New Roman" w:hAnsi="Times New Roman"/>
          <w:sz w:val="18"/>
          <w:szCs w:val="18"/>
          <w:color w:val="auto"/>
        </w:rPr>
      </w:pPr>
    </w:p>
    <w:p>
      <w:pPr>
        <w:jc w:val="both"/>
        <w:ind w:left="970" w:hanging="322"/>
        <w:spacing w:after="0" w:line="250" w:lineRule="auto"/>
        <w:tabs>
          <w:tab w:leader="none" w:pos="9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twelve months ended September 30, 2025, the Company recorded a charge of $7.5 million in the “Impairment, restructuring and other” line in the Condensed Consolidated Statements of Operations associated with a settlement agreement to resolve litigation with the former shareholders of a business that was acquired in fiscal 2021.</w:t>
      </w:r>
    </w:p>
    <w:p>
      <w:pPr>
        <w:spacing w:after="0" w:line="1" w:lineRule="exact"/>
        <w:rPr>
          <w:rFonts w:ascii="Times New Roman" w:cs="Times New Roman" w:eastAsia="Times New Roman" w:hAnsi="Times New Roman"/>
          <w:sz w:val="18"/>
          <w:szCs w:val="18"/>
          <w:color w:val="auto"/>
        </w:rPr>
      </w:pPr>
    </w:p>
    <w:p>
      <w:pPr>
        <w:jc w:val="both"/>
        <w:ind w:left="970" w:hanging="322"/>
        <w:spacing w:after="0" w:line="250" w:lineRule="auto"/>
        <w:tabs>
          <w:tab w:leader="none" w:pos="9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twelve months ended September 30, 2025, the Company recorded a non-cash loss of $0.0 million and $7.0 million, respectively, in the “Impairment, restructuring and other” line in the Condensed Consolidated Statements of Operations related to the exchange of its convertible debt investment in RIV Capital Inc. for non-voting exchangeable shares of FLUENT Corp. (formerly Cansortium Inc.).</w:t>
      </w:r>
    </w:p>
    <w:p>
      <w:pPr>
        <w:spacing w:after="0" w:line="1" w:lineRule="exact"/>
        <w:rPr>
          <w:rFonts w:ascii="Times New Roman" w:cs="Times New Roman" w:eastAsia="Times New Roman" w:hAnsi="Times New Roman"/>
          <w:sz w:val="18"/>
          <w:szCs w:val="18"/>
          <w:color w:val="auto"/>
        </w:rPr>
      </w:pPr>
    </w:p>
    <w:p>
      <w:pPr>
        <w:jc w:val="both"/>
        <w:ind w:left="970" w:hanging="322"/>
        <w:spacing w:after="0" w:line="250" w:lineRule="auto"/>
        <w:tabs>
          <w:tab w:leader="none" w:pos="9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2022, the Company began implementing a series of Company-wide organizational changes and initiatives intended to create operational and management-level efficiencies. As part of this restructuring initiative, the Company reduced the size of its supply chain network, reduced staffing levels and implemented other cost-reduction initiatives. During the three months ended September 30, 2025, costs associated with this restructuring initiative were not material. During the twelve months ended September 30, 2025, the Company recorded costs of $4.0 million in the “Cost of sales—impairment, restructuring and other” line in the Condensed Consolidated Statements of Operations associated with this restructuring initiative.</w:t>
      </w:r>
    </w:p>
    <w:p>
      <w:pPr>
        <w:spacing w:after="0" w:line="2" w:lineRule="exact"/>
        <w:rPr>
          <w:rFonts w:ascii="Times New Roman" w:cs="Times New Roman" w:eastAsia="Times New Roman" w:hAnsi="Times New Roman"/>
          <w:sz w:val="18"/>
          <w:szCs w:val="18"/>
          <w:color w:val="auto"/>
        </w:rPr>
      </w:pPr>
    </w:p>
    <w:p>
      <w:pPr>
        <w:jc w:val="both"/>
        <w:ind w:left="970" w:hanging="322"/>
        <w:spacing w:after="0" w:line="255" w:lineRule="auto"/>
        <w:tabs>
          <w:tab w:leader="none" w:pos="9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twelve months ended September 30, 2025, the Company recorded an impairment charge of $3.8 million associated with an equity method investment in the “Equity in (income) loss of unconsolidated affiliates” line in the Condensed Consolidated Statements of Operations.</w:t>
      </w:r>
    </w:p>
    <w:p>
      <w:pPr>
        <w:spacing w:after="0" w:line="213" w:lineRule="exact"/>
        <w:rPr>
          <w:sz w:val="20"/>
          <w:szCs w:val="20"/>
          <w:color w:val="auto"/>
        </w:rPr>
      </w:pPr>
    </w:p>
    <w:p>
      <w:pPr>
        <w:ind w:left="330"/>
        <w:spacing w:after="0"/>
        <w:rPr>
          <w:sz w:val="20"/>
          <w:szCs w:val="20"/>
          <w:color w:val="auto"/>
        </w:rPr>
      </w:pPr>
      <w:r>
        <w:rPr>
          <w:rFonts w:ascii="Times New Roman" w:cs="Times New Roman" w:eastAsia="Times New Roman" w:hAnsi="Times New Roman"/>
          <w:sz w:val="18"/>
          <w:szCs w:val="18"/>
          <w:u w:val="single" w:color="auto"/>
          <w:color w:val="auto"/>
        </w:rPr>
        <w:t>Forward Looking Non-GAAP Measures</w:t>
      </w:r>
    </w:p>
    <w:p>
      <w:pPr>
        <w:spacing w:after="0" w:line="27" w:lineRule="exact"/>
        <w:rPr>
          <w:sz w:val="20"/>
          <w:szCs w:val="20"/>
          <w:color w:val="auto"/>
        </w:rPr>
      </w:pPr>
    </w:p>
    <w:p>
      <w:pPr>
        <w:jc w:val="both"/>
        <w:ind w:left="330"/>
        <w:spacing w:after="0" w:line="251" w:lineRule="auto"/>
        <w:rPr>
          <w:sz w:val="20"/>
          <w:szCs w:val="20"/>
          <w:color w:val="auto"/>
        </w:rPr>
      </w:pPr>
      <w:r>
        <w:rPr>
          <w:rFonts w:ascii="Times New Roman" w:cs="Times New Roman" w:eastAsia="Times New Roman" w:hAnsi="Times New Roman"/>
          <w:sz w:val="18"/>
          <w:szCs w:val="18"/>
          <w:color w:val="auto"/>
        </w:rPr>
        <w:t>In this release, the Company presents certain forward-looking non-GAAP measures. The Company does not provide outlook on a GAAP basis because changes in the items that the Company excludes from GAAP to calculate the comparable non-GAAP measure, described above, can be dependent on future events that are less capable of being controlled or reliably predicted by management and are not part of the Company’s routine operating activities. Additionally, due to their unpredictability, management does not forecast many of the excluded items for internal use and therefore cannot create or rely on a GAAP outlook without unreasonable efforts. The occurrence, timing and amount of any of the items excluded from GAAP to calculate non-GAAP could significantly impact the Company’s GAAP results. As a result, the Company does not provide a reconciliation of forward-looking non-GAAP measures to GAAP measures, in reliance on the unreasonable efforts exception provided under Item 10(e)(1)(i)(B) of Regulation S-K.</w:t>
      </w:r>
    </w:p>
    <w:p>
      <w:pPr>
        <w:spacing w:after="0" w:line="221" w:lineRule="exact"/>
        <w:rPr>
          <w:sz w:val="20"/>
          <w:szCs w:val="20"/>
          <w:color w:val="auto"/>
        </w:rPr>
      </w:pPr>
    </w:p>
    <w:p>
      <w:pPr>
        <w:jc w:val="both"/>
        <w:ind w:left="330" w:hanging="330"/>
        <w:spacing w:after="0" w:line="261"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27, 2025, the Company determined that the Hawthorne business met the criteria to be classified as held for sale, and classified the related assets and liabilities as held for sale on the Condensed Consolidated Balance Sheets for all periods presented. Effective in its first quarter of fiscal 2026, the Company classified its results of operations for all periods presented to reflect the Hawthorne business as a discontinued operation. The Company completed the divestiture of its Hawthorne business in North America on April 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1070"/>
      </w:cols>
      <w:pgMar w:left="49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1"/>
    </w:lvl>
  </w:abstractNum>
  <w:abstractNum w:abstractNumId="2">
    <w:nsid w:val="7545E146"/>
    <w:multiLevelType w:val="hybridMultilevel"/>
    <w:lvl w:ilvl="0">
      <w:lvlJc w:val="left"/>
      <w:lvlText w:val="(%1)"/>
      <w:numFmt w:val="lowerLetter"/>
      <w:start w:val="3"/>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lvl w:ilvl="1">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2026-11-04T06:34:31Z</dcterms:created>
  <dcterms:modified xsi:type="dcterms:W3CDTF">2026-11-04T06:34:31Z</dcterms:modified>
</cp:coreProperties>
</file>