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 C. 20549</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JULY 1, 2006</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5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-7620</wp:posOffset>
            </wp:positionV>
            <wp:extent cx="1363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1-13292</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THE SCOTTS MIRACLE-GRO COMPANY</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5360" w:type="dxa"/>
            <w:vAlign w:val="bottom"/>
          </w:tcPr>
          <w:p>
            <w:pPr>
              <w:jc w:val="center"/>
              <w:ind w:right="1230"/>
              <w:spacing w:after="0"/>
              <w:rPr>
                <w:sz w:val="20"/>
                <w:szCs w:val="20"/>
                <w:color w:val="auto"/>
              </w:rPr>
            </w:pPr>
            <w:r>
              <w:rPr>
                <w:rFonts w:ascii="Arial" w:cs="Arial" w:eastAsia="Arial" w:hAnsi="Arial"/>
                <w:sz w:val="18"/>
                <w:szCs w:val="18"/>
                <w:color w:val="auto"/>
                <w:w w:val="95"/>
              </w:rPr>
              <w:t>OHIO</w:t>
            </w:r>
          </w:p>
        </w:tc>
        <w:tc>
          <w:tcPr>
            <w:tcW w:w="3960" w:type="dxa"/>
            <w:vAlign w:val="bottom"/>
          </w:tcPr>
          <w:p>
            <w:pPr>
              <w:jc w:val="right"/>
              <w:ind w:right="790"/>
              <w:spacing w:after="0"/>
              <w:rPr>
                <w:sz w:val="20"/>
                <w:szCs w:val="20"/>
                <w:color w:val="auto"/>
              </w:rPr>
            </w:pPr>
            <w:r>
              <w:rPr>
                <w:rFonts w:ascii="Arial" w:cs="Arial" w:eastAsia="Arial" w:hAnsi="Arial"/>
                <w:sz w:val="18"/>
                <w:szCs w:val="18"/>
                <w:color w:val="auto"/>
              </w:rPr>
              <w:t>31-1414921</w:t>
            </w:r>
          </w:p>
        </w:tc>
      </w:tr>
      <w:tr>
        <w:trPr>
          <w:trHeight w:val="216"/>
        </w:trPr>
        <w:tc>
          <w:tcPr>
            <w:tcW w:w="5360" w:type="dxa"/>
            <w:vAlign w:val="bottom"/>
          </w:tcPr>
          <w:p>
            <w:pPr>
              <w:jc w:val="center"/>
              <w:ind w:right="1230"/>
              <w:spacing w:after="0"/>
              <w:rPr>
                <w:sz w:val="20"/>
                <w:szCs w:val="20"/>
                <w:color w:val="auto"/>
              </w:rPr>
            </w:pPr>
            <w:r>
              <w:rPr>
                <w:rFonts w:ascii="Arial" w:cs="Arial" w:eastAsia="Arial" w:hAnsi="Arial"/>
                <w:sz w:val="18"/>
                <w:szCs w:val="18"/>
                <w:color w:val="auto"/>
                <w:w w:val="92"/>
              </w:rPr>
              <w:t>(State or Other Jurisdiction of</w:t>
            </w:r>
          </w:p>
        </w:tc>
        <w:tc>
          <w:tcPr>
            <w:tcW w:w="3960" w:type="dxa"/>
            <w:vAlign w:val="bottom"/>
          </w:tcPr>
          <w:p>
            <w:pPr>
              <w:jc w:val="center"/>
              <w:ind w:left="12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360" w:type="dxa"/>
            <w:vAlign w:val="bottom"/>
          </w:tcPr>
          <w:p>
            <w:pPr>
              <w:jc w:val="center"/>
              <w:ind w:right="1250"/>
              <w:spacing w:after="0"/>
              <w:rPr>
                <w:sz w:val="20"/>
                <w:szCs w:val="20"/>
                <w:color w:val="auto"/>
              </w:rPr>
            </w:pPr>
            <w:r>
              <w:rPr>
                <w:rFonts w:ascii="Arial" w:cs="Arial" w:eastAsia="Arial" w:hAnsi="Arial"/>
                <w:sz w:val="18"/>
                <w:szCs w:val="18"/>
                <w:color w:val="auto"/>
                <w:w w:val="92"/>
              </w:rPr>
              <w:t>Incorporation or Organization)</w:t>
            </w:r>
          </w:p>
        </w:tc>
        <w:tc>
          <w:tcPr>
            <w:tcW w:w="3960" w:type="dxa"/>
            <w:vAlign w:val="bottom"/>
          </w:tcPr>
          <w:p>
            <w:pPr>
              <w:spacing w:after="0"/>
              <w:rPr>
                <w:sz w:val="20"/>
                <w:szCs w:val="20"/>
                <w:color w:val="auto"/>
              </w:rPr>
            </w:pPr>
          </w:p>
        </w:tc>
      </w:tr>
      <w:tr>
        <w:trPr>
          <w:trHeight w:val="418"/>
        </w:trPr>
        <w:tc>
          <w:tcPr>
            <w:tcW w:w="5360" w:type="dxa"/>
            <w:vAlign w:val="bottom"/>
          </w:tcPr>
          <w:p>
            <w:pPr>
              <w:jc w:val="center"/>
              <w:ind w:right="1250"/>
              <w:spacing w:after="0"/>
              <w:rPr>
                <w:sz w:val="20"/>
                <w:szCs w:val="20"/>
                <w:color w:val="auto"/>
              </w:rPr>
            </w:pPr>
            <w:r>
              <w:rPr>
                <w:rFonts w:ascii="Arial" w:cs="Arial" w:eastAsia="Arial" w:hAnsi="Arial"/>
                <w:sz w:val="18"/>
                <w:szCs w:val="18"/>
                <w:color w:val="auto"/>
                <w:w w:val="96"/>
              </w:rPr>
              <w:t>14111 SCOTTSLAWN ROAD, MARYSVILLE, OHIO</w:t>
            </w:r>
          </w:p>
        </w:tc>
        <w:tc>
          <w:tcPr>
            <w:tcW w:w="3960" w:type="dxa"/>
            <w:vAlign w:val="bottom"/>
          </w:tcPr>
          <w:p>
            <w:pPr>
              <w:jc w:val="right"/>
              <w:ind w:right="990"/>
              <w:spacing w:after="0"/>
              <w:rPr>
                <w:sz w:val="20"/>
                <w:szCs w:val="20"/>
                <w:color w:val="auto"/>
              </w:rPr>
            </w:pPr>
            <w:r>
              <w:rPr>
                <w:rFonts w:ascii="Arial" w:cs="Arial" w:eastAsia="Arial" w:hAnsi="Arial"/>
                <w:sz w:val="18"/>
                <w:szCs w:val="18"/>
                <w:color w:val="auto"/>
              </w:rPr>
              <w:t>43041</w:t>
            </w:r>
          </w:p>
        </w:tc>
      </w:tr>
      <w:tr>
        <w:trPr>
          <w:trHeight w:val="230"/>
        </w:trPr>
        <w:tc>
          <w:tcPr>
            <w:tcW w:w="5360" w:type="dxa"/>
            <w:vAlign w:val="bottom"/>
          </w:tcPr>
          <w:p>
            <w:pPr>
              <w:jc w:val="center"/>
              <w:ind w:right="1250"/>
              <w:spacing w:after="0"/>
              <w:rPr>
                <w:sz w:val="20"/>
                <w:szCs w:val="20"/>
                <w:color w:val="auto"/>
              </w:rPr>
            </w:pPr>
            <w:r>
              <w:rPr>
                <w:rFonts w:ascii="Arial" w:cs="Arial" w:eastAsia="Arial" w:hAnsi="Arial"/>
                <w:sz w:val="18"/>
                <w:szCs w:val="18"/>
                <w:color w:val="auto"/>
                <w:w w:val="92"/>
              </w:rPr>
              <w:t>(Address of Principal Executive Offices)</w:t>
            </w:r>
          </w:p>
        </w:tc>
        <w:tc>
          <w:tcPr>
            <w:tcW w:w="3960" w:type="dxa"/>
            <w:vAlign w:val="bottom"/>
          </w:tcPr>
          <w:p>
            <w:pPr>
              <w:jc w:val="center"/>
              <w:ind w:left="1230"/>
              <w:spacing w:after="0"/>
              <w:rPr>
                <w:sz w:val="20"/>
                <w:szCs w:val="20"/>
                <w:color w:val="auto"/>
              </w:rPr>
            </w:pPr>
            <w:r>
              <w:rPr>
                <w:rFonts w:ascii="Arial" w:cs="Arial" w:eastAsia="Arial" w:hAnsi="Arial"/>
                <w:sz w:val="18"/>
                <w:szCs w:val="18"/>
                <w:color w:val="auto"/>
                <w:w w:val="94"/>
              </w:rPr>
              <w:t>(Zip Code)</w:t>
            </w:r>
          </w:p>
        </w:tc>
      </w:tr>
    </w:tbl>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(937) 644-0011</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 CHANGE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(Former Name, Former Address and Former Fiscal Year,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if Changed Since Last Report)</w:t>
      </w:r>
    </w:p>
    <w:p>
      <w:pPr>
        <w:spacing w:after="0" w:line="103" w:lineRule="exact"/>
        <w:rPr>
          <w:sz w:val="20"/>
          <w:szCs w:val="20"/>
          <w:color w:val="auto"/>
        </w:rPr>
      </w:pPr>
    </w:p>
    <w:p>
      <w:pPr>
        <w:ind w:right="1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3000"/>
        <w:spacing w:after="0" w:line="207" w:lineRule="exact"/>
        <w:tabs>
          <w:tab w:leader="none" w:pos="5120" w:val="left"/>
          <w:tab w:leader="none" w:pos="67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 o</w:t>
      </w:r>
      <w:r>
        <w:rPr>
          <w:sz w:val="20"/>
          <w:szCs w:val="20"/>
          <w:color w:val="auto"/>
        </w:rPr>
        <w:tab/>
      </w:r>
      <w:r>
        <w:rPr>
          <w:rFonts w:ascii="Arial" w:cs="Arial" w:eastAsia="Arial" w:hAnsi="Arial"/>
          <w:sz w:val="16"/>
          <w:szCs w:val="16"/>
          <w:color w:val="auto"/>
        </w:rPr>
        <w:t>Non-accelerated Filer o</w:t>
      </w:r>
    </w:p>
    <w:p>
      <w:pPr>
        <w:spacing w:after="0" w:line="75"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number of Common Shares, without par value, of the registrant outstanding as of August 3, 2006 was 66,825,805.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THE SCOTTS MIRACLE-GRO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40" w:type="dxa"/>
            <w:vAlign w:val="bottom"/>
            <w:gridSpan w:val="21"/>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PAGE NO.</w:t>
            </w:r>
          </w:p>
        </w:tc>
        <w:tc>
          <w:tcPr>
            <w:tcW w:w="0" w:type="dxa"/>
            <w:vAlign w:val="bottom"/>
          </w:tcPr>
          <w:p>
            <w:pPr>
              <w:spacing w:after="0"/>
              <w:rPr>
                <w:sz w:val="1"/>
                <w:szCs w:val="1"/>
                <w:color w:val="auto"/>
              </w:rPr>
            </w:pPr>
          </w:p>
        </w:tc>
      </w:tr>
      <w:tr>
        <w:trPr>
          <w:trHeight w:val="169"/>
        </w:trPr>
        <w:tc>
          <w:tcPr>
            <w:tcW w:w="10740" w:type="dxa"/>
            <w:vAlign w:val="bottom"/>
            <w:gridSpan w:val="21"/>
            <w:vMerge w:val="continue"/>
          </w:tcPr>
          <w:p>
            <w:pPr>
              <w:spacing w:after="0"/>
              <w:rPr>
                <w:sz w:val="14"/>
                <w:szCs w:val="14"/>
                <w:color w:val="auto"/>
              </w:rPr>
            </w:pPr>
          </w:p>
        </w:tc>
        <w:tc>
          <w:tcPr>
            <w:tcW w:w="680" w:type="dxa"/>
            <w:vAlign w:val="bottom"/>
          </w:tcPr>
          <w:p>
            <w:pPr>
              <w:jc w:val="right"/>
              <w:ind w:right="171"/>
              <w:spacing w:after="0" w:line="17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340" w:type="dxa"/>
            <w:vAlign w:val="bottom"/>
            <w:tcBorders>
              <w:top w:val="single" w:sz="8" w:color="0000EE"/>
            </w:tcBorders>
            <w:gridSpan w:val="3"/>
          </w:tcPr>
          <w:p>
            <w:pPr>
              <w:spacing w:after="0"/>
              <w:rPr>
                <w:sz w:val="17"/>
                <w:szCs w:val="17"/>
                <w:color w:val="auto"/>
              </w:rPr>
            </w:pPr>
          </w:p>
        </w:tc>
        <w:tc>
          <w:tcPr>
            <w:tcW w:w="20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7800" w:type="dxa"/>
            <w:vAlign w:val="bottom"/>
            <w:gridSpan w:val="8"/>
          </w:tcPr>
          <w:p>
            <w:pPr>
              <w:spacing w:after="0"/>
              <w:rPr>
                <w:sz w:val="17"/>
                <w:szCs w:val="17"/>
                <w:color w:val="auto"/>
              </w:rPr>
            </w:pPr>
          </w:p>
        </w:tc>
        <w:tc>
          <w:tcPr>
            <w:tcW w:w="68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 Three and nine months ended July 1, 2006 and July 2, 2005</w:t>
              </w:r>
            </w:hyperlink>
          </w:p>
        </w:tc>
        <w:tc>
          <w:tcPr>
            <w:tcW w:w="68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 Nine months ended July 1, 2006 and July 2, 2005</w:t>
              </w:r>
            </w:hyperlink>
          </w:p>
        </w:tc>
        <w:tc>
          <w:tcPr>
            <w:tcW w:w="660" w:type="dxa"/>
            <w:vAlign w:val="bottom"/>
            <w:tcBorders>
              <w:top w:val="single" w:sz="8" w:color="0000EE"/>
            </w:tcBorders>
          </w:tcPr>
          <w:p>
            <w:pPr>
              <w:spacing w:after="0"/>
              <w:rPr>
                <w:sz w:val="17"/>
                <w:szCs w:val="17"/>
                <w:color w:val="auto"/>
              </w:rPr>
            </w:pPr>
          </w:p>
        </w:tc>
        <w:tc>
          <w:tcPr>
            <w:tcW w:w="1620" w:type="dxa"/>
            <w:vAlign w:val="bottom"/>
          </w:tcPr>
          <w:p>
            <w:pPr>
              <w:spacing w:after="0"/>
              <w:rPr>
                <w:sz w:val="17"/>
                <w:szCs w:val="17"/>
                <w:color w:val="auto"/>
              </w:rPr>
            </w:pPr>
          </w:p>
        </w:tc>
        <w:tc>
          <w:tcPr>
            <w:tcW w:w="68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 — July 1, 2006, July 2, 2005 and September 30, 2005</w:t>
              </w:r>
            </w:hyperlink>
          </w:p>
        </w:tc>
        <w:tc>
          <w:tcPr>
            <w:tcW w:w="68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2860" w:type="dxa"/>
            <w:vAlign w:val="bottom"/>
            <w:tcBorders>
              <w:top w:val="single" w:sz="8" w:color="0000EE"/>
            </w:tcBorders>
            <w:gridSpan w:val="4"/>
          </w:tcPr>
          <w:p>
            <w:pPr>
              <w:spacing w:after="0"/>
              <w:rPr>
                <w:sz w:val="17"/>
                <w:szCs w:val="17"/>
                <w:color w:val="auto"/>
              </w:rPr>
            </w:pPr>
          </w:p>
        </w:tc>
        <w:tc>
          <w:tcPr>
            <w:tcW w:w="2980" w:type="dxa"/>
            <w:vAlign w:val="bottom"/>
            <w:gridSpan w:val="3"/>
          </w:tcPr>
          <w:p>
            <w:pPr>
              <w:spacing w:after="0"/>
              <w:rPr>
                <w:sz w:val="17"/>
                <w:szCs w:val="17"/>
                <w:color w:val="auto"/>
              </w:rPr>
            </w:pPr>
          </w:p>
        </w:tc>
        <w:tc>
          <w:tcPr>
            <w:tcW w:w="68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2.</w:t>
              </w:r>
            </w:hyperlink>
          </w:p>
        </w:tc>
        <w:tc>
          <w:tcPr>
            <w:tcW w:w="340" w:type="dxa"/>
            <w:vAlign w:val="bottom"/>
            <w:gridSpan w:val="3"/>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3.</w:t>
              </w:r>
            </w:hyperlink>
          </w:p>
        </w:tc>
        <w:tc>
          <w:tcPr>
            <w:tcW w:w="340" w:type="dxa"/>
            <w:vAlign w:val="bottom"/>
            <w:gridSpan w:val="3"/>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68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4.</w:t>
              </w:r>
            </w:hyperlink>
          </w:p>
        </w:tc>
        <w:tc>
          <w:tcPr>
            <w:tcW w:w="340" w:type="dxa"/>
            <w:vAlign w:val="bottom"/>
            <w:gridSpan w:val="3"/>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68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PART II. OTHER INFORMATION:</w:t>
              </w:r>
            </w:hyperlink>
          </w:p>
        </w:tc>
        <w:tc>
          <w:tcPr>
            <w:tcW w:w="8100" w:type="dxa"/>
            <w:vAlign w:val="bottom"/>
            <w:gridSpan w:val="9"/>
          </w:tcPr>
          <w:p>
            <w:pPr>
              <w:spacing w:after="0"/>
              <w:rPr>
                <w:sz w:val="17"/>
                <w:szCs w:val="17"/>
                <w:color w:val="auto"/>
              </w:rPr>
            </w:pPr>
          </w:p>
        </w:tc>
        <w:tc>
          <w:tcPr>
            <w:tcW w:w="68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1.</w:t>
              </w:r>
            </w:hyperlink>
          </w:p>
        </w:tc>
        <w:tc>
          <w:tcPr>
            <w:tcW w:w="340" w:type="dxa"/>
            <w:vAlign w:val="bottom"/>
            <w:gridSpan w:val="3"/>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68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7"/>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1A.</w:t>
              </w:r>
            </w:hyperlink>
          </w:p>
        </w:tc>
        <w:tc>
          <w:tcPr>
            <w:tcW w:w="9880" w:type="dxa"/>
            <w:vAlign w:val="bottom"/>
            <w:gridSpan w:val="1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68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68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20" w:type="dxa"/>
            <w:vAlign w:val="bottom"/>
            <w:tcBorders>
              <w:left w:val="single" w:sz="8" w:color="0000EE"/>
            </w:tcBorders>
            <w:gridSpan w:val="7"/>
            <w:shd w:val="clear" w:color="auto" w:fill="0000EE"/>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5.</w:t>
              </w:r>
            </w:hyperlink>
          </w:p>
        </w:tc>
        <w:tc>
          <w:tcPr>
            <w:tcW w:w="340" w:type="dxa"/>
            <w:vAlign w:val="bottom"/>
            <w:gridSpan w:val="3"/>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68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560" w:type="dxa"/>
            <w:vAlign w:val="bottom"/>
            <w:gridSpan w:val="1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6.</w:t>
              </w:r>
            </w:hyperlink>
          </w:p>
        </w:tc>
        <w:tc>
          <w:tcPr>
            <w:tcW w:w="340" w:type="dxa"/>
            <w:vAlign w:val="bottom"/>
            <w:gridSpan w:val="3"/>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68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Signatures</w:t>
              </w:r>
            </w:hyperlink>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8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500" w:type="dxa"/>
            <w:vAlign w:val="bottom"/>
            <w:gridSpan w:val="1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4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Index to Exhibits</w:t>
              </w:r>
            </w:hyperlink>
          </w:p>
        </w:tc>
        <w:tc>
          <w:tcPr>
            <w:tcW w:w="68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Borders>
              <w:top w:val="single" w:sz="8" w:color="auto"/>
            </w:tcBorders>
            <w:gridSpan w:val="3"/>
          </w:tcPr>
          <w:p>
            <w:pPr>
              <w:jc w:val="right"/>
              <w:ind w:right="720"/>
              <w:spacing w:after="0" w:line="119" w:lineRule="exact"/>
              <w:rPr>
                <w:sz w:val="20"/>
                <w:szCs w:val="20"/>
                <w:color w:val="auto"/>
              </w:rPr>
            </w:pPr>
            <w:r>
              <w:rPr>
                <w:rFonts w:ascii="Arial" w:cs="Arial" w:eastAsia="Arial" w:hAnsi="Arial"/>
                <w:sz w:val="13"/>
                <w:szCs w:val="13"/>
                <w:b w:val="1"/>
                <w:bCs w:val="1"/>
                <w:color w:val="auto"/>
              </w:rPr>
              <w:t>JULY 1,</w:t>
            </w: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1"/>
              <w:spacing w:after="0" w:line="119" w:lineRule="exact"/>
              <w:rPr>
                <w:sz w:val="20"/>
                <w:szCs w:val="20"/>
                <w:color w:val="auto"/>
              </w:rPr>
            </w:pPr>
            <w:r>
              <w:rPr>
                <w:rFonts w:ascii="Arial" w:cs="Arial" w:eastAsia="Arial" w:hAnsi="Arial"/>
                <w:sz w:val="13"/>
                <w:szCs w:val="13"/>
                <w:b w:val="1"/>
                <w:bCs w:val="1"/>
                <w:color w:val="auto"/>
              </w:rPr>
              <w:t>JULY 2,</w:t>
            </w:r>
          </w:p>
        </w:tc>
        <w:tc>
          <w:tcPr>
            <w:tcW w:w="66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JULY 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1"/>
              <w:spacing w:after="0" w:line="119" w:lineRule="exact"/>
              <w:rPr>
                <w:sz w:val="20"/>
                <w:szCs w:val="20"/>
                <w:color w:val="auto"/>
              </w:rPr>
            </w:pPr>
            <w:r>
              <w:rPr>
                <w:rFonts w:ascii="Arial" w:cs="Arial" w:eastAsia="Arial" w:hAnsi="Arial"/>
                <w:sz w:val="13"/>
                <w:szCs w:val="13"/>
                <w:b w:val="1"/>
                <w:bCs w:val="1"/>
                <w:color w:val="auto"/>
              </w:rPr>
              <w:t>JULY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1,048.0</w:t>
            </w:r>
          </w:p>
        </w:tc>
        <w:tc>
          <w:tcPr>
            <w:tcW w:w="6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2,205.0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1,961.1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Cost of sales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642.0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567.4</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1,399.0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1,238.5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restructuring and other</w:t>
            </w:r>
          </w:p>
        </w:tc>
        <w:tc>
          <w:tcPr>
            <w:tcW w:w="13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5160" w:type="dxa"/>
            <w:vAlign w:val="bottom"/>
          </w:tcPr>
          <w:p>
            <w:pPr>
              <w:ind w:left="620"/>
              <w:spacing w:after="0"/>
              <w:rPr>
                <w:sz w:val="20"/>
                <w:szCs w:val="20"/>
                <w:color w:val="auto"/>
              </w:rPr>
            </w:pPr>
            <w:r>
              <w:rPr>
                <w:rFonts w:ascii="Arial" w:cs="Arial" w:eastAsia="Arial" w:hAnsi="Arial"/>
                <w:sz w:val="18"/>
                <w:szCs w:val="18"/>
                <w:color w:val="auto"/>
              </w:rPr>
              <w:t>Gross profit</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180.2</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489.4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restructuring and other charges</w:t>
            </w:r>
          </w:p>
        </w:tc>
        <w:tc>
          <w:tcPr>
            <w:tcW w:w="13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56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operations</w:t>
            </w:r>
          </w:p>
        </w:tc>
        <w:tc>
          <w:tcPr>
            <w:tcW w:w="13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13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Income taxes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107.5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3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516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133.3</w:t>
            </w:r>
          </w:p>
        </w:tc>
        <w:tc>
          <w:tcPr>
            <w:tcW w:w="6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BASIC INCOME PER COMMON SHARE:</w:t>
            </w: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common shares outstanding during the period</w:t>
            </w:r>
          </w:p>
        </w:tc>
        <w:tc>
          <w:tcPr>
            <w:tcW w:w="13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Basic income per common share:</w:t>
            </w: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6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516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6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DILUTED INCOME PER COMMON SHARE:</w:t>
            </w: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common shares outstanding during the period</w:t>
            </w:r>
          </w:p>
        </w:tc>
        <w:tc>
          <w:tcPr>
            <w:tcW w:w="13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Diluted income per common share:</w:t>
            </w: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6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516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6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6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6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.375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40" w:type="dxa"/>
            <w:vAlign w:val="bottom"/>
            <w:gridSpan w:val="2"/>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60" w:type="dxa"/>
            <w:vAlign w:val="bottom"/>
            <w:gridSpan w:val="6"/>
          </w:tcPr>
          <w:p>
            <w:pPr>
              <w:jc w:val="center"/>
              <w:ind w:left="3490"/>
              <w:spacing w:after="0"/>
              <w:rPr>
                <w:sz w:val="20"/>
                <w:szCs w:val="20"/>
                <w:color w:val="auto"/>
              </w:rPr>
            </w:pPr>
            <w:r>
              <w:rPr>
                <w:rFonts w:ascii="Arial" w:cs="Arial" w:eastAsia="Arial" w:hAnsi="Arial"/>
                <w:sz w:val="18"/>
                <w:szCs w:val="18"/>
                <w:color w:val="auto"/>
                <w:w w:val="88"/>
              </w:rPr>
              <w:t>See notes to condensed, consolidated financial statements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160" w:type="dxa"/>
            <w:vAlign w:val="bottom"/>
          </w:tcPr>
          <w:p>
            <w:pPr>
              <w:spacing w:after="0"/>
              <w:rPr>
                <w:sz w:val="24"/>
                <w:szCs w:val="24"/>
                <w:color w:val="auto"/>
              </w:rPr>
            </w:pPr>
          </w:p>
        </w:tc>
        <w:tc>
          <w:tcPr>
            <w:tcW w:w="1380" w:type="dxa"/>
            <w:vAlign w:val="bottom"/>
          </w:tcPr>
          <w:p>
            <w:pPr>
              <w:jc w:val="right"/>
              <w:ind w:right="69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1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5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JULY 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0"/>
              <w:spacing w:after="0" w:line="119" w:lineRule="exact"/>
              <w:rPr>
                <w:sz w:val="20"/>
                <w:szCs w:val="20"/>
                <w:color w:val="auto"/>
              </w:rPr>
            </w:pPr>
            <w:r>
              <w:rPr>
                <w:rFonts w:ascii="Arial" w:cs="Arial" w:eastAsia="Arial" w:hAnsi="Arial"/>
                <w:sz w:val="13"/>
                <w:szCs w:val="13"/>
                <w:b w:val="1"/>
                <w:bCs w:val="1"/>
                <w:color w:val="auto"/>
              </w:rPr>
              <w:t>JULY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income</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175.4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Impairment of intangible assets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38.4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Deferred taxes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 net of acquired businesses: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(314.3)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00"/>
              <w:spacing w:after="0"/>
              <w:rPr>
                <w:sz w:val="20"/>
                <w:szCs w:val="20"/>
                <w:color w:val="auto"/>
              </w:rPr>
            </w:pPr>
            <w:r>
              <w:rPr>
                <w:rFonts w:ascii="Arial" w:cs="Arial" w:eastAsia="Arial" w:hAnsi="Arial"/>
                <w:sz w:val="18"/>
                <w:szCs w:val="18"/>
                <w:color w:val="auto"/>
              </w:rPr>
              <w:t>Prepaid and other current assets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00"/>
              <w:spacing w:after="0"/>
              <w:rPr>
                <w:sz w:val="20"/>
                <w:szCs w:val="20"/>
                <w:color w:val="auto"/>
              </w:rPr>
            </w:pPr>
            <w:r>
              <w:rPr>
                <w:rFonts w:ascii="Arial" w:cs="Arial" w:eastAsia="Arial" w:hAnsi="Arial"/>
                <w:sz w:val="18"/>
                <w:szCs w:val="18"/>
                <w:color w:val="auto"/>
              </w:rPr>
              <w:t>Accrued taxes and liabilities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77.2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Restructuring reserves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00"/>
              <w:spacing w:after="0"/>
              <w:rPr>
                <w:sz w:val="20"/>
                <w:szCs w:val="20"/>
                <w:color w:val="auto"/>
              </w:rPr>
            </w:pPr>
            <w:r>
              <w:rPr>
                <w:rFonts w:ascii="Arial" w:cs="Arial" w:eastAsia="Arial" w:hAnsi="Arial"/>
                <w:sz w:val="18"/>
                <w:szCs w:val="18"/>
                <w:color w:val="auto"/>
              </w:rPr>
              <w:t>Other non-current items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7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Redemption of available for sale securities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property, plant and equipment</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Investment in acquired businesses, net of cash acquired</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(119.3)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439"/>
        </w:trPr>
        <w:tc>
          <w:tcPr>
            <w:tcW w:w="75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7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under revolving and bank lines of credit</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706.4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Repayments under revolving and bank lines of credit</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(495.7)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term loans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(25.2)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common shares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Financing fees, net</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seller notes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Excess tax benefits from share-based payment arrangements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received from the exercise of stock options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7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Net (decrease) increase in cash</w:t>
            </w:r>
          </w:p>
        </w:tc>
        <w:tc>
          <w:tcPr>
            <w:tcW w:w="1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7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Interest paid, net of interest capitalized</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34.3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(received) paid</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5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340" w:type="dxa"/>
            <w:vAlign w:val="bottom"/>
            <w:gridSpan w:val="3"/>
          </w:tcPr>
          <w:p>
            <w:pPr>
              <w:jc w:val="right"/>
              <w:ind w:right="740"/>
              <w:spacing w:after="0" w:line="119" w:lineRule="exact"/>
              <w:rPr>
                <w:sz w:val="20"/>
                <w:szCs w:val="20"/>
                <w:color w:val="auto"/>
              </w:rPr>
            </w:pPr>
            <w:r>
              <w:rPr>
                <w:rFonts w:ascii="Arial" w:cs="Arial" w:eastAsia="Arial" w:hAnsi="Arial"/>
                <w:sz w:val="13"/>
                <w:szCs w:val="13"/>
                <w:b w:val="1"/>
                <w:bCs w:val="1"/>
                <w:color w:val="auto"/>
              </w:rPr>
              <w:t>JULY 1,</w:t>
            </w: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JULY 2,</w:t>
            </w:r>
          </w:p>
        </w:tc>
        <w:tc>
          <w:tcPr>
            <w:tcW w:w="66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ind w:left="450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176.8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Accounts receivable, less allowances of $11.4, $11.9 and $11.4, respectively</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662.1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545.1</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355.8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Prepaid and other assets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1,223.3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1,145.8</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w w:val="97"/>
              </w:rPr>
              <w:t>Property, plant and equipment, net of accumulated depreciation of $366.3, $344.7 and $322.4,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356.0</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326.9</w:t>
            </w: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422.6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472.9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445.0</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2,546.5</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2,359.3</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960"/>
              <w:spacing w:after="0"/>
              <w:rPr>
                <w:sz w:val="20"/>
                <w:szCs w:val="20"/>
                <w:color w:val="auto"/>
              </w:rPr>
            </w:pPr>
            <w:r>
              <w:rPr>
                <w:rFonts w:ascii="Arial" w:cs="Arial" w:eastAsia="Arial" w:hAnsi="Arial"/>
                <w:sz w:val="18"/>
                <w:szCs w:val="18"/>
                <w:color w:val="auto"/>
              </w:rPr>
              <w:t>LIABILITIES AND SHAREHOLDERS’ EQUITY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240.6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211.9</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318.7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Accrued taxes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616.8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613.2</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603.7</w:t>
            </w:r>
          </w:p>
        </w:tc>
        <w:tc>
          <w:tcPr>
            <w:tcW w:w="2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122.0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1,407.8</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1,342.5</w:t>
            </w: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shares and capital in excess of $.01 stated value per share, 66.9, 67.2 and 67.8</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issued, respectively</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464.8</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741.7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608.5</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shares, at cost; 1.2 shares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(56.5)</w:t>
            </w: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1,138.7</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1,016.8</w:t>
            </w:r>
          </w:p>
        </w:tc>
        <w:tc>
          <w:tcPr>
            <w:tcW w:w="66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2,546.5</w:t>
            </w:r>
          </w:p>
        </w:tc>
        <w:tc>
          <w:tcPr>
            <w:tcW w:w="6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2,359.3</w:t>
            </w: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17" w:lineRule="exact"/>
        <w:rPr>
          <w:sz w:val="20"/>
          <w:szCs w:val="20"/>
          <w:color w:val="auto"/>
        </w:rPr>
      </w:pPr>
    </w:p>
    <w:p>
      <w:pPr>
        <w:ind w:right="6740" w:firstLine="8"/>
        <w:spacing w:after="0" w:line="37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SIGNIFICANT ACCOUNTING POLICIES NATURE OF OPERATIONS</w:t>
      </w:r>
    </w:p>
    <w:p>
      <w:pPr>
        <w:spacing w:after="0" w:line="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Scotts Miracle-Gro Company (“Scotts Miracle-Gro”) and its subsidiaries (collectively, the “Company”) are engaged in the manufacture, marketing and sale of lawn and garden care products. The Company’s major customers include home improvement centers, mass merchandisers, warehouse clubs, large hardware chains, independent hardware stores, nurseries, garden centers, food and drug stores, commercial nurseries and greenhouses, and specialty crop growers. The Company’s products are sold primarily in North America and the European Union. The Company also operates the Scotts LawnService® business which provides lawn and tree and shrub fertilization, insect control and other related services in the United States and Smith &amp; Hawken®, a leading brand in the outdoor living and gardening lifestyle category. Effective November 18, 2005, the Company entered the North America wild bird food category with the acquisition of Gutwein &amp; Co. Inc. (“Gutwein”).</w:t>
      </w:r>
    </w:p>
    <w:p>
      <w:pPr>
        <w:spacing w:after="0" w:line="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Due to the nature of the lawn and garden business, the majority of shipments to retailers occur in the Company’s second and third fiscal quarters. On a combined basis, net sales for the second and third fiscal quarters generally represent 70% to 75% of annual net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ORGANIZATION AND BASIS OF PRESENTATION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condensed, consolidated financial statements are unaudited; however, in the opinion of management, these condensed, consolidated financial statements are presented in accordance with accounting principles generally accepted in the United States of America. The condensed, consolidated financial statements include the accounts of Scotts Miracle-Gro and all wholly-owned and majority-owned subsidiaries. All intercompany transactions and accounts have been eliminated in consolidation. The Company’s criteria for consolidating entities are based on majority ownership (as evidenced by a majority voting interest in the entity) and an objective evaluation and determination of effective management control. Interim results reflect all normal and recurring adjustments and are not necessarily indicative of results for a full year. The interim condensed, consolidated financial statements and notes are presented as specified by Regulation S-X of the Securities and Exchange Commission, and should be read in conjunction with the consolidated financial statements and accompanying notes in Scotts Miracle-Gro’s Annual Report on Form 10-K for the fiscal year ended September 30,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STOCK SPLIT</w:t>
      </w:r>
    </w:p>
    <w:p>
      <w:pPr>
        <w:spacing w:after="0" w:line="11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On November 9, 2005, the Company executed a 2-for-1 stock split to shareholders of record on November 2, 2005. All share and per share information included in these condensed, consolidated financial statements and notes thereto have been adjusted to reflect this stock split for all periods 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 is recognized when title and risk of loss transfer, which generally occurs when products are received by the customer. Provisions for estimated returns and allowances are recorded at the time revenue is recognized based on historical rates of returns and are periodically adjusted for known changes in return levels. Shipping and handling costs are included in cost of sales. Scotts LawnService® revenues are recognized at the time service is provided to the customer.</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terms of the Amended and Restated Exclusive Agency and Marketing Agreement (the “Marketing Agreement”) between the Company and Monsanto Company (“Monsanto”), the Company in its role as exclusive agent performs certain functions, such as sales support, merchandising, distribution and logistics on behalf of Monsanto, and incurs certain costs in support of the consumer Roundup® business. The actual costs incurred by the Company on behalf of Roundup® are recovered from Monsanto through the terms of the Marketing Agreement. The reimbursement of costs for which the Company is considered the primary obligor is included in net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PROMOTIONAL ALLOWANCES</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promotes its branded products through cooperative advertising programs with retailers. Retailers also are offered in-store promotional allowances and rebates based on sales volumes. Certain products are promoted with direct consumer rebate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programs and special purchasing incentives. Promotion costs (including allowances and rebates) incurred during the fiscal year are expensed to interim periods in relation to revenues and are recorded as a reduction of net sales. Accruals for expected payouts under these programs are included in the “Accrued liabilities” line in the Condensed,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advertises its branded products through national and regional media. Advertising costs incurred during the fiscal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5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Scotts LawnService® promotes its service offerings primarily through direct mail campaigns. External costs associated with these campaigns that qualify as direct response advertising costs are deferred and recognized as advertising expense in proportion to revenues over a period not beyond the end of the subsequent calendar year. Costs that are not direct advertising costs are expensed within the fiscal year incurred on a monthly basis in proportion to net sales. The costs deferred at July 1, 2006, July 2, 2005 and September 30, 2005 were $3.9 million, $3.9 million and $2.4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AWARDS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fiscal 2003, the Company began expensing prospective grants of employee share-based compensation awards in accordance with Statement of Financial Accounting Standards (SFAS) No. 123, “Accounting for Stock-Based Compensation.” The Company adopted SFAS 123(R), “Share-Based Payment” effective October 1, 2005, following the modified prospective application approach. The Company was already in substantial compliance with SFAS 123(R) at the adoption date as the standard closely parallels SFAS 123. The adoption of SFAS 123(R) did not have a significant effect on the Company’s results of operations for the three or nine-month periods ended July 1, 2006.</w:t>
      </w:r>
    </w:p>
    <w:p>
      <w:pPr>
        <w:spacing w:after="0" w:line="80" w:lineRule="exact"/>
        <w:rPr>
          <w:sz w:val="20"/>
          <w:szCs w:val="20"/>
          <w:color w:val="auto"/>
        </w:rPr>
      </w:pPr>
    </w:p>
    <w:p>
      <w:pPr>
        <w:ind w:right="520"/>
        <w:spacing w:after="0" w:line="291" w:lineRule="auto"/>
        <w:rPr>
          <w:sz w:val="20"/>
          <w:szCs w:val="20"/>
          <w:color w:val="auto"/>
        </w:rPr>
      </w:pPr>
      <w:r>
        <w:rPr>
          <w:rFonts w:ascii="Arial" w:cs="Arial" w:eastAsia="Arial" w:hAnsi="Arial"/>
          <w:sz w:val="16"/>
          <w:szCs w:val="16"/>
          <w:color w:val="auto"/>
        </w:rPr>
        <w:t>The Company grants share-based awards annually to officers and other key employees of the Company and non-employee directors. Historically, these awards primarily included options with exercise prices equal to the market price of the underlying common shares on the date of grant with a term of</w:t>
      </w:r>
    </w:p>
    <w:p>
      <w:pPr>
        <w:ind w:right="100"/>
        <w:spacing w:after="0" w:line="270" w:lineRule="auto"/>
        <w:rPr>
          <w:sz w:val="20"/>
          <w:szCs w:val="20"/>
          <w:color w:val="auto"/>
        </w:rPr>
      </w:pPr>
      <w:r>
        <w:rPr>
          <w:rFonts w:ascii="Arial" w:cs="Arial" w:eastAsia="Arial" w:hAnsi="Arial"/>
          <w:sz w:val="17"/>
          <w:szCs w:val="17"/>
          <w:color w:val="auto"/>
        </w:rPr>
        <w:t>10 years. The Company also has awarded stock appreciation rights (“SARs”) with a stated price determined by the closing price of the Company’s common shares on the date of the grant. SARs result in less dilution than option awards as the SAR holder receives a net share settlement upon exercise. In recent years, the Company also has begun to grant awards of restricted stock and performance shares. Generally, in respect of grants to employees, a three-year cliff vesting schedule is used for all share-based awards unless decided otherwise by the Compensation and Organization Committee of the Board of Directors. Grants to non-employee directors typically vest in one year or less. The Company uses newly issued common shares or treasury shares, if available, in conjunction with its share-based compensation awards.</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share-based awards had been made under plans approved by the shareholders in 1992, 1996, and 2003. On January 26, 2006, the shareholders of Scotts Miracle-Gro approved the 2006 Long-Term Incentive Plan, providing for the availability of an additional 4.9 million common shares of the Company for grants under the terms of that plan. As of July 1, 2006, the Company had approximately 5.0 million common shares not subject to outstanding awards and available to support the grant of new share-based awards.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recap of the share-based awards granted over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JULY 1, 2006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JULY 2, 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Key employees</w:t>
            </w:r>
          </w:p>
        </w:tc>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Options</w:t>
            </w:r>
          </w:p>
        </w:tc>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801,400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949,600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w:t>
            </w:r>
          </w:p>
        </w:tc>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Performance shares</w:t>
            </w:r>
          </w:p>
        </w:tc>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 — Options</w:t>
            </w:r>
          </w:p>
        </w:tc>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Total share-based awards</w:t>
            </w:r>
          </w:p>
        </w:tc>
        <w:tc>
          <w:tcPr>
            <w:tcW w:w="4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1,139,400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1,197,600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Aggregate fair value at grant dates (in millions)</w:t>
            </w:r>
          </w:p>
        </w:tc>
        <w:tc>
          <w:tcPr>
            <w:tcW w:w="4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260" w:type="dxa"/>
            <w:vAlign w:val="bottom"/>
          </w:tcPr>
          <w:p>
            <w:pPr>
              <w:jc w:val="right"/>
              <w:ind w:right="297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and the tax benefit recognized on the compensation expense were as follows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38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61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JULY 1, 2006</w:t>
            </w:r>
          </w:p>
        </w:tc>
        <w:tc>
          <w:tcPr>
            <w:tcW w:w="68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JULY 2, 2005</w:t>
            </w:r>
          </w:p>
        </w:tc>
        <w:tc>
          <w:tcPr>
            <w:tcW w:w="5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JULY 1, 2006</w:t>
            </w:r>
          </w:p>
        </w:tc>
        <w:tc>
          <w:tcPr>
            <w:tcW w:w="5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JULY 2, 2005</w:t>
            </w:r>
          </w:p>
        </w:tc>
      </w:tr>
      <w:tr>
        <w:trPr>
          <w:trHeight w:val="128"/>
        </w:trPr>
        <w:tc>
          <w:tcPr>
            <w:tcW w:w="6180" w:type="dxa"/>
            <w:vAlign w:val="bottom"/>
          </w:tcPr>
          <w:p>
            <w:pPr>
              <w:spacing w:after="0"/>
              <w:rPr>
                <w:sz w:val="11"/>
                <w:szCs w:val="11"/>
                <w:color w:val="auto"/>
              </w:rPr>
            </w:pPr>
          </w:p>
        </w:tc>
        <w:tc>
          <w:tcPr>
            <w:tcW w:w="2380" w:type="dxa"/>
            <w:vAlign w:val="bottom"/>
            <w:gridSpan w:val="3"/>
          </w:tcPr>
          <w:p>
            <w:pPr>
              <w:jc w:val="right"/>
              <w:ind w:right="608"/>
              <w:spacing w:after="0" w:line="128"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1"/>
                <w:szCs w:val="11"/>
                <w:color w:val="auto"/>
              </w:rPr>
            </w:pPr>
          </w:p>
        </w:tc>
        <w:tc>
          <w:tcPr>
            <w:tcW w:w="920" w:type="dxa"/>
            <w:vAlign w:val="bottom"/>
          </w:tcPr>
          <w:p>
            <w:pPr>
              <w:jc w:val="right"/>
              <w:spacing w:after="0" w:line="128" w:lineRule="exact"/>
              <w:rPr>
                <w:sz w:val="20"/>
                <w:szCs w:val="20"/>
                <w:color w:val="auto"/>
              </w:rPr>
            </w:pPr>
            <w:r>
              <w:rPr>
                <w:rFonts w:ascii="Arial" w:cs="Arial" w:eastAsia="Arial" w:hAnsi="Arial"/>
                <w:sz w:val="14"/>
                <w:szCs w:val="14"/>
                <w:b w:val="1"/>
                <w:bCs w:val="1"/>
                <w:color w:val="auto"/>
              </w:rPr>
              <w:t>(IN</w:t>
            </w:r>
          </w:p>
        </w:tc>
        <w:tc>
          <w:tcPr>
            <w:tcW w:w="1400" w:type="dxa"/>
            <w:vAlign w:val="bottom"/>
            <w:gridSpan w:val="2"/>
          </w:tcPr>
          <w:p>
            <w:pPr>
              <w:jc w:val="right"/>
              <w:ind w:right="568"/>
              <w:spacing w:after="0" w:line="128" w:lineRule="exact"/>
              <w:rPr>
                <w:sz w:val="20"/>
                <w:szCs w:val="20"/>
                <w:color w:val="auto"/>
              </w:rPr>
            </w:pPr>
            <w:r>
              <w:rPr>
                <w:rFonts w:ascii="Arial" w:cs="Arial" w:eastAsia="Arial" w:hAnsi="Arial"/>
                <w:sz w:val="14"/>
                <w:szCs w:val="14"/>
                <w:b w:val="1"/>
                <w:bCs w:val="1"/>
                <w:color w:val="auto"/>
              </w:rPr>
              <w:t>MILLIONS)</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40" w:type="dxa"/>
            <w:vAlign w:val="bottom"/>
          </w:tcPr>
          <w:p>
            <w:pPr>
              <w:jc w:val="right"/>
              <w:ind w:right="221"/>
              <w:spacing w:after="0"/>
              <w:rPr>
                <w:sz w:val="20"/>
                <w:szCs w:val="20"/>
                <w:color w:val="auto"/>
              </w:rPr>
            </w:pPr>
            <w:r>
              <w:rPr>
                <w:rFonts w:ascii="Arial" w:cs="Arial" w:eastAsia="Arial" w:hAnsi="Arial"/>
                <w:sz w:val="18"/>
                <w:szCs w:val="18"/>
                <w:color w:val="auto"/>
              </w:rPr>
              <w:t>$ 2.9</w:t>
            </w:r>
          </w:p>
        </w:tc>
        <w:tc>
          <w:tcPr>
            <w:tcW w:w="1540" w:type="dxa"/>
            <w:vAlign w:val="bottom"/>
            <w:gridSpan w:val="2"/>
          </w:tcPr>
          <w:p>
            <w:pPr>
              <w:jc w:val="right"/>
              <w:ind w:right="348"/>
              <w:spacing w:after="0"/>
              <w:rPr>
                <w:sz w:val="20"/>
                <w:szCs w:val="20"/>
                <w:color w:val="auto"/>
              </w:rPr>
            </w:pPr>
            <w:r>
              <w:rPr>
                <w:rFonts w:ascii="Arial" w:cs="Arial" w:eastAsia="Arial" w:hAnsi="Arial"/>
                <w:sz w:val="18"/>
                <w:szCs w:val="18"/>
                <w:color w:val="auto"/>
              </w:rPr>
              <w:t>$2.7</w:t>
            </w:r>
          </w:p>
        </w:tc>
        <w:tc>
          <w:tcPr>
            <w:tcW w:w="1460" w:type="dxa"/>
            <w:vAlign w:val="bottom"/>
            <w:gridSpan w:val="2"/>
          </w:tcPr>
          <w:p>
            <w:pPr>
              <w:jc w:val="right"/>
              <w:ind w:right="328"/>
              <w:spacing w:after="0"/>
              <w:rPr>
                <w:sz w:val="20"/>
                <w:szCs w:val="20"/>
                <w:color w:val="auto"/>
              </w:rPr>
            </w:pPr>
            <w:r>
              <w:rPr>
                <w:rFonts w:ascii="Arial" w:cs="Arial" w:eastAsia="Arial" w:hAnsi="Arial"/>
                <w:sz w:val="18"/>
                <w:szCs w:val="18"/>
                <w:color w:val="auto"/>
              </w:rPr>
              <w:t>$11.7</w:t>
            </w:r>
          </w:p>
        </w:tc>
        <w:tc>
          <w:tcPr>
            <w:tcW w:w="1400" w:type="dxa"/>
            <w:vAlign w:val="bottom"/>
            <w:gridSpan w:val="2"/>
          </w:tcPr>
          <w:p>
            <w:pPr>
              <w:jc w:val="right"/>
              <w:ind w:right="348"/>
              <w:spacing w:after="0"/>
              <w:rPr>
                <w:sz w:val="20"/>
                <w:szCs w:val="20"/>
                <w:color w:val="auto"/>
              </w:rPr>
            </w:pPr>
            <w:r>
              <w:rPr>
                <w:rFonts w:ascii="Arial" w:cs="Arial" w:eastAsia="Arial" w:hAnsi="Arial"/>
                <w:sz w:val="18"/>
                <w:szCs w:val="18"/>
                <w:color w:val="auto"/>
              </w:rPr>
              <w:t>$7.4</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Tax benefit recognized</w:t>
            </w:r>
          </w:p>
        </w:tc>
        <w:tc>
          <w:tcPr>
            <w:tcW w:w="840" w:type="dxa"/>
            <w:vAlign w:val="bottom"/>
          </w:tcPr>
          <w:p>
            <w:pPr>
              <w:jc w:val="right"/>
              <w:ind w:right="221"/>
              <w:spacing w:after="0"/>
              <w:rPr>
                <w:sz w:val="20"/>
                <w:szCs w:val="20"/>
                <w:color w:val="auto"/>
              </w:rPr>
            </w:pPr>
            <w:r>
              <w:rPr>
                <w:rFonts w:ascii="Arial" w:cs="Arial" w:eastAsia="Arial" w:hAnsi="Arial"/>
                <w:sz w:val="18"/>
                <w:szCs w:val="18"/>
                <w:color w:val="auto"/>
              </w:rPr>
              <w:t>1.1</w:t>
            </w:r>
          </w:p>
        </w:tc>
        <w:tc>
          <w:tcPr>
            <w:tcW w:w="1540" w:type="dxa"/>
            <w:vAlign w:val="bottom"/>
            <w:gridSpan w:val="2"/>
          </w:tcPr>
          <w:p>
            <w:pPr>
              <w:jc w:val="right"/>
              <w:ind w:right="348"/>
              <w:spacing w:after="0"/>
              <w:rPr>
                <w:sz w:val="20"/>
                <w:szCs w:val="20"/>
                <w:color w:val="auto"/>
              </w:rPr>
            </w:pPr>
            <w:r>
              <w:rPr>
                <w:rFonts w:ascii="Arial" w:cs="Arial" w:eastAsia="Arial" w:hAnsi="Arial"/>
                <w:sz w:val="18"/>
                <w:szCs w:val="18"/>
                <w:color w:val="auto"/>
              </w:rPr>
              <w:t>1.0</w:t>
            </w:r>
          </w:p>
        </w:tc>
        <w:tc>
          <w:tcPr>
            <w:tcW w:w="1460" w:type="dxa"/>
            <w:vAlign w:val="bottom"/>
            <w:gridSpan w:val="2"/>
          </w:tcPr>
          <w:p>
            <w:pPr>
              <w:jc w:val="right"/>
              <w:ind w:right="328"/>
              <w:spacing w:after="0"/>
              <w:rPr>
                <w:sz w:val="20"/>
                <w:szCs w:val="20"/>
                <w:color w:val="auto"/>
              </w:rPr>
            </w:pPr>
            <w:r>
              <w:rPr>
                <w:rFonts w:ascii="Arial" w:cs="Arial" w:eastAsia="Arial" w:hAnsi="Arial"/>
                <w:sz w:val="18"/>
                <w:szCs w:val="18"/>
                <w:color w:val="auto"/>
              </w:rPr>
              <w:t>4.4</w:t>
            </w:r>
          </w:p>
        </w:tc>
        <w:tc>
          <w:tcPr>
            <w:tcW w:w="1400" w:type="dxa"/>
            <w:vAlign w:val="bottom"/>
            <w:gridSpan w:val="2"/>
          </w:tcPr>
          <w:p>
            <w:pPr>
              <w:jc w:val="right"/>
              <w:ind w:right="348"/>
              <w:spacing w:after="0"/>
              <w:rPr>
                <w:sz w:val="20"/>
                <w:szCs w:val="20"/>
                <w:color w:val="auto"/>
              </w:rPr>
            </w:pPr>
            <w:r>
              <w:rPr>
                <w:rFonts w:ascii="Arial" w:cs="Arial" w:eastAsia="Arial" w:hAnsi="Arial"/>
                <w:sz w:val="18"/>
                <w:szCs w:val="18"/>
                <w:color w:val="auto"/>
              </w:rPr>
              <w:t>2.8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Options/SARs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Aggregate option and stock appreciation right award activity consists of the following (number of options/SARs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7"/>
              </w:rPr>
              <w:t>No. of Options</w:t>
            </w:r>
          </w:p>
        </w:tc>
        <w:tc>
          <w:tcPr>
            <w:tcW w:w="4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Weighted Average</w:t>
            </w:r>
          </w:p>
        </w:tc>
        <w:tc>
          <w:tcPr>
            <w:tcW w:w="2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460" w:type="dxa"/>
            <w:vAlign w:val="bottom"/>
          </w:tcPr>
          <w:p>
            <w:pPr>
              <w:spacing w:after="0"/>
              <w:rPr>
                <w:sz w:val="12"/>
                <w:szCs w:val="12"/>
                <w:color w:val="auto"/>
              </w:rPr>
            </w:pPr>
          </w:p>
        </w:tc>
        <w:tc>
          <w:tcPr>
            <w:tcW w:w="15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 SARs</w:t>
            </w:r>
          </w:p>
        </w:tc>
        <w:tc>
          <w:tcPr>
            <w:tcW w:w="4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2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2005</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6.4</w:t>
            </w:r>
          </w:p>
        </w:tc>
        <w:tc>
          <w:tcPr>
            <w:tcW w:w="18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$23.09</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0.9</w:t>
            </w:r>
          </w:p>
        </w:tc>
        <w:tc>
          <w:tcPr>
            <w:tcW w:w="1800" w:type="dxa"/>
            <w:vAlign w:val="bottom"/>
            <w:gridSpan w:val="2"/>
          </w:tcPr>
          <w:p>
            <w:pPr>
              <w:jc w:val="right"/>
              <w:ind w:right="488"/>
              <w:spacing w:after="0"/>
              <w:rPr>
                <w:sz w:val="20"/>
                <w:szCs w:val="20"/>
                <w:color w:val="auto"/>
              </w:rPr>
            </w:pPr>
            <w:r>
              <w:rPr>
                <w:rFonts w:ascii="Arial" w:cs="Arial" w:eastAsia="Arial" w:hAnsi="Arial"/>
                <w:sz w:val="18"/>
                <w:szCs w:val="18"/>
                <w:color w:val="auto"/>
              </w:rPr>
              <w:t>43.74</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18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20.14</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6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(0.2)</w:t>
            </w:r>
          </w:p>
        </w:tc>
        <w:tc>
          <w:tcPr>
            <w:tcW w:w="1800" w:type="dxa"/>
            <w:vAlign w:val="bottom"/>
            <w:gridSpan w:val="2"/>
          </w:tcPr>
          <w:p>
            <w:pPr>
              <w:jc w:val="right"/>
              <w:ind w:right="488"/>
              <w:spacing w:after="0"/>
              <w:rPr>
                <w:sz w:val="20"/>
                <w:szCs w:val="20"/>
                <w:color w:val="auto"/>
              </w:rPr>
            </w:pPr>
            <w:r>
              <w:rPr>
                <w:rFonts w:ascii="Arial" w:cs="Arial" w:eastAsia="Arial" w:hAnsi="Arial"/>
                <w:sz w:val="18"/>
                <w:szCs w:val="18"/>
                <w:color w:val="auto"/>
              </w:rPr>
              <w:t>34.66</w:t>
            </w: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July 1, 2006</w:t>
            </w:r>
          </w:p>
        </w:tc>
        <w:tc>
          <w:tcPr>
            <w:tcW w:w="36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26.08</w:t>
            </w:r>
          </w:p>
        </w:tc>
        <w:tc>
          <w:tcPr>
            <w:tcW w:w="4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6"/>
              </w:rPr>
              <w:t>5.9 years</w:t>
            </w:r>
          </w:p>
        </w:tc>
        <w:tc>
          <w:tcPr>
            <w:tcW w:w="1260" w:type="dxa"/>
            <w:vAlign w:val="bottom"/>
            <w:shd w:val="clear" w:color="auto" w:fill="CCEEFF"/>
          </w:tcPr>
          <w:p>
            <w:pPr>
              <w:jc w:val="right"/>
              <w:ind w:right="441"/>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60" w:type="dxa"/>
            <w:vAlign w:val="bottom"/>
            <w:gridSpan w:val="2"/>
          </w:tcPr>
          <w:p>
            <w:pPr>
              <w:spacing w:after="0"/>
              <w:rPr>
                <w:sz w:val="20"/>
                <w:szCs w:val="20"/>
                <w:color w:val="auto"/>
              </w:rPr>
            </w:pPr>
            <w:r>
              <w:rPr>
                <w:rFonts w:ascii="Arial" w:cs="Arial" w:eastAsia="Arial" w:hAnsi="Arial"/>
                <w:sz w:val="18"/>
                <w:szCs w:val="18"/>
                <w:color w:val="auto"/>
              </w:rPr>
              <w:t>Exercisable, July 1, 2006</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4.6</w:t>
            </w:r>
          </w:p>
        </w:tc>
        <w:tc>
          <w:tcPr>
            <w:tcW w:w="1800" w:type="dxa"/>
            <w:vAlign w:val="bottom"/>
            <w:gridSpan w:val="2"/>
          </w:tcPr>
          <w:p>
            <w:pPr>
              <w:jc w:val="right"/>
              <w:ind w:right="488"/>
              <w:spacing w:after="0"/>
              <w:rPr>
                <w:sz w:val="20"/>
                <w:szCs w:val="20"/>
                <w:color w:val="auto"/>
              </w:rPr>
            </w:pPr>
            <w:r>
              <w:rPr>
                <w:rFonts w:ascii="Arial" w:cs="Arial" w:eastAsia="Arial" w:hAnsi="Arial"/>
                <w:sz w:val="18"/>
                <w:szCs w:val="18"/>
                <w:color w:val="auto"/>
              </w:rPr>
              <w:t>22.64</w:t>
            </w:r>
          </w:p>
        </w:tc>
        <w:tc>
          <w:tcPr>
            <w:tcW w:w="460" w:type="dxa"/>
            <w:vAlign w:val="bottom"/>
          </w:tcPr>
          <w:p>
            <w:pPr>
              <w:spacing w:after="0"/>
              <w:rPr>
                <w:sz w:val="24"/>
                <w:szCs w:val="24"/>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color w:val="auto"/>
                <w:w w:val="86"/>
              </w:rPr>
              <w:t>5.1 years</w:t>
            </w:r>
          </w:p>
        </w:tc>
        <w:tc>
          <w:tcPr>
            <w:tcW w:w="1260" w:type="dxa"/>
            <w:vAlign w:val="bottom"/>
          </w:tcPr>
          <w:p>
            <w:pPr>
              <w:jc w:val="right"/>
              <w:ind w:right="441"/>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fair value of each award granted has been estimated on the grant date with a binomial model using the assumptions noted in the following table. Expected market price volatility is based on implied volatilities from traded options on the Company’s common shares and historical volatility of the Company’s common shares. Historical data, including demographic factors impacting historical exercise behavior, is used to estimate option exercise and employee termination within the valuation model. The expected life shown below is used for purposes of calculating expected volatility while the risk neutral expected life that is an output of the model of 6.26 years represents the expected option holding period. The risk-free rate for periods within the contractual life of the option is based on the U.S. Treasury yield curve in effect at the time of grant. The weighted-average assumptions for awards granted for the nine-month periods ended July 1, 2006 and July 2, 2005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40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9"/>
              </w:rPr>
              <w:t>JULY 1, 2006</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JULY 2, 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Market price volatility</w:t>
            </w:r>
          </w:p>
        </w:tc>
        <w:tc>
          <w:tcPr>
            <w:tcW w:w="14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1580" w:type="dxa"/>
            <w:vAlign w:val="bottom"/>
            <w:gridSpan w:val="3"/>
            <w:shd w:val="clear" w:color="auto" w:fill="CCEEFF"/>
          </w:tcPr>
          <w:p>
            <w:pPr>
              <w:jc w:val="right"/>
              <w:ind w:right="184"/>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1400" w:type="dxa"/>
            <w:vAlign w:val="bottom"/>
            <w:gridSpan w:val="5"/>
          </w:tcPr>
          <w:p>
            <w:pPr>
              <w:jc w:val="right"/>
              <w:ind w:right="120"/>
              <w:spacing w:after="0"/>
              <w:rPr>
                <w:sz w:val="20"/>
                <w:szCs w:val="20"/>
                <w:color w:val="auto"/>
              </w:rPr>
            </w:pPr>
            <w:r>
              <w:rPr>
                <w:rFonts w:ascii="Arial" w:cs="Arial" w:eastAsia="Arial" w:hAnsi="Arial"/>
                <w:sz w:val="18"/>
                <w:szCs w:val="18"/>
                <w:color w:val="auto"/>
              </w:rPr>
              <w:t>4.4%</w:t>
            </w:r>
          </w:p>
        </w:tc>
        <w:tc>
          <w:tcPr>
            <w:tcW w:w="1580" w:type="dxa"/>
            <w:vAlign w:val="bottom"/>
            <w:gridSpan w:val="3"/>
          </w:tcPr>
          <w:p>
            <w:pPr>
              <w:jc w:val="right"/>
              <w:ind w:right="18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4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Expected life of options/SARs in years</w:t>
            </w:r>
          </w:p>
        </w:tc>
        <w:tc>
          <w:tcPr>
            <w:tcW w:w="1240" w:type="dxa"/>
            <w:vAlign w:val="bottom"/>
            <w:gridSpan w:val="4"/>
          </w:tcPr>
          <w:p>
            <w:pPr>
              <w:jc w:val="right"/>
              <w:ind w:right="28"/>
              <w:spacing w:after="0"/>
              <w:rPr>
                <w:sz w:val="20"/>
                <w:szCs w:val="20"/>
                <w:color w:val="auto"/>
              </w:rPr>
            </w:pPr>
            <w:r>
              <w:rPr>
                <w:rFonts w:ascii="Arial" w:cs="Arial" w:eastAsia="Arial" w:hAnsi="Arial"/>
                <w:sz w:val="18"/>
                <w:szCs w:val="18"/>
                <w:color w:val="auto"/>
              </w:rPr>
              <w:t>6.19</w:t>
            </w:r>
          </w:p>
        </w:tc>
        <w:tc>
          <w:tcPr>
            <w:tcW w:w="160" w:type="dxa"/>
            <w:vAlign w:val="bottom"/>
          </w:tcPr>
          <w:p>
            <w:pPr>
              <w:spacing w:after="0"/>
              <w:rPr>
                <w:sz w:val="18"/>
                <w:szCs w:val="18"/>
                <w:color w:val="auto"/>
              </w:rPr>
            </w:pPr>
          </w:p>
        </w:tc>
        <w:tc>
          <w:tcPr>
            <w:tcW w:w="1580" w:type="dxa"/>
            <w:vAlign w:val="bottom"/>
            <w:gridSpan w:val="3"/>
          </w:tcPr>
          <w:p>
            <w:pPr>
              <w:jc w:val="right"/>
              <w:ind w:right="344"/>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grant-date fair value per share</w:t>
            </w:r>
          </w:p>
        </w:tc>
        <w:tc>
          <w:tcPr>
            <w:tcW w:w="1240" w:type="dxa"/>
            <w:vAlign w:val="bottom"/>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$12.09</w:t>
            </w:r>
          </w:p>
        </w:tc>
        <w:tc>
          <w:tcPr>
            <w:tcW w:w="1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344"/>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Restricted Stock</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40" w:type="dxa"/>
            <w:vAlign w:val="bottom"/>
            <w:gridSpan w:val="2"/>
          </w:tcPr>
          <w:p>
            <w:pPr>
              <w:spacing w:after="0"/>
              <w:rPr>
                <w:sz w:val="20"/>
                <w:szCs w:val="20"/>
                <w:color w:val="auto"/>
              </w:rPr>
            </w:pPr>
            <w:r>
              <w:rPr>
                <w:rFonts w:ascii="Arial" w:cs="Arial" w:eastAsia="Arial" w:hAnsi="Arial"/>
                <w:sz w:val="18"/>
                <w:szCs w:val="18"/>
                <w:color w:val="auto"/>
              </w:rPr>
              <w:t>Aggregate restricted stock award activity is as follows: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center"/>
              <w:ind w:right="12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1240" w:type="dxa"/>
            <w:vAlign w:val="bottom"/>
            <w:gridSpan w:val="4"/>
            <w:vMerge w:val="restart"/>
          </w:tcPr>
          <w:p>
            <w:pPr>
              <w:jc w:val="right"/>
              <w:ind w:right="148"/>
              <w:spacing w:after="0"/>
              <w:rPr>
                <w:sz w:val="20"/>
                <w:szCs w:val="20"/>
                <w:color w:val="auto"/>
              </w:rPr>
            </w:pPr>
            <w:r>
              <w:rPr>
                <w:rFonts w:ascii="Arial" w:cs="Arial" w:eastAsia="Arial" w:hAnsi="Arial"/>
                <w:sz w:val="14"/>
                <w:szCs w:val="14"/>
                <w:b w:val="1"/>
                <w:bCs w:val="1"/>
                <w:color w:val="auto"/>
              </w:rPr>
              <w:t>No. of Shares</w:t>
            </w:r>
          </w:p>
        </w:tc>
        <w:tc>
          <w:tcPr>
            <w:tcW w:w="16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40" w:type="dxa"/>
            <w:vAlign w:val="bottom"/>
            <w:tcBorders>
              <w:bottom w:val="single" w:sz="8" w:color="auto"/>
            </w:tcBorders>
            <w:gridSpan w:val="4"/>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2005</w:t>
            </w:r>
          </w:p>
        </w:tc>
        <w:tc>
          <w:tcPr>
            <w:tcW w:w="12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114,400</w:t>
            </w:r>
          </w:p>
        </w:tc>
        <w:tc>
          <w:tcPr>
            <w:tcW w:w="1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4"/>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Granted (including 30,000 performance shares)</w:t>
            </w:r>
          </w:p>
        </w:tc>
        <w:tc>
          <w:tcPr>
            <w:tcW w:w="1240" w:type="dxa"/>
            <w:vAlign w:val="bottom"/>
            <w:gridSpan w:val="4"/>
          </w:tcPr>
          <w:p>
            <w:pPr>
              <w:jc w:val="right"/>
              <w:ind w:right="248"/>
              <w:spacing w:after="0"/>
              <w:rPr>
                <w:sz w:val="20"/>
                <w:szCs w:val="20"/>
                <w:color w:val="auto"/>
              </w:rPr>
            </w:pPr>
            <w:r>
              <w:rPr>
                <w:rFonts w:ascii="Arial" w:cs="Arial" w:eastAsia="Arial" w:hAnsi="Arial"/>
                <w:sz w:val="18"/>
                <w:szCs w:val="18"/>
                <w:color w:val="auto"/>
              </w:rPr>
              <w:t>212,000</w:t>
            </w:r>
          </w:p>
        </w:tc>
        <w:tc>
          <w:tcPr>
            <w:tcW w:w="160" w:type="dxa"/>
            <w:vAlign w:val="bottom"/>
          </w:tcPr>
          <w:p>
            <w:pPr>
              <w:spacing w:after="0"/>
              <w:rPr>
                <w:sz w:val="18"/>
                <w:szCs w:val="18"/>
                <w:color w:val="auto"/>
              </w:rPr>
            </w:pPr>
          </w:p>
        </w:tc>
        <w:tc>
          <w:tcPr>
            <w:tcW w:w="1580" w:type="dxa"/>
            <w:vAlign w:val="bottom"/>
            <w:gridSpan w:val="3"/>
          </w:tcPr>
          <w:p>
            <w:pPr>
              <w:jc w:val="right"/>
              <w:ind w:right="404"/>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24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(10,400)</w:t>
            </w:r>
          </w:p>
        </w:tc>
        <w:tc>
          <w:tcPr>
            <w:tcW w:w="1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4"/>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20" w:type="dxa"/>
            <w:vAlign w:val="bottom"/>
          </w:tcPr>
          <w:p>
            <w:pPr>
              <w:spacing w:after="0"/>
              <w:rPr>
                <w:sz w:val="19"/>
                <w:szCs w:val="19"/>
                <w:color w:val="auto"/>
              </w:rPr>
            </w:pPr>
          </w:p>
        </w:tc>
        <w:tc>
          <w:tcPr>
            <w:tcW w:w="920" w:type="dxa"/>
            <w:vAlign w:val="bottom"/>
            <w:gridSpan w:val="3"/>
          </w:tcPr>
          <w:p>
            <w:pPr>
              <w:jc w:val="right"/>
              <w:ind w:right="188"/>
              <w:spacing w:after="0"/>
              <w:rPr>
                <w:sz w:val="20"/>
                <w:szCs w:val="20"/>
                <w:color w:val="auto"/>
              </w:rPr>
            </w:pPr>
            <w:r>
              <w:rPr>
                <w:rFonts w:ascii="Arial" w:cs="Arial" w:eastAsia="Arial" w:hAnsi="Arial"/>
                <w:sz w:val="18"/>
                <w:szCs w:val="18"/>
                <w:color w:val="auto"/>
              </w:rPr>
              <w:t>(9,200)</w:t>
            </w:r>
          </w:p>
        </w:tc>
        <w:tc>
          <w:tcPr>
            <w:tcW w:w="160" w:type="dxa"/>
            <w:vAlign w:val="bottom"/>
          </w:tcPr>
          <w:p>
            <w:pPr>
              <w:spacing w:after="0"/>
              <w:rPr>
                <w:sz w:val="19"/>
                <w:szCs w:val="19"/>
                <w:color w:val="auto"/>
              </w:rPr>
            </w:pPr>
          </w:p>
        </w:tc>
        <w:tc>
          <w:tcPr>
            <w:tcW w:w="1580" w:type="dxa"/>
            <w:vAlign w:val="bottom"/>
            <w:gridSpan w:val="3"/>
          </w:tcPr>
          <w:p>
            <w:pPr>
              <w:jc w:val="right"/>
              <w:ind w:right="404"/>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 2006</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306,800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4"/>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July 1, 2006, there was $18.4 million of total unrecognized compensation cost related to non-vested share-based compensation arrangements. The unrecognized compensation cost is expected to be recognized over a weighted-average period of 2.3 years. Unearned compensation is amortized over the vesting period for the particular grant and is recognized as a component of “Selling, general and administrative” expense within the Condensed, Consolidated Statements of Operations.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total intrinsic value of options exercised was $20.4 million and the total fair value of restricted stock vested was $0.5 million during the nine months ended July 1, 2006.</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Cash received from option exercises under all share-based payment arrangements for the nine months ended July 1, 2006 was $15.6 million. The tax benefit realized for the tax deductions from option exercises under the share-based payment arrangements totaled $7.8 million for the nine months ended July 1,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assesses the recoverability of long-lived assets being amortized, as well as goodwill and other indefinite-lived intangible assets, whenever events or changes in circumstances indicate that the carrying amount of an asset may not be recoverable. Furthermore, goodwill and intangible assets not being amortized are reviewed for impairment annually during the first fiscal quarter. If it is determined that an impairment has occurred, an impairment loss is recognized for the amount by which the carrying amount of the asset exceeds its estimated fair value.</w:t>
      </w:r>
    </w:p>
    <w:p>
      <w:pPr>
        <w:spacing w:after="0" w:line="7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performed its annual impairment analysis of goodwill and other indefinite-lived intangibles during the first quarter of fiscal 2006 and recorded a $1.0 million charge. A fiscal 2005 impairment charge of $22.0 million was recorded for the U.K. consumer business, reflecting a reduction in the value of the business resulting primarily from the decline in the profitability of its growing media business and unfavorable category mix trends.</w:t>
      </w:r>
    </w:p>
    <w:p>
      <w:pPr>
        <w:spacing w:after="0" w:line="5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For the first nine months of fiscal 2006, our U.K. consumer and Smith &amp; Hawken businesses have performed below plan. We are in the process of evaluating the impact of these performance shortfalls. As such, we continue to assess the expected cash flows for these businesses, including a reassessment of their respective strategic plans. Decreases in the expected cash flows for these businesses may trigger impairments in future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EARNINGS PER COMMON SHARE</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following represents a reconciliation from basic earnings per share to diluted earnings per share. Options to purchase approximately 0.1 million common shares were outstanding at July 1, 2006 and July 2, 2005, respectively, but were not included in the computation of diluted earnings per share because the options’ exercise prices were greater than the average market price of the underlying common shares and, therefore, the impact would be antidilutive.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6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23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JULY 1, 2006</w:t>
            </w:r>
          </w:p>
        </w:tc>
        <w:tc>
          <w:tcPr>
            <w:tcW w:w="42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7"/>
              </w:rPr>
              <w:t>JULY 2, 2005</w:t>
            </w:r>
          </w:p>
        </w:tc>
        <w:tc>
          <w:tcPr>
            <w:tcW w:w="560" w:type="dxa"/>
            <w:vAlign w:val="bottom"/>
          </w:tcPr>
          <w:p>
            <w:pPr>
              <w:spacing w:after="0"/>
              <w:rPr>
                <w:sz w:val="12"/>
                <w:szCs w:val="12"/>
                <w:color w:val="auto"/>
              </w:rPr>
            </w:pPr>
          </w:p>
        </w:tc>
        <w:tc>
          <w:tcPr>
            <w:tcW w:w="14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JULY 1, 2006</w:t>
            </w:r>
          </w:p>
        </w:tc>
        <w:tc>
          <w:tcPr>
            <w:tcW w:w="8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7"/>
              </w:rPr>
              <w:t>JULY 2, 2005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560" w:type="dxa"/>
            <w:vAlign w:val="bottom"/>
          </w:tcPr>
          <w:p>
            <w:pPr>
              <w:spacing w:after="0" w:line="142" w:lineRule="exact"/>
              <w:rPr>
                <w:sz w:val="20"/>
                <w:szCs w:val="20"/>
                <w:color w:val="auto"/>
              </w:rPr>
            </w:pPr>
            <w:r>
              <w:rPr>
                <w:rFonts w:ascii="Arial" w:cs="Arial" w:eastAsia="Arial" w:hAnsi="Arial"/>
                <w:sz w:val="14"/>
                <w:szCs w:val="14"/>
                <w:b w:val="1"/>
                <w:bCs w:val="1"/>
                <w:color w:val="auto"/>
                <w:w w:val="96"/>
              </w:rPr>
              <w:t>EXCEPT</w:t>
            </w:r>
          </w:p>
        </w:tc>
        <w:tc>
          <w:tcPr>
            <w:tcW w:w="86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90"/>
              </w:rPr>
              <w:t>PER SHARE</w:t>
            </w:r>
          </w:p>
        </w:tc>
        <w:tc>
          <w:tcPr>
            <w:tcW w:w="560" w:type="dxa"/>
            <w:vAlign w:val="bottom"/>
          </w:tcPr>
          <w:p>
            <w:pPr>
              <w:spacing w:after="0" w:line="142" w:lineRule="exact"/>
              <w:rPr>
                <w:sz w:val="20"/>
                <w:szCs w:val="20"/>
                <w:color w:val="auto"/>
              </w:rPr>
            </w:pPr>
            <w:r>
              <w:rPr>
                <w:rFonts w:ascii="Arial" w:cs="Arial" w:eastAsia="Arial" w:hAnsi="Arial"/>
                <w:sz w:val="14"/>
                <w:szCs w:val="14"/>
                <w:b w:val="1"/>
                <w:bCs w:val="1"/>
                <w:color w:val="auto"/>
              </w:rPr>
              <w:t>DATA)</w:t>
            </w: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Determination of common shares:</w:t>
            </w: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Average common shares outstanding</w:t>
            </w:r>
          </w:p>
        </w:tc>
        <w:tc>
          <w:tcPr>
            <w:tcW w:w="2040" w:type="dxa"/>
            <w:vAlign w:val="bottom"/>
            <w:gridSpan w:val="3"/>
          </w:tcPr>
          <w:p>
            <w:pPr>
              <w:jc w:val="right"/>
              <w:ind w:right="260"/>
              <w:spacing w:after="0"/>
              <w:rPr>
                <w:sz w:val="20"/>
                <w:szCs w:val="20"/>
                <w:color w:val="auto"/>
              </w:rPr>
            </w:pPr>
            <w:r>
              <w:rPr>
                <w:rFonts w:ascii="Arial" w:cs="Arial" w:eastAsia="Arial" w:hAnsi="Arial"/>
                <w:sz w:val="18"/>
                <w:szCs w:val="18"/>
                <w:color w:val="auto"/>
              </w:rPr>
              <w:t>67.5</w:t>
            </w:r>
          </w:p>
        </w:tc>
        <w:tc>
          <w:tcPr>
            <w:tcW w:w="14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67.0</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67.7</w:t>
            </w:r>
          </w:p>
        </w:tc>
        <w:tc>
          <w:tcPr>
            <w:tcW w:w="5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Assumed conversion of dilutive options and SARs</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vesting of restricted stock</w:t>
            </w:r>
          </w:p>
        </w:tc>
        <w:tc>
          <w:tcPr>
            <w:tcW w:w="12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80" w:type="dxa"/>
            <w:vAlign w:val="bottom"/>
            <w:gridSpan w:val="2"/>
          </w:tcPr>
          <w:p>
            <w:pPr>
              <w:spacing w:after="0"/>
              <w:rPr>
                <w:sz w:val="20"/>
                <w:szCs w:val="20"/>
                <w:color w:val="auto"/>
              </w:rPr>
            </w:pPr>
            <w:r>
              <w:rPr>
                <w:rFonts w:ascii="Arial" w:cs="Arial" w:eastAsia="Arial" w:hAnsi="Arial"/>
                <w:sz w:val="18"/>
                <w:szCs w:val="18"/>
                <w:color w:val="auto"/>
              </w:rPr>
              <w:t>Diluted average common shares outstanding</w:t>
            </w:r>
          </w:p>
        </w:tc>
        <w:tc>
          <w:tcPr>
            <w:tcW w:w="1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69.4</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68.6</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69.7</w:t>
            </w:r>
          </w:p>
        </w:tc>
        <w:tc>
          <w:tcPr>
            <w:tcW w:w="560" w:type="dxa"/>
            <w:vAlign w:val="bottom"/>
          </w:tcPr>
          <w:p>
            <w:pPr>
              <w:spacing w:after="0"/>
              <w:rPr>
                <w:sz w:val="24"/>
                <w:szCs w:val="2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1.97</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$ 1.33</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$ 2.59</w:t>
            </w: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$ 1.64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040" w:type="dxa"/>
            <w:vAlign w:val="bottom"/>
            <w:gridSpan w:val="3"/>
          </w:tcPr>
          <w:p>
            <w:pPr>
              <w:jc w:val="right"/>
              <w:ind w:right="260"/>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20"/>
                <w:szCs w:val="20"/>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1.29</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2.52</w:t>
            </w:r>
          </w:p>
        </w:tc>
        <w:tc>
          <w:tcPr>
            <w:tcW w:w="56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October 27, 2005, the Company announced that Scotts Miracle-Gro’s Board of Directors had approved a $500.0 million share repurchase program. This repurchase program is authorized for five years. The Company currently anticipates allocating approximately $100.0 million per year on the program. Through July 1, 2006, the Company has reacquired 1.5 million common shares to be held in treasury at an aggregate cost of $73.3 million. Common shares held in treasury totaling 0.3 million shares have been reissued in support of share-based compensation awards and employee purchases of common shares under the employee stock purchase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USE OF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requires management to make estimates and assumptions that affect the amounts reported in the condensed, consolidated financial statements and accompanying notes. Although these estimates are based on management’s best knowledge of current events and actions the Company may undertake in the future, actual results ultimately may differ from the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REVISIONS AND RECLASSIFICATIONS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Certain revisions and reclassifications have been made to the prior year’s financial statements to conform to the fiscal 2006 presentation.</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Effective with the fiscal 2005 Form 10-K and 2005 Annual Report to Shareholders, the Company made changes to the Condensed, Consolidated Statements of Operations that management believes improve the overall presentation. As such, the fiscal 2005 quarterly condensed, consolidated financial statements presented herein have been revised to reflect these changes. With respect to the Marketing Agreement with Monsanto, the Company has made two presentational changes. First, amounts previously reported as net commission from the Marketing Agreement have been reclassified as net sales. Second, net sales and cost of sales have been adjusted to reflect certain reimbursements and costs associated with the Marketing Agreement on a gross basis that were previously reported on a net basis, with no effect on gross profit or net income. See further details regarding these matters in Note 3. Furthermore, the presentation of selling, general and administrative (“SG&amp;A”) expenses presented on the face of the Condensed, Consolidated Statements of Operations have been simplified.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In July 2006, the Financial Accounting Standards Board (FASB) issued FASB Interpretation No. 48, </w:t>
      </w:r>
      <w:r>
        <w:rPr>
          <w:rFonts w:ascii="Arial" w:cs="Arial" w:eastAsia="Arial" w:hAnsi="Arial"/>
          <w:sz w:val="18"/>
          <w:szCs w:val="18"/>
          <w:i w:val="1"/>
          <w:iCs w:val="1"/>
          <w:color w:val="auto"/>
        </w:rPr>
        <w:t>Accounting for Uncertainty in Income Taxes —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Interpretation of FASB Statement No. 109 </w:t>
      </w:r>
      <w:r>
        <w:rPr>
          <w:rFonts w:ascii="Arial" w:cs="Arial" w:eastAsia="Arial" w:hAnsi="Arial"/>
          <w:sz w:val="18"/>
          <w:szCs w:val="18"/>
          <w:color w:val="auto"/>
        </w:rPr>
        <w:t>(FIN 48), which clarifies the accounting for uncertainty in tax positions. This Interpretation requires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recognition of the impact of a tax position, if that position is more likely than not to be sustained on examination, based on the technical merits of the position. The provisions of FIN 48 will be effective as of the beginning of the Company’s 2008 fiscal year, with the cumulative effect of the change in accounting principle recorded as an adjustment to opening retained earnings. Management is currently evaluating the impact of adopting FIN 48 on the Company’s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2. DETAIL OF INVENTORIES, NET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Inventories, net of provisions for slow moving and obsolete inventory of $15.9 million, $20.9 million, and $16.3 million, as of July 1, 2006, July 2, 2005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2005, respectively, consisted of:</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JULY 1,</w:t>
            </w: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JULY 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7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142"/>
        </w:trPr>
        <w:tc>
          <w:tcPr>
            <w:tcW w:w="7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260.1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r>
      <w:tr>
        <w:trPr>
          <w:trHeight w:val="223"/>
        </w:trPr>
        <w:tc>
          <w:tcPr>
            <w:tcW w:w="7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432.6</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355.8</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324.9</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3. MARKETING AGREEMENT</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Under the terms of the Marketing Agreement with Monsanto, the Company is Monsanto’s exclusive agent for the domestic and international marketing and distribution of consumer Roundup® herbicide products. Under the terms of the Marketing Agreement, the Company is entitled to receive an annual commission from Monsanto in consideration for the performance of the Company’s duties as agent. The Marketing Agreement also requires the Company to make annual payments to Monsanto as a contribution against the overall expenses of the consumer Roundup® business.</w:t>
      </w:r>
    </w:p>
    <w:p>
      <w:pPr>
        <w:spacing w:after="0" w:line="6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annual gross commission under the Marketing Agreement is calculated as a percentage of the actual earnings before interest and income taxes (EBIT) of the consumer Roundup® business, as defined in the Marketing Agreement. Each year’s percentage varies in accordance with the terms of the Marketing Agreement based on the achievement of two earnings thresholds and on commission rates that vary by threshold and program year.</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annual contribution payment as defined in the Marketing Agreement is $20.0 million; however, portions of the annual contribution payments for the first three years of the Marketing Agreement were deferred. Through July 2, 2005, the Company recognized a periodic charge associated with the annual contribution payments equal to the required payment for that period.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Company had not recognized a charge for the portions of the contribution payments that were deferred until the time those deferred amounts were due under the terms of the Marketing Agreement. Based on the then available facts and circumstances, the Company considered this method of accounting to be appropriate. Factors considered in this determination included the likely term of the Marketing Agreement, the Company’s ability to terminate the Marketing Agreement without paying the deferred amounts, the Company’s assessment that the Marketing Agreement could have been terminated at any balance sheet date without incurring significant economic consequences as a result of such action and the fact that a significant portion of the deferred amount could never have been paid, even if the Marketing Agreement were not terminated prior to 2018, unless significant earnings targets were exceeded.</w:t>
      </w:r>
    </w:p>
    <w:p>
      <w:pPr>
        <w:spacing w:after="0" w:line="5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quarter ended July 2, 2005, the Company updated its assessment of the amounts deferred and previously considered a contingent obligation under the Marketing Agreement. Based on the strong performance and other economic developments surrounding the consumer Roundup® business, the Company concluded it probable that the deferred contribution payment that totaled $45.7 million as of July 2, 2005 would be paid. Since the recognition of this contingent obligation was for previously deferred contribution payments under the Marketing Agreement, the Company recorded this liability with a charge to net sales in the quarter ended July 2, 2005. This amount bore interest at 8% until it was paid in October 2005. The deferred contribution balance was recorded as a current liability at September 30, 2005.</w:t>
      </w:r>
    </w:p>
    <w:p>
      <w:pPr>
        <w:spacing w:after="0" w:line="8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Under the terms of the Marketing Agreement, the Company performs certain functions, primarily manufacturing conversion, selling and marketing support, on behalf of Monsanto in the conduct of the consumer Roundup® business. The actual costs incurred for these activities are charged to and reimbursed by Monsanto, for which the Company recognizes no gross profit or net income. Prior to the fourth quarter of fiscal 2005, these costs were recognized in the consolidated statements of operations on a net basis as a recovery of incurred costs. The Company records costs incurred under the Marketing Agreement for which the Company is the primary obligor on a gross basis, recognizing such costs in “Cost of sales” and the reimbursement of these costs in “Net sales,” with no effect on gross profit or net income. As disclosed in Note 22 — “Quarterly Consolidated Financial Information (Unaudited)” to the Consolidated Financial Statements included in the Company’s fiscal 2005 Annual Report on Form 10-K, net sales and cost of sales for the quarters in fiscal 2005 were revised to reflect this change. The related net sales and cost of sales were $11.5 million and $12.0 million for the three-month periods and $29.7 million and $32.6 million for the nine-month periods ended July 1, 2006 and July 2, 2005, respectively.</w:t>
      </w:r>
    </w:p>
    <w:p>
      <w:pPr>
        <w:spacing w:after="0" w:line="74"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Net sales also have been revised to reflect the net commission associated with the Marketing Agreement. Prior to the fourth quarter of fiscal 2005, the elements of net commission were reported as separate line items in the Condensed, Consolidated Statements of Operations. The following table displays elements of the Marketing Agreement included in “Net sales.”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1, 2006</w:t>
            </w:r>
          </w:p>
        </w:tc>
        <w:tc>
          <w:tcPr>
            <w:tcW w:w="1100" w:type="dxa"/>
            <w:vAlign w:val="bottom"/>
            <w:tcBorders>
              <w:top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w w:val="92"/>
              </w:rPr>
              <w:t>JULY 2, 2005</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1, 2006</w:t>
            </w:r>
          </w:p>
        </w:tc>
        <w:tc>
          <w:tcPr>
            <w:tcW w:w="1120" w:type="dxa"/>
            <w:vAlign w:val="bottom"/>
            <w:tcBorders>
              <w:top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w w:val="94"/>
              </w:rPr>
              <w:t>JULY 2, 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78"/>
              </w:rPr>
              <w:t>MILLIONS)</w:t>
            </w: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MILLIONS)</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Gross commission</w:t>
            </w:r>
          </w:p>
        </w:tc>
        <w:tc>
          <w:tcPr>
            <w:tcW w:w="12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31.2</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49.7</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Contribution expenses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8"/>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28"/>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Deferred contribution charge</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Amortization of marketing fee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8"/>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28"/>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commission income (expense)</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34.1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Reimbursements associated with Marketing Agreement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29.7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net sales associated with Marketing Agreement</w:t>
            </w:r>
          </w:p>
        </w:tc>
        <w:tc>
          <w:tcPr>
            <w:tcW w:w="12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63.8</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580" w:firstLine="8"/>
        <w:spacing w:after="0" w:line="37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RESTRUCTURING AND OTHER CHARGES FISCAL 2006 CHARGES</w:t>
      </w:r>
    </w:p>
    <w:p>
      <w:pPr>
        <w:spacing w:after="0" w:line="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During the three and nine month periods ended July 1, 2006, the Company recorded $1.1 million and $6.9 million, respectively, of restructuring and other charges relating to the profit improvement plan initiated in fiscal 2005, consisting primarily of severance and related costs. In addition, an impairment charge of $1.0 million was recorded during the first quarter of fiscal 2006 for a tradename no longer in use in our U.K. consumer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FISCAL 2005 CHARGES</w:t>
      </w:r>
    </w:p>
    <w:p>
      <w:pPr>
        <w:spacing w:after="0" w:line="117"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For the three month period ended July 2, 2005, the Company recorded a net credit to restructuring and other charges in selling, general and administrative expenses in the amount of $0.1 million. A $7.9 million reserve against outstanding receivables due from Central Garden &amp; Pet Company was reversed resulting in a reduction to restructuring and other charges. Offsetting this reversal were costs relating primarily to the Company’s announced strategic improvement plan designed to significantly improve long-term earnings through a sustainable effort to reduce general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administrative costs. In relation to the plan, the Company recognized $7.8 million of severance and related costs. For the nine month period ended July 2, 2005, the Company recorded $1.2 million of impairment, restructuring and other charges. Offsetting the credit described above, the charges primarily represented Smith &amp; Hawken</w:t>
      </w:r>
      <w:r>
        <w:rPr>
          <w:rFonts w:ascii="Arial" w:cs="Arial" w:eastAsia="Arial" w:hAnsi="Arial"/>
          <w:sz w:val="15"/>
          <w:szCs w:val="15"/>
          <w:color w:val="auto"/>
        </w:rPr>
        <w:t>®</w:t>
      </w:r>
      <w:r>
        <w:rPr>
          <w:rFonts w:ascii="Arial" w:cs="Arial" w:eastAsia="Arial" w:hAnsi="Arial"/>
          <w:sz w:val="18"/>
          <w:szCs w:val="18"/>
          <w:color w:val="auto"/>
        </w:rPr>
        <w:t xml:space="preserve"> integration related severance charges. An impairment charge of $22.0 million was recorded during the first quarter of fiscal 2005 related to tradenames within the U.K. consumer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detail of impairment, restructuring and other charges reported in the Condensed, Consolidated Statements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000" w:type="dxa"/>
            <w:vAlign w:val="bottom"/>
          </w:tcPr>
          <w:p>
            <w:pPr>
              <w:spacing w:after="0"/>
              <w:rPr>
                <w:sz w:val="12"/>
                <w:szCs w:val="12"/>
                <w:color w:val="auto"/>
              </w:rPr>
            </w:pPr>
          </w:p>
        </w:tc>
        <w:tc>
          <w:tcPr>
            <w:tcW w:w="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4"/>
              </w:rPr>
              <w:t>JULY 1, 2006</w:t>
            </w:r>
          </w:p>
        </w:tc>
        <w:tc>
          <w:tcPr>
            <w:tcW w:w="1480" w:type="dxa"/>
            <w:vAlign w:val="bottom"/>
            <w:gridSpan w:val="3"/>
          </w:tcPr>
          <w:p>
            <w:pPr>
              <w:ind w:left="640"/>
              <w:spacing w:after="0" w:line="142" w:lineRule="exact"/>
              <w:rPr>
                <w:sz w:val="20"/>
                <w:szCs w:val="20"/>
                <w:color w:val="auto"/>
              </w:rPr>
            </w:pPr>
            <w:r>
              <w:rPr>
                <w:rFonts w:ascii="Arial" w:cs="Arial" w:eastAsia="Arial" w:hAnsi="Arial"/>
                <w:sz w:val="14"/>
                <w:szCs w:val="14"/>
                <w:b w:val="1"/>
                <w:bCs w:val="1"/>
                <w:color w:val="auto"/>
                <w:w w:val="94"/>
              </w:rPr>
              <w:t>JULY 2, 2005</w:t>
            </w:r>
          </w:p>
        </w:tc>
        <w:tc>
          <w:tcPr>
            <w:tcW w:w="100" w:type="dxa"/>
            <w:vAlign w:val="bottom"/>
          </w:tcPr>
          <w:p>
            <w:pPr>
              <w:spacing w:after="0"/>
              <w:rPr>
                <w:sz w:val="12"/>
                <w:szCs w:val="12"/>
                <w:color w:val="auto"/>
              </w:rPr>
            </w:pPr>
          </w:p>
        </w:tc>
      </w:tr>
      <w:tr>
        <w:trPr>
          <w:trHeight w:val="142"/>
        </w:trPr>
        <w:tc>
          <w:tcPr>
            <w:tcW w:w="90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ind w:left="400"/>
              <w:spacing w:after="0" w:line="142" w:lineRule="exact"/>
              <w:rPr>
                <w:sz w:val="20"/>
                <w:szCs w:val="20"/>
                <w:color w:val="auto"/>
              </w:rPr>
            </w:pPr>
            <w:r>
              <w:rPr>
                <w:rFonts w:ascii="Arial" w:cs="Arial" w:eastAsia="Arial" w:hAnsi="Arial"/>
                <w:sz w:val="14"/>
                <w:szCs w:val="14"/>
                <w:b w:val="1"/>
                <w:bCs w:val="1"/>
                <w:color w:val="auto"/>
                <w:w w:val="96"/>
              </w:rPr>
              <w:t>(IN</w:t>
            </w:r>
          </w:p>
        </w:tc>
        <w:tc>
          <w:tcPr>
            <w:tcW w:w="64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80"/>
              </w:rPr>
              <w:t>MILLIONS)</w:t>
            </w: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220"/>
              <w:spacing w:after="0"/>
              <w:rPr>
                <w:sz w:val="20"/>
                <w:szCs w:val="20"/>
                <w:color w:val="auto"/>
              </w:rPr>
            </w:pPr>
            <w:r>
              <w:rPr>
                <w:rFonts w:ascii="Arial" w:cs="Arial" w:eastAsia="Arial" w:hAnsi="Arial"/>
                <w:sz w:val="18"/>
                <w:szCs w:val="18"/>
                <w:color w:val="auto"/>
              </w:rPr>
              <w:t>Severance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11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related costs</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23"/>
        </w:trPr>
        <w:tc>
          <w:tcPr>
            <w:tcW w:w="90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other intangibles</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22.0</w:t>
            </w:r>
          </w:p>
        </w:tc>
      </w:tr>
      <w:tr>
        <w:trPr>
          <w:trHeight w:val="223"/>
        </w:trPr>
        <w:tc>
          <w:tcPr>
            <w:tcW w:w="90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23.2</w:t>
            </w:r>
          </w:p>
        </w:tc>
        <w:tc>
          <w:tcPr>
            <w:tcW w:w="10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is a roll forward of the restructuring and other charges, which are included in “accrued liabilities” at end of period. The restructuring activities to which these costs apply are expected to be largely completed in fiscal 2006.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8"/>
          </w:tcPr>
          <w:p>
            <w:pPr>
              <w:ind w:lef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JULY 1, 2006</w:t>
            </w:r>
          </w:p>
        </w:tc>
        <w:tc>
          <w:tcPr>
            <w:tcW w:w="1100" w:type="dxa"/>
            <w:vAlign w:val="bottom"/>
            <w:tcBorders>
              <w:top w:val="single" w:sz="8" w:color="auto"/>
            </w:tcBorders>
            <w:gridSpan w:val="3"/>
          </w:tcPr>
          <w:p>
            <w:pPr>
              <w:ind w:left="260"/>
              <w:spacing w:after="0" w:line="142" w:lineRule="exact"/>
              <w:rPr>
                <w:sz w:val="20"/>
                <w:szCs w:val="20"/>
                <w:color w:val="auto"/>
              </w:rPr>
            </w:pPr>
            <w:r>
              <w:rPr>
                <w:rFonts w:ascii="Arial" w:cs="Arial" w:eastAsia="Arial" w:hAnsi="Arial"/>
                <w:sz w:val="14"/>
                <w:szCs w:val="14"/>
                <w:b w:val="1"/>
                <w:bCs w:val="1"/>
                <w:color w:val="auto"/>
                <w:w w:val="94"/>
              </w:rPr>
              <w:t>JULY 2, 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80"/>
              </w:rPr>
              <w:t>MILLIONS)</w:t>
            </w:r>
          </w:p>
        </w:tc>
        <w:tc>
          <w:tcPr>
            <w:tcW w:w="4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Amounts reserved for restructuring and other charges at beginning of fiscal year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54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and other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68"/>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Amounts reserved for restructuring and other charges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5. LONG-TERM DEBT</w:t>
            </w: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tcPr>
          <w:p>
            <w:pPr>
              <w:spacing w:after="0"/>
              <w:rPr>
                <w:sz w:val="20"/>
                <w:szCs w:val="20"/>
                <w:color w:val="auto"/>
              </w:rPr>
            </w:pPr>
            <w:r>
              <w:rPr>
                <w:rFonts w:ascii="Arial" w:cs="Arial" w:eastAsia="Arial" w:hAnsi="Arial"/>
                <w:sz w:val="18"/>
                <w:szCs w:val="18"/>
                <w:color w:val="auto"/>
              </w:rPr>
              <w:t>The components of long-term debt are as follows: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540" w:type="dxa"/>
            <w:vAlign w:val="bottom"/>
          </w:tcPr>
          <w:p>
            <w:pPr>
              <w:spacing w:after="0"/>
              <w:rPr>
                <w:sz w:val="24"/>
                <w:szCs w:val="24"/>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JULY 1,</w:t>
            </w:r>
          </w:p>
        </w:tc>
        <w:tc>
          <w:tcPr>
            <w:tcW w:w="1340" w:type="dxa"/>
            <w:vAlign w:val="bottom"/>
            <w:gridSpan w:val="6"/>
          </w:tcPr>
          <w:p>
            <w:pPr>
              <w:jc w:val="right"/>
              <w:ind w:right="668"/>
              <w:spacing w:after="0"/>
              <w:rPr>
                <w:sz w:val="20"/>
                <w:szCs w:val="20"/>
                <w:color w:val="auto"/>
              </w:rPr>
            </w:pPr>
            <w:r>
              <w:rPr>
                <w:rFonts w:ascii="Arial" w:cs="Arial" w:eastAsia="Arial" w:hAnsi="Arial"/>
                <w:sz w:val="14"/>
                <w:szCs w:val="14"/>
                <w:b w:val="1"/>
                <w:bCs w:val="1"/>
                <w:color w:val="auto"/>
              </w:rPr>
              <w:t>JULY 2,</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7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68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6"/>
          </w:tcPr>
          <w:p>
            <w:pPr>
              <w:jc w:val="right"/>
              <w:ind w:right="208"/>
              <w:spacing w:after="0" w:line="142"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Credit Agreement: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20"/>
              <w:spacing w:after="0"/>
              <w:rPr>
                <w:sz w:val="20"/>
                <w:szCs w:val="20"/>
                <w:color w:val="auto"/>
              </w:rPr>
            </w:pPr>
            <w:r>
              <w:rPr>
                <w:rFonts w:ascii="Arial" w:cs="Arial" w:eastAsia="Arial" w:hAnsi="Arial"/>
                <w:sz w:val="18"/>
                <w:szCs w:val="18"/>
                <w:color w:val="auto"/>
              </w:rPr>
              <w:t>Revolving loans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401.7</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100" w:type="dxa"/>
            <w:vAlign w:val="bottom"/>
            <w:gridSpan w:val="4"/>
          </w:tcPr>
          <w:p>
            <w:pPr>
              <w:jc w:val="right"/>
              <w:ind w:right="58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166.2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 loans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93"/>
              </w:rPr>
              <w:t>396.0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6 5/8% Senior Subordinated Notes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8"/>
              <w:spacing w:after="0"/>
              <w:rPr>
                <w:sz w:val="20"/>
                <w:szCs w:val="20"/>
                <w:color w:val="auto"/>
              </w:rPr>
            </w:pPr>
            <w:r>
              <w:rPr>
                <w:rFonts w:ascii="Arial" w:cs="Arial" w:eastAsia="Arial" w:hAnsi="Arial"/>
                <w:sz w:val="18"/>
                <w:szCs w:val="18"/>
                <w:color w:val="auto"/>
                <w:w w:val="93"/>
              </w:rPr>
              <w:t>200.0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200.0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Notes due to sellers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Foreign bank borrowings and term loans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8"/>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626.2</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621.8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18.1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613.2</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603.7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6. STATEMENT OF COMPREHENSIVE INCOME</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components of other comprehensive income and total comprehensive income for the three and nine month periods ended July 1, 2006 and July 2, 2005,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5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JULY 1,</w:t>
            </w: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4"/>
              <w:spacing w:after="0" w:line="119" w:lineRule="exact"/>
              <w:rPr>
                <w:sz w:val="20"/>
                <w:szCs w:val="20"/>
                <w:color w:val="auto"/>
              </w:rPr>
            </w:pPr>
            <w:r>
              <w:rPr>
                <w:rFonts w:ascii="Arial" w:cs="Arial" w:eastAsia="Arial" w:hAnsi="Arial"/>
                <w:sz w:val="13"/>
                <w:szCs w:val="13"/>
                <w:b w:val="1"/>
                <w:bCs w:val="1"/>
                <w:color w:val="auto"/>
              </w:rPr>
              <w:t>JULY 2,</w:t>
            </w:r>
          </w:p>
        </w:tc>
        <w:tc>
          <w:tcPr>
            <w:tcW w:w="660" w:type="dxa"/>
            <w:vAlign w:val="bottom"/>
          </w:tcPr>
          <w:p>
            <w:pPr>
              <w:spacing w:after="0"/>
              <w:rPr>
                <w:sz w:val="10"/>
                <w:szCs w:val="10"/>
                <w:color w:val="auto"/>
              </w:rPr>
            </w:pPr>
          </w:p>
        </w:tc>
        <w:tc>
          <w:tcPr>
            <w:tcW w:w="1020" w:type="dxa"/>
            <w:vAlign w:val="bottom"/>
            <w:tcBorders>
              <w:top w:val="single" w:sz="8" w:color="auto"/>
            </w:tcBorders>
            <w:gridSpan w:val="3"/>
          </w:tcPr>
          <w:p>
            <w:pPr>
              <w:jc w:val="center"/>
              <w:ind w:right="248"/>
              <w:spacing w:after="0" w:line="119" w:lineRule="exact"/>
              <w:rPr>
                <w:sz w:val="20"/>
                <w:szCs w:val="20"/>
                <w:color w:val="auto"/>
              </w:rPr>
            </w:pPr>
            <w:r>
              <w:rPr>
                <w:rFonts w:ascii="Arial" w:cs="Arial" w:eastAsia="Arial" w:hAnsi="Arial"/>
                <w:sz w:val="13"/>
                <w:szCs w:val="13"/>
                <w:b w:val="1"/>
                <w:bCs w:val="1"/>
                <w:color w:val="auto"/>
              </w:rPr>
              <w:t>JULY 1,</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4"/>
              <w:spacing w:after="0" w:line="119" w:lineRule="exact"/>
              <w:rPr>
                <w:sz w:val="20"/>
                <w:szCs w:val="20"/>
                <w:color w:val="auto"/>
              </w:rPr>
            </w:pPr>
            <w:r>
              <w:rPr>
                <w:rFonts w:ascii="Arial" w:cs="Arial" w:eastAsia="Arial" w:hAnsi="Arial"/>
                <w:sz w:val="13"/>
                <w:szCs w:val="13"/>
                <w:b w:val="1"/>
                <w:bCs w:val="1"/>
                <w:color w:val="auto"/>
              </w:rPr>
              <w:t>JULY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2006</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6"/>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2005</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2006</w:t>
            </w: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3"/>
              </w:rPr>
              <w:t>MILLIONS)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360"/>
              <w:spacing w:after="0" w:line="142" w:lineRule="exact"/>
              <w:rPr>
                <w:sz w:val="20"/>
                <w:szCs w:val="20"/>
                <w:color w:val="auto"/>
              </w:rPr>
            </w:pPr>
            <w:r>
              <w:rPr>
                <w:rFonts w:ascii="Arial" w:cs="Arial" w:eastAsia="Arial" w:hAnsi="Arial"/>
                <w:sz w:val="14"/>
                <w:szCs w:val="14"/>
                <w:b w:val="1"/>
                <w:bCs w:val="1"/>
                <w:color w:val="auto"/>
                <w:w w:val="85"/>
              </w:rPr>
              <w:t>(IN</w:t>
            </w:r>
          </w:p>
        </w:tc>
        <w:tc>
          <w:tcPr>
            <w:tcW w:w="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133.3</w:t>
            </w: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175.4</w:t>
            </w:r>
          </w:p>
        </w:tc>
        <w:tc>
          <w:tcPr>
            <w:tcW w:w="52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valuation of derivative instruments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880" w:type="dxa"/>
            <w:vAlign w:val="bottom"/>
            <w:gridSpan w:val="2"/>
          </w:tcPr>
          <w:p>
            <w:pPr>
              <w:jc w:val="right"/>
              <w:ind w:right="268"/>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135.1</w:t>
            </w: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178.0</w:t>
            </w:r>
          </w:p>
        </w:tc>
        <w:tc>
          <w:tcPr>
            <w:tcW w:w="52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980" w:type="dxa"/>
            <w:vAlign w:val="bottom"/>
            <w:vMerge w:val="restart"/>
          </w:tcPr>
          <w:p>
            <w:pPr>
              <w:jc w:val="right"/>
              <w:ind w:right="650"/>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5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5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7. RETIREMENT AND RETIREE MEDICAL PLANS COST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net periodic benefit cost for the various retirement and retiree medical plans sponsored by the Company: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JULY 1,</w:t>
            </w: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4"/>
              <w:spacing w:after="0" w:line="119" w:lineRule="exact"/>
              <w:rPr>
                <w:sz w:val="20"/>
                <w:szCs w:val="20"/>
                <w:color w:val="auto"/>
              </w:rPr>
            </w:pPr>
            <w:r>
              <w:rPr>
                <w:rFonts w:ascii="Arial" w:cs="Arial" w:eastAsia="Arial" w:hAnsi="Arial"/>
                <w:sz w:val="13"/>
                <w:szCs w:val="13"/>
                <w:b w:val="1"/>
                <w:bCs w:val="1"/>
                <w:color w:val="auto"/>
              </w:rPr>
              <w:t>JULY 2,</w:t>
            </w:r>
          </w:p>
        </w:tc>
        <w:tc>
          <w:tcPr>
            <w:tcW w:w="66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48"/>
              <w:spacing w:after="0" w:line="119" w:lineRule="exact"/>
              <w:rPr>
                <w:sz w:val="20"/>
                <w:szCs w:val="20"/>
                <w:color w:val="auto"/>
              </w:rPr>
            </w:pPr>
            <w:r>
              <w:rPr>
                <w:rFonts w:ascii="Arial" w:cs="Arial" w:eastAsia="Arial" w:hAnsi="Arial"/>
                <w:sz w:val="13"/>
                <w:szCs w:val="13"/>
                <w:b w:val="1"/>
                <w:bCs w:val="1"/>
                <w:color w:val="auto"/>
              </w:rPr>
              <w:t>JULY 1,</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4"/>
              <w:spacing w:after="0" w:line="119" w:lineRule="exact"/>
              <w:rPr>
                <w:sz w:val="20"/>
                <w:szCs w:val="20"/>
                <w:color w:val="auto"/>
              </w:rPr>
            </w:pPr>
            <w:r>
              <w:rPr>
                <w:rFonts w:ascii="Arial" w:cs="Arial" w:eastAsia="Arial" w:hAnsi="Arial"/>
                <w:sz w:val="13"/>
                <w:szCs w:val="13"/>
                <w:b w:val="1"/>
                <w:bCs w:val="1"/>
                <w:color w:val="auto"/>
              </w:rPr>
              <w:t>JULY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2006</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6"/>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2005</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2006</w:t>
            </w: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3"/>
              </w:rPr>
              <w:t>MILLIONS)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Frozen defined benefit plans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0.5</w:t>
            </w: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1.4</w:t>
            </w:r>
          </w:p>
        </w:tc>
        <w:tc>
          <w:tcPr>
            <w:tcW w:w="52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International benefit plans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8"/>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880" w:type="dxa"/>
            <w:vAlign w:val="bottom"/>
            <w:gridSpan w:val="2"/>
          </w:tcPr>
          <w:p>
            <w:pPr>
              <w:jc w:val="right"/>
              <w:ind w:right="268"/>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Retiree medical plan</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8. CONTINGENCIES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Management continually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Self-insurance reserves are established based on actuarial estimates.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In 1997, the Ohio EPA initiated an enforcement action against the Company with respect to alleged surface water violations and inadequate treatment capabilities at the Marysville, Ohio facility seeking corrective action under the federal Resource Conservation and Recovery Act. The action related to discharges from on-site waste water treatment and several discontinued on-site disposal areas.</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a Consent Order entered by the Union County Common Pleas Court in 2002, the Company is actively engaged in restoring the site to eliminate exposure to waste materials from the discontinued on-site disposal areas.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July 1, 2006, $3.6 million was accrued for environmental and regulatory matters, primarily related to the Marysville facility. Most of the accrued costs are expected to be paid in fiscal 2006 and 2007; however, payments could be made for a period thereafter. While the amounts accrued are believed to be adequate to cover known environmental exposures based on current facts and estimates of likely outcome, the adequacy of these accruals is based on several significant assumptions:</w:t>
      </w:r>
    </w:p>
    <w:p>
      <w:pPr>
        <w:spacing w:after="0" w:line="79"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that all significant sites that must be remediated have been identified;</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that there are no significant conditions of contamination that are unknown to us; and</w:t>
      </w:r>
    </w:p>
    <w:p>
      <w:pPr>
        <w:spacing w:after="0" w:line="130" w:lineRule="exact"/>
        <w:rPr>
          <w:rFonts w:ascii="Arial" w:cs="Arial" w:eastAsia="Arial" w:hAnsi="Arial"/>
          <w:sz w:val="18"/>
          <w:szCs w:val="18"/>
          <w:b w:val="1"/>
          <w:bCs w:val="1"/>
          <w:color w:val="auto"/>
        </w:rPr>
      </w:pPr>
    </w:p>
    <w:p>
      <w:pPr>
        <w:ind w:left="220" w:right="180" w:hanging="212"/>
        <w:spacing w:after="0" w:line="277" w:lineRule="auto"/>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that with respect to the agreed judicial Consent Order in Ohio, potentially contaminated soil can be remediated in place rather than having to be removed and only specific stream segments will require remediation as opposed to the entire stream.</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Horticultural Supply, Inc. (F/K/A E.C. Geiger, Inc.)</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November 5, 2004, U.S. Horticultural Supply, Inc. (“Geiger”) filed suit against the Company in the U.S. District Court for the Eastern District of Pennsylvania. This complaint alleges that the Company conspired with another distributor, Griffin Greenhouse Supplies, Inc., to restrain trade in the horticultural products market, in violation of Section 1 of the Sherman Antitrust Act. Geiger has not specified the amount of monetary damages it is seeking. On June 2, 2006, the Court denied the Company’s motion to dismiss the complaint. The Company is currently engaged in discovery relating to Geiger’s claim. The deadline for fact discovery is March 8, 2007.</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 intends to vigorously defend against Geiger’s claims. The Company believes that Geiger’s claims are without merit and that the likelihood of an unfavorable outcome is remote. Therefore, no accrual has been established related to this matter. However, the Company cannot predict the ultimate outcome with certainty. If the above action is determined adversely to the Company, the result could have a material adverse effect on the Company’s results of operations, financial position and cash flows. Because Geiger has not specified an amount of monetary damages in the case (which may be trebled under the antitrust statutes) and discovery has not yet commenced, any potential exposure that the Company may face cannot be reasonably estimated at this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has been named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seeks damages from the Company alone. The Company believes that the claims against it are without merit and is vigorously defending them. It is not currently possible to reasonably estimate a probable loss, if any, associated with the cases and, accordingly, no accrual or reserves have been recorded in the consolidated financial statements. There can be no assurance that these cases, whether as a result of adverse outcomes or as a result of significant defense costs, will not have a material adverse effect on the Company’s financial condition result of operations, or cash flows.</w:t>
      </w:r>
    </w:p>
    <w:p>
      <w:pPr>
        <w:spacing w:after="0" w:line="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has pursued and continues to pursue insurance coverage for a number of the cases described in the preceding paragraph. The Company recovered a substantial portion of past defense costs from one carrier during the second quarter of fiscal 2006 and that carrier has agreed to cover a portion of the future defense costs, subject to policy limits. Approximately $10.6 million has been recorded for the nine month period ended July 1, 2006, and has been included in the “Selling, general and administrative” expense line of the Condensed, Consolidated Statement of Operations. The Company continues to pursue coverage from other carriers, although there can be no assurance as to the results of these efforts.</w:t>
      </w:r>
    </w:p>
    <w:p>
      <w:pPr>
        <w:spacing w:after="0" w:line="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adverse effect on the Company’s results of operations, financial position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9. ACQUISITIONS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late May and early June 2006, the Company consummated two acquisitions designed to strengthen the Company’s overall global position in the turfgrass seed category. First, the Company completed the acquisition of certain assets, including brands, turfgrass varieties and intellectual property, from Oregon based Turf-Seed, Inc., a leading producer of quality commercial turfgrasses for the professional seed business. The transaction includes a 49% equity interest in Turf-Seed Europe, which distributes Turf-Seed’s grass varieties throughout the European Union and other countries in the region. Second, the Company completed the acquisition of certain assets of Oregon based Landmark Seed, a leading producer and distributor of quality professional seed and turfgrasses, including its brands, turfgrass varieties and intellectual property.</w:t>
      </w:r>
    </w:p>
    <w:p>
      <w:pPr>
        <w:spacing w:after="0" w:line="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continue to view strategic acquisitions as a means to enhance our strong core businesses. The following recaps key acquisitions made over the last two years:</w:t>
      </w:r>
    </w:p>
    <w:p>
      <w:pPr>
        <w:sectPr>
          <w:pgSz w:w="11900" w:h="16838" w:orient="portrait"/>
          <w:cols w:equalWidth="0" w:num="1">
            <w:col w:w="11360"/>
          </w:cols>
          <w:pgMar w:left="240" w:top="419" w:right="299" w:bottom="1440" w:gutter="0" w:footer="0" w:header="0"/>
        </w:sectPr>
      </w:pP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Date of Acquisition</w:t>
            </w:r>
          </w:p>
        </w:tc>
        <w:tc>
          <w:tcPr>
            <w:tcW w:w="240" w:type="dxa"/>
            <w:vAlign w:val="bottom"/>
          </w:tcPr>
          <w:p>
            <w:pPr>
              <w:spacing w:after="0"/>
              <w:rPr>
                <w:sz w:val="14"/>
                <w:szCs w:val="14"/>
                <w:color w:val="auto"/>
              </w:rPr>
            </w:pPr>
          </w:p>
        </w:tc>
        <w:tc>
          <w:tcPr>
            <w:tcW w:w="3200" w:type="dxa"/>
            <w:vAlign w:val="bottom"/>
            <w:tcBorders>
              <w:bottom w:val="single" w:sz="8" w:color="auto"/>
            </w:tcBorders>
          </w:tcPr>
          <w:p>
            <w:pPr>
              <w:ind w:left="1120"/>
              <w:spacing w:after="0"/>
              <w:rPr>
                <w:sz w:val="20"/>
                <w:szCs w:val="20"/>
                <w:color w:val="auto"/>
              </w:rPr>
            </w:pPr>
            <w:r>
              <w:rPr>
                <w:rFonts w:ascii="Arial" w:cs="Arial" w:eastAsia="Arial" w:hAnsi="Arial"/>
                <w:sz w:val="14"/>
                <w:szCs w:val="14"/>
                <w:color w:val="auto"/>
              </w:rPr>
              <w:t>Assets Acquired</w:t>
            </w: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June 2006</w:t>
            </w:r>
          </w:p>
        </w:tc>
        <w:tc>
          <w:tcPr>
            <w:tcW w:w="240" w:type="dxa"/>
            <w:vAlign w:val="bottom"/>
          </w:tcPr>
          <w:p>
            <w:pPr>
              <w:spacing w:after="0"/>
              <w:rPr>
                <w:sz w:val="16"/>
                <w:szCs w:val="16"/>
                <w:color w:val="auto"/>
              </w:rPr>
            </w:pPr>
          </w:p>
        </w:tc>
        <w:tc>
          <w:tcPr>
            <w:tcW w:w="3200" w:type="dxa"/>
            <w:vAlign w:val="bottom"/>
          </w:tcPr>
          <w:p>
            <w:pPr>
              <w:spacing w:after="0" w:line="195" w:lineRule="exact"/>
              <w:rPr>
                <w:sz w:val="20"/>
                <w:szCs w:val="20"/>
                <w:color w:val="auto"/>
              </w:rPr>
            </w:pPr>
            <w:r>
              <w:rPr>
                <w:rFonts w:ascii="Arial" w:cs="Arial" w:eastAsia="Arial" w:hAnsi="Arial"/>
                <w:sz w:val="18"/>
                <w:szCs w:val="18"/>
                <w:color w:val="auto"/>
                <w:w w:val="87"/>
              </w:rPr>
              <w:t>Certain brands and assets of Landmark Seed</w:t>
            </w:r>
          </w:p>
        </w:tc>
      </w:tr>
      <w:tr>
        <w:trPr>
          <w:trHeight w:val="216"/>
        </w:trPr>
        <w:tc>
          <w:tcPr>
            <w:tcW w:w="1160" w:type="dxa"/>
            <w:vAlign w:val="bottom"/>
          </w:tcPr>
          <w:p>
            <w:pPr>
              <w:spacing w:after="0"/>
              <w:rPr>
                <w:sz w:val="18"/>
                <w:szCs w:val="18"/>
                <w:color w:val="auto"/>
              </w:rPr>
            </w:pPr>
          </w:p>
        </w:tc>
        <w:tc>
          <w:tcPr>
            <w:tcW w:w="3440" w:type="dxa"/>
            <w:vAlign w:val="bottom"/>
            <w:gridSpan w:val="2"/>
          </w:tcPr>
          <w:p>
            <w:pPr>
              <w:ind w:left="240"/>
              <w:spacing w:after="0"/>
              <w:rPr>
                <w:sz w:val="20"/>
                <w:szCs w:val="20"/>
                <w:color w:val="auto"/>
              </w:rPr>
            </w:pPr>
            <w:r>
              <w:rPr>
                <w:rFonts w:ascii="Arial" w:cs="Arial" w:eastAsia="Arial" w:hAnsi="Arial"/>
                <w:sz w:val="18"/>
                <w:szCs w:val="18"/>
                <w:color w:val="auto"/>
              </w:rPr>
              <w:t>Company, a leading producer and</w:t>
            </w:r>
          </w:p>
        </w:tc>
      </w:tr>
      <w:tr>
        <w:trPr>
          <w:trHeight w:val="216"/>
        </w:trPr>
        <w:tc>
          <w:tcPr>
            <w:tcW w:w="1160" w:type="dxa"/>
            <w:vAlign w:val="bottom"/>
          </w:tcPr>
          <w:p>
            <w:pPr>
              <w:spacing w:after="0"/>
              <w:rPr>
                <w:sz w:val="18"/>
                <w:szCs w:val="18"/>
                <w:color w:val="auto"/>
              </w:rPr>
            </w:pPr>
          </w:p>
        </w:tc>
        <w:tc>
          <w:tcPr>
            <w:tcW w:w="3440" w:type="dxa"/>
            <w:vAlign w:val="bottom"/>
            <w:gridSpan w:val="2"/>
          </w:tcPr>
          <w:p>
            <w:pPr>
              <w:ind w:left="240"/>
              <w:spacing w:after="0"/>
              <w:rPr>
                <w:sz w:val="20"/>
                <w:szCs w:val="20"/>
                <w:color w:val="auto"/>
              </w:rPr>
            </w:pPr>
            <w:r>
              <w:rPr>
                <w:rFonts w:ascii="Arial" w:cs="Arial" w:eastAsia="Arial" w:hAnsi="Arial"/>
                <w:sz w:val="18"/>
                <w:szCs w:val="18"/>
                <w:color w:val="auto"/>
                <w:w w:val="94"/>
              </w:rPr>
              <w:t>distributor of quality professional seed and</w:t>
            </w:r>
          </w:p>
        </w:tc>
      </w:tr>
      <w:tr>
        <w:trPr>
          <w:trHeight w:val="230"/>
        </w:trPr>
        <w:tc>
          <w:tcPr>
            <w:tcW w:w="1160" w:type="dxa"/>
            <w:vAlign w:val="bottom"/>
          </w:tcPr>
          <w:p>
            <w:pPr>
              <w:spacing w:after="0"/>
              <w:rPr>
                <w:sz w:val="20"/>
                <w:szCs w:val="20"/>
                <w:color w:val="auto"/>
              </w:rPr>
            </w:pPr>
          </w:p>
        </w:tc>
        <w:tc>
          <w:tcPr>
            <w:tcW w:w="3440" w:type="dxa"/>
            <w:vAlign w:val="bottom"/>
            <w:gridSpan w:val="2"/>
          </w:tcPr>
          <w:p>
            <w:pPr>
              <w:ind w:left="240"/>
              <w:spacing w:after="0"/>
              <w:rPr>
                <w:sz w:val="20"/>
                <w:szCs w:val="20"/>
                <w:color w:val="auto"/>
              </w:rPr>
            </w:pPr>
            <w:r>
              <w:rPr>
                <w:rFonts w:ascii="Arial" w:cs="Arial" w:eastAsia="Arial" w:hAnsi="Arial"/>
                <w:sz w:val="18"/>
                <w:szCs w:val="18"/>
                <w:color w:val="auto"/>
              </w:rPr>
              <w:t>turfgrasses.</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May 2006</w:t>
            </w:r>
          </w:p>
        </w:tc>
        <w:tc>
          <w:tcPr>
            <w:tcW w:w="3440" w:type="dxa"/>
            <w:vAlign w:val="bottom"/>
            <w:gridSpan w:val="2"/>
          </w:tcPr>
          <w:p>
            <w:pPr>
              <w:ind w:left="240"/>
              <w:spacing w:after="0"/>
              <w:rPr>
                <w:sz w:val="20"/>
                <w:szCs w:val="20"/>
                <w:color w:val="auto"/>
              </w:rPr>
            </w:pPr>
            <w:r>
              <w:rPr>
                <w:rFonts w:ascii="Arial" w:cs="Arial" w:eastAsia="Arial" w:hAnsi="Arial"/>
                <w:sz w:val="18"/>
                <w:szCs w:val="18"/>
                <w:color w:val="auto"/>
              </w:rPr>
              <w:t>Certain brands, turfgrass varieties,</w:t>
            </w:r>
          </w:p>
        </w:tc>
      </w:tr>
      <w:tr>
        <w:trPr>
          <w:trHeight w:val="216"/>
        </w:trPr>
        <w:tc>
          <w:tcPr>
            <w:tcW w:w="1160" w:type="dxa"/>
            <w:vAlign w:val="bottom"/>
          </w:tcPr>
          <w:p>
            <w:pPr>
              <w:spacing w:after="0"/>
              <w:rPr>
                <w:sz w:val="18"/>
                <w:szCs w:val="18"/>
                <w:color w:val="auto"/>
              </w:rPr>
            </w:pPr>
          </w:p>
        </w:tc>
        <w:tc>
          <w:tcPr>
            <w:tcW w:w="3440" w:type="dxa"/>
            <w:vAlign w:val="bottom"/>
            <w:gridSpan w:val="2"/>
          </w:tcPr>
          <w:p>
            <w:pPr>
              <w:ind w:left="240"/>
              <w:spacing w:after="0"/>
              <w:rPr>
                <w:sz w:val="20"/>
                <w:szCs w:val="20"/>
                <w:color w:val="auto"/>
              </w:rPr>
            </w:pPr>
            <w:r>
              <w:rPr>
                <w:rFonts w:ascii="Arial" w:cs="Arial" w:eastAsia="Arial" w:hAnsi="Arial"/>
                <w:sz w:val="18"/>
                <w:szCs w:val="18"/>
                <w:color w:val="auto"/>
              </w:rPr>
              <w:t>intellectual property and other assets of</w:t>
            </w:r>
          </w:p>
        </w:tc>
      </w:tr>
      <w:tr>
        <w:trPr>
          <w:trHeight w:val="216"/>
        </w:trPr>
        <w:tc>
          <w:tcPr>
            <w:tcW w:w="1160" w:type="dxa"/>
            <w:vAlign w:val="bottom"/>
          </w:tcPr>
          <w:p>
            <w:pPr>
              <w:spacing w:after="0"/>
              <w:rPr>
                <w:sz w:val="18"/>
                <w:szCs w:val="18"/>
                <w:color w:val="auto"/>
              </w:rPr>
            </w:pPr>
          </w:p>
        </w:tc>
        <w:tc>
          <w:tcPr>
            <w:tcW w:w="3440" w:type="dxa"/>
            <w:vAlign w:val="bottom"/>
            <w:gridSpan w:val="2"/>
          </w:tcPr>
          <w:p>
            <w:pPr>
              <w:ind w:left="240"/>
              <w:spacing w:after="0"/>
              <w:rPr>
                <w:sz w:val="20"/>
                <w:szCs w:val="20"/>
                <w:color w:val="auto"/>
              </w:rPr>
            </w:pPr>
            <w:r>
              <w:rPr>
                <w:rFonts w:ascii="Arial" w:cs="Arial" w:eastAsia="Arial" w:hAnsi="Arial"/>
                <w:sz w:val="18"/>
                <w:szCs w:val="18"/>
                <w:color w:val="auto"/>
              </w:rPr>
              <w:t>Turf-Seed, Inc., a leading producer of</w:t>
            </w:r>
          </w:p>
        </w:tc>
      </w:tr>
      <w:tr>
        <w:trPr>
          <w:trHeight w:val="230"/>
        </w:trPr>
        <w:tc>
          <w:tcPr>
            <w:tcW w:w="1160" w:type="dxa"/>
            <w:vAlign w:val="bottom"/>
          </w:tcPr>
          <w:p>
            <w:pPr>
              <w:spacing w:after="0"/>
              <w:rPr>
                <w:sz w:val="20"/>
                <w:szCs w:val="20"/>
                <w:color w:val="auto"/>
              </w:rPr>
            </w:pPr>
          </w:p>
        </w:tc>
        <w:tc>
          <w:tcPr>
            <w:tcW w:w="3440" w:type="dxa"/>
            <w:vAlign w:val="bottom"/>
            <w:gridSpan w:val="2"/>
          </w:tcPr>
          <w:p>
            <w:pPr>
              <w:ind w:left="240"/>
              <w:spacing w:after="0"/>
              <w:rPr>
                <w:sz w:val="20"/>
                <w:szCs w:val="20"/>
                <w:color w:val="auto"/>
              </w:rPr>
            </w:pPr>
            <w:r>
              <w:rPr>
                <w:rFonts w:ascii="Arial" w:cs="Arial" w:eastAsia="Arial" w:hAnsi="Arial"/>
                <w:sz w:val="18"/>
                <w:szCs w:val="18"/>
                <w:color w:val="auto"/>
              </w:rPr>
              <w:t>quality commercial turfgrasses.</w:t>
            </w: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left="-39"/>
        <w:spacing w:after="0"/>
        <w:rPr>
          <w:sz w:val="20"/>
          <w:szCs w:val="20"/>
          <w:color w:val="auto"/>
        </w:rPr>
      </w:pPr>
      <w:r>
        <w:rPr>
          <w:rFonts w:ascii="Arial" w:cs="Arial" w:eastAsia="Arial" w:hAnsi="Arial"/>
          <w:sz w:val="14"/>
          <w:szCs w:val="14"/>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14490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Cash of $6.1 million with an additional $1.0 million deferred to future periods.</w:t>
      </w:r>
    </w:p>
    <w:p>
      <w:pPr>
        <w:spacing w:after="0" w:line="3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Cash of $9.3 million with contingent consideration based on future performance of the business due in 2012 that may approximate $15.0 million.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Reasons for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26073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Transaction enhances the Company’s position in the global turfgrass seed industry, and compliments the acquisition of Turf-Seed, Inc.</w:t>
      </w:r>
    </w:p>
    <w:p>
      <w:pPr>
        <w:spacing w:after="0" w:line="200" w:lineRule="exact"/>
        <w:rPr>
          <w:sz w:val="20"/>
          <w:szCs w:val="20"/>
          <w:color w:val="auto"/>
        </w:rPr>
      </w:pPr>
    </w:p>
    <w:p>
      <w:pPr>
        <w:spacing w:after="0" w:line="20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Integration of Turf-Seed’s extensive professional seed sales and distribution network with the Company’s existing presence and industry leading brands in the consumer seed market will strengthen the Company’s overall global position in the seed category. The Company also obtains rights to various turfgrass varieties.</w:t>
      </w:r>
    </w:p>
    <w:p>
      <w:pPr>
        <w:spacing w:after="0" w:line="200" w:lineRule="exact"/>
        <w:rPr>
          <w:sz w:val="20"/>
          <w:szCs w:val="20"/>
          <w:color w:val="auto"/>
        </w:rPr>
      </w:pPr>
    </w:p>
    <w:p>
      <w:pPr>
        <w:sectPr>
          <w:pgSz w:w="11900" w:h="16838" w:orient="portrait"/>
          <w:cols w:equalWidth="0" w:num="3">
            <w:col w:w="4600" w:space="220"/>
            <w:col w:w="2220" w:space="280"/>
            <w:col w:w="4040"/>
          </w:cols>
          <w:pgMar w:left="240" w:top="419" w:right="299" w:bottom="1440" w:gutter="0" w:footer="0" w:header="0"/>
          <w:type w:val="continuous"/>
        </w:sectPr>
      </w:pP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spacing w:after="0"/>
        <w:tabs>
          <w:tab w:leader="none" w:pos="2520" w:val="left"/>
          <w:tab w:leader="none" w:pos="5540" w:val="left"/>
          <w:tab w:leader="none" w:pos="8540" w:val="left"/>
        </w:tabs>
        <w:rPr>
          <w:sz w:val="20"/>
          <w:szCs w:val="20"/>
          <w:color w:val="auto"/>
        </w:rPr>
      </w:pPr>
      <w:r>
        <w:rPr>
          <w:rFonts w:ascii="Arial" w:cs="Arial" w:eastAsia="Arial" w:hAnsi="Arial"/>
          <w:sz w:val="14"/>
          <w:szCs w:val="14"/>
          <w:u w:val="single" w:color="auto"/>
          <w:color w:val="auto"/>
        </w:rPr>
        <w:t>Date of Acquisition</w:t>
      </w:r>
      <w:r>
        <w:rPr>
          <w:sz w:val="20"/>
          <w:szCs w:val="20"/>
          <w:color w:val="auto"/>
        </w:rPr>
        <w:tab/>
      </w:r>
      <w:r>
        <w:rPr>
          <w:rFonts w:ascii="Arial" w:cs="Arial" w:eastAsia="Arial" w:hAnsi="Arial"/>
          <w:sz w:val="14"/>
          <w:szCs w:val="14"/>
          <w:color w:val="auto"/>
        </w:rPr>
        <w:t>Assets Acquired</w:t>
      </w:r>
      <w:r>
        <w:rPr>
          <w:sz w:val="20"/>
          <w:szCs w:val="20"/>
          <w:color w:val="auto"/>
        </w:rPr>
        <w:tab/>
      </w:r>
      <w:r>
        <w:rPr>
          <w:rFonts w:ascii="Arial" w:cs="Arial" w:eastAsia="Arial" w:hAnsi="Arial"/>
          <w:sz w:val="14"/>
          <w:szCs w:val="14"/>
          <w:color w:val="auto"/>
        </w:rPr>
        <w:t>Consideration</w:t>
      </w:r>
      <w:r>
        <w:rPr>
          <w:sz w:val="20"/>
          <w:szCs w:val="20"/>
          <w:color w:val="auto"/>
        </w:rPr>
        <w:tab/>
      </w:r>
      <w:r>
        <w:rPr>
          <w:rFonts w:ascii="Arial" w:cs="Arial" w:eastAsia="Arial" w:hAnsi="Arial"/>
          <w:sz w:val="13"/>
          <w:szCs w:val="13"/>
          <w:color w:val="auto"/>
        </w:rPr>
        <w:t>Reasons for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3810</wp:posOffset>
            </wp:positionV>
            <wp:extent cx="63544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p>
      <w:pPr>
        <w:spacing w:after="0" w:line="21" w:lineRule="exact"/>
        <w:rPr>
          <w:sz w:val="20"/>
          <w:szCs w:val="20"/>
          <w:color w:val="auto"/>
        </w:rPr>
      </w:pPr>
    </w:p>
    <w:p>
      <w:pPr>
        <w:ind w:left="1420" w:right="60" w:hanging="1404"/>
        <w:spacing w:after="0" w:line="301" w:lineRule="auto"/>
        <w:tabs>
          <w:tab w:leader="none" w:pos="1400" w:val="left"/>
        </w:tabs>
        <w:rPr>
          <w:sz w:val="20"/>
          <w:szCs w:val="20"/>
          <w:color w:val="auto"/>
        </w:rPr>
      </w:pPr>
      <w:r>
        <w:rPr>
          <w:rFonts w:ascii="Arial" w:cs="Arial" w:eastAsia="Arial" w:hAnsi="Arial"/>
          <w:sz w:val="18"/>
          <w:szCs w:val="18"/>
          <w:color w:val="auto"/>
        </w:rPr>
        <w:t>November 2005</w:t>
      </w:r>
      <w:r>
        <w:rPr>
          <w:sz w:val="20"/>
          <w:szCs w:val="20"/>
          <w:color w:val="auto"/>
        </w:rPr>
        <w:tab/>
      </w:r>
      <w:r>
        <w:rPr>
          <w:rFonts w:ascii="Arial" w:cs="Arial" w:eastAsia="Arial" w:hAnsi="Arial"/>
          <w:sz w:val="16"/>
          <w:szCs w:val="16"/>
          <w:color w:val="auto"/>
        </w:rPr>
        <w:t>All the outstanding shares of Gutwein, whose Morning Song® brand is a leader in the growing U.S. wild bird food category.</w:t>
      </w:r>
    </w:p>
    <w:p>
      <w:pPr>
        <w:spacing w:after="0" w:line="372" w:lineRule="exact"/>
        <w:rPr>
          <w:sz w:val="20"/>
          <w:szCs w:val="20"/>
          <w:color w:val="auto"/>
        </w:rPr>
      </w:pPr>
    </w:p>
    <w:p>
      <w:pPr>
        <w:ind w:left="1420" w:hanging="1404"/>
        <w:spacing w:after="0" w:line="255" w:lineRule="auto"/>
        <w:tabs>
          <w:tab w:leader="none" w:pos="1400" w:val="left"/>
        </w:tabs>
        <w:rPr>
          <w:sz w:val="20"/>
          <w:szCs w:val="20"/>
          <w:color w:val="auto"/>
        </w:rPr>
      </w:pPr>
      <w:r>
        <w:rPr>
          <w:rFonts w:ascii="Arial" w:cs="Arial" w:eastAsia="Arial" w:hAnsi="Arial"/>
          <w:sz w:val="18"/>
          <w:szCs w:val="18"/>
          <w:color w:val="auto"/>
        </w:rPr>
        <w:t>October 2005</w:t>
      </w:r>
      <w:r>
        <w:rPr>
          <w:sz w:val="20"/>
          <w:szCs w:val="20"/>
          <w:color w:val="auto"/>
        </w:rPr>
        <w:tab/>
      </w:r>
      <w:r>
        <w:rPr>
          <w:rFonts w:ascii="Arial" w:cs="Arial" w:eastAsia="Arial" w:hAnsi="Arial"/>
          <w:sz w:val="18"/>
          <w:szCs w:val="18"/>
          <w:color w:val="auto"/>
        </w:rPr>
        <w:t>All the outstanding shares of Rod McLellan Company (“RMC”), a leading branded producer and marketer of soil and landscape products in the western U.S. Key brands include Supersoil®, Whitney Farms™ and Black Magic®</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$77.0 million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$21.0 million in cash.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This acquisition gives the Company its entry into the growing wild birdseed category. We are leveraging the strengths of both organizations to accelerate growth in this category.</w:t>
      </w:r>
    </w:p>
    <w:p>
      <w:pPr>
        <w:spacing w:after="0" w:line="19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RMC compliments our existing line of growing media products and has been integrated into that business.</w:t>
      </w:r>
    </w:p>
    <w:p>
      <w:pPr>
        <w:spacing w:after="0" w:line="988" w:lineRule="exact"/>
        <w:rPr>
          <w:sz w:val="20"/>
          <w:szCs w:val="20"/>
          <w:color w:val="auto"/>
        </w:rPr>
      </w:pPr>
    </w:p>
    <w:p>
      <w:pPr>
        <w:sectPr>
          <w:pgSz w:w="11900" w:h="16838" w:orient="portrait"/>
          <w:cols w:equalWidth="0" w:num="3">
            <w:col w:w="4580" w:space="240"/>
            <w:col w:w="1780" w:space="720"/>
            <w:col w:w="4040"/>
          </w:cols>
          <w:pgMar w:left="240" w:top="419" w:right="299" w:bottom="1440" w:gutter="0" w:footer="0" w:header="0"/>
          <w:type w:val="continuous"/>
        </w:sectPr>
      </w:pPr>
    </w:p>
    <w:p>
      <w:pPr>
        <w:ind w:left="1420" w:hanging="1404"/>
        <w:spacing w:after="0" w:line="312" w:lineRule="auto"/>
        <w:tabs>
          <w:tab w:leader="none" w:pos="1400" w:val="left"/>
        </w:tabs>
        <w:rPr>
          <w:sz w:val="20"/>
          <w:szCs w:val="20"/>
          <w:color w:val="auto"/>
        </w:rPr>
      </w:pPr>
      <w:r>
        <w:rPr>
          <w:rFonts w:ascii="Arial" w:cs="Arial" w:eastAsia="Arial" w:hAnsi="Arial"/>
          <w:sz w:val="18"/>
          <w:szCs w:val="18"/>
          <w:color w:val="auto"/>
        </w:rPr>
        <w:t>October 2004</w:t>
      </w:r>
      <w:r>
        <w:rPr>
          <w:sz w:val="20"/>
          <w:szCs w:val="20"/>
          <w:color w:val="auto"/>
        </w:rPr>
        <w:tab/>
      </w:r>
      <w:r>
        <w:rPr>
          <w:rFonts w:ascii="Arial" w:cs="Arial" w:eastAsia="Arial" w:hAnsi="Arial"/>
          <w:sz w:val="16"/>
          <w:szCs w:val="16"/>
          <w:color w:val="auto"/>
        </w:rPr>
        <w:t>All the outstanding shares of Smith &amp; Hawken®, a leading brand in the outdoor living and gardening lifestyle category.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$73.6 million in cash.</w:t>
      </w:r>
    </w:p>
    <w:p>
      <w:pPr>
        <w:spacing w:after="0" w:line="20" w:lineRule="exact"/>
        <w:rPr>
          <w:sz w:val="20"/>
          <w:szCs w:val="20"/>
          <w:color w:val="auto"/>
        </w:rPr>
      </w:pPr>
      <w:r>
        <w:rPr>
          <w:sz w:val="20"/>
          <w:szCs w:val="20"/>
          <w:color w:val="auto"/>
        </w:rPr>
        <w:br w:type="column"/>
      </w:r>
    </w:p>
    <w:p>
      <w:pPr>
        <w:ind w:right="140"/>
        <w:spacing w:after="0" w:line="297" w:lineRule="auto"/>
        <w:rPr>
          <w:sz w:val="20"/>
          <w:szCs w:val="20"/>
          <w:color w:val="auto"/>
        </w:rPr>
      </w:pPr>
      <w:r>
        <w:rPr>
          <w:rFonts w:ascii="Arial" w:cs="Arial" w:eastAsia="Arial" w:hAnsi="Arial"/>
          <w:sz w:val="16"/>
          <w:szCs w:val="16"/>
          <w:color w:val="auto"/>
        </w:rPr>
        <w:t>Our strategy is to extend our reach into adjacent lawn and garden categories and to own industry-leading brands in every category in which we compete. We consider the Smith &amp; Hawken brand to be the premier brand in the fast-growing outdoor living category.</w:t>
      </w:r>
    </w:p>
    <w:p>
      <w:pPr>
        <w:spacing w:after="0" w:line="50" w:lineRule="exact"/>
        <w:rPr>
          <w:sz w:val="20"/>
          <w:szCs w:val="20"/>
          <w:color w:val="auto"/>
        </w:rPr>
      </w:pPr>
    </w:p>
    <w:p>
      <w:pPr>
        <w:sectPr>
          <w:pgSz w:w="11900" w:h="16838" w:orient="portrait"/>
          <w:cols w:equalWidth="0" w:num="3">
            <w:col w:w="4400" w:space="420"/>
            <w:col w:w="1780" w:space="720"/>
            <w:col w:w="4040"/>
          </w:cols>
          <w:pgMar w:left="240" w:top="419" w:right="299" w:bottom="1440" w:gutter="0" w:footer="0" w:header="0"/>
          <w:type w:val="continuous"/>
        </w:sectPr>
      </w:pPr>
    </w:p>
    <w:p>
      <w:pPr>
        <w:ind w:right="260"/>
        <w:spacing w:after="0" w:line="277" w:lineRule="auto"/>
        <w:rPr>
          <w:sz w:val="20"/>
          <w:szCs w:val="20"/>
          <w:color w:val="auto"/>
        </w:rPr>
      </w:pPr>
      <w:r>
        <w:rPr>
          <w:rFonts w:ascii="Arial" w:cs="Arial" w:eastAsia="Arial" w:hAnsi="Arial"/>
          <w:sz w:val="18"/>
          <w:szCs w:val="18"/>
          <w:color w:val="auto"/>
        </w:rPr>
        <w:t>In addition to the above acquisitions, we continue to invest in the growth of our Scotts LawnService® business, making over $95.0 million in acquisitions over the past five years, including $4.1 million and $6.4 million in fiscal 2006 and 2005, respectively.</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Preliminary allocation of purchase price to assets acquired and liabilities assumed has been recorded for all acquisitions made during fiscal 2006, based on estimated fair values at the date of the acquisitions. The Company expects to finalize purchase accounting allocations for the Gutwein and RMC acquisitions prior to the end of fiscal 2006. Purchase price allocations for the assets acquired from Turf-Seed, Inc, and Landmark Seed will be completed during fiscal 2007.</w:t>
      </w:r>
    </w:p>
    <w:p>
      <w:pPr>
        <w:spacing w:after="0" w:line="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a pro forma basis, net sales for the three and nine months ended July 2, 2005 would have been $933.8 million and $2,041.3 million, respectively (an increase of $32.6 million and $80.2 million, respectively) had the acquisitions of Rod McLellan Company and Gutwein occurred as of October 1, 2004. The pro forma reported net income for the three and nine months ended July 2, 2005 would have increased by $1.9 million and $3.1 million or 3 cents and 4 cents per diluted common share, respectively. Pro forma results have not been provided for other acquisitions as the effects are not material.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10. SEGMENT INFORMATION</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is divided into the following segments — North America, Scotts LawnService®, International, and Corporate &amp; Other. This division of reportable segments is consistent with how the segments report to and are managed by senior management of the Company. The following table presents segment financial information in accordance with SFAS No. 131, “Disclosures about Segments of an Enterprise and Related Information.” Pursuant to SFAS No. 131, the presentation of the segment financial information is consistent with the basis used by management (i.e., certain costs not allocated to business segments for internal management reporting purposes are not allocated for purposes of this presentation). Prior year amounts have been reclassified to conform with certain modifications to the Company’s reporting structure in fiscal 2006.</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7"/>
          </w:tcPr>
          <w:p>
            <w:pPr>
              <w:ind w:left="220"/>
              <w:spacing w:after="0"/>
              <w:rPr>
                <w:sz w:val="20"/>
                <w:szCs w:val="20"/>
                <w:color w:val="auto"/>
              </w:rPr>
            </w:pPr>
            <w:r>
              <w:rPr>
                <w:rFonts w:ascii="Arial" w:cs="Arial" w:eastAsia="Arial" w:hAnsi="Arial"/>
                <w:sz w:val="14"/>
                <w:szCs w:val="14"/>
                <w:b w:val="1"/>
                <w:bCs w:val="1"/>
                <w:color w:val="auto"/>
              </w:rPr>
              <w:t>NINE MONTHS</w:t>
            </w:r>
          </w:p>
        </w:tc>
      </w:tr>
      <w:tr>
        <w:trPr>
          <w:trHeight w:val="171"/>
        </w:trPr>
        <w:tc>
          <w:tcPr>
            <w:tcW w:w="5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4"/>
                <w:szCs w:val="14"/>
                <w:b w:val="1"/>
                <w:bCs w:val="1"/>
                <w:color w:val="auto"/>
              </w:rPr>
              <w:t>ENDED</w:t>
            </w: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0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88"/>
              <w:spacing w:after="0" w:line="119" w:lineRule="exact"/>
              <w:rPr>
                <w:sz w:val="20"/>
                <w:szCs w:val="20"/>
                <w:color w:val="auto"/>
              </w:rPr>
            </w:pPr>
            <w:r>
              <w:rPr>
                <w:rFonts w:ascii="Arial" w:cs="Arial" w:eastAsia="Arial" w:hAnsi="Arial"/>
                <w:sz w:val="13"/>
                <w:szCs w:val="13"/>
                <w:b w:val="1"/>
                <w:bCs w:val="1"/>
                <w:color w:val="auto"/>
              </w:rPr>
              <w:t>JULY 1,</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3"/>
          </w:tcPr>
          <w:p>
            <w:pPr>
              <w:jc w:val="right"/>
              <w:ind w:right="10"/>
              <w:spacing w:after="0" w:line="119" w:lineRule="exact"/>
              <w:rPr>
                <w:sz w:val="20"/>
                <w:szCs w:val="20"/>
                <w:color w:val="auto"/>
              </w:rPr>
            </w:pPr>
            <w:r>
              <w:rPr>
                <w:rFonts w:ascii="Arial" w:cs="Arial" w:eastAsia="Arial" w:hAnsi="Arial"/>
                <w:sz w:val="13"/>
                <w:szCs w:val="13"/>
                <w:b w:val="1"/>
                <w:bCs w:val="1"/>
                <w:color w:val="auto"/>
              </w:rPr>
              <w:t>JULY 2,</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gridSpan w:val="3"/>
          </w:tcPr>
          <w:p>
            <w:pPr>
              <w:jc w:val="right"/>
              <w:ind w:right="88"/>
              <w:spacing w:after="0" w:line="119" w:lineRule="exact"/>
              <w:rPr>
                <w:sz w:val="20"/>
                <w:szCs w:val="20"/>
                <w:color w:val="auto"/>
              </w:rPr>
            </w:pPr>
            <w:r>
              <w:rPr>
                <w:rFonts w:ascii="Arial" w:cs="Arial" w:eastAsia="Arial" w:hAnsi="Arial"/>
                <w:sz w:val="13"/>
                <w:szCs w:val="13"/>
                <w:b w:val="1"/>
                <w:bCs w:val="1"/>
                <w:color w:val="auto"/>
              </w:rPr>
              <w:t>JULY 1,</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gridSpan w:val="2"/>
          </w:tcPr>
          <w:p>
            <w:pPr>
              <w:jc w:val="right"/>
              <w:ind w:right="11"/>
              <w:spacing w:after="0" w:line="119" w:lineRule="exact"/>
              <w:rPr>
                <w:sz w:val="20"/>
                <w:szCs w:val="20"/>
                <w:color w:val="auto"/>
              </w:rPr>
            </w:pPr>
            <w:r>
              <w:rPr>
                <w:rFonts w:ascii="Arial" w:cs="Arial" w:eastAsia="Arial" w:hAnsi="Arial"/>
                <w:sz w:val="13"/>
                <w:szCs w:val="13"/>
                <w:b w:val="1"/>
                <w:bCs w:val="1"/>
                <w:color w:val="auto"/>
              </w:rPr>
              <w:t>JULY 2,</w:t>
            </w:r>
          </w:p>
        </w:tc>
        <w:tc>
          <w:tcPr>
            <w:tcW w:w="100" w:type="dxa"/>
            <w:vAlign w:val="bottom"/>
          </w:tcPr>
          <w:p>
            <w:pPr>
              <w:spacing w:after="0"/>
              <w:rPr>
                <w:sz w:val="10"/>
                <w:szCs w:val="10"/>
                <w:color w:val="auto"/>
              </w:rPr>
            </w:pPr>
          </w:p>
        </w:tc>
      </w:tr>
      <w:tr>
        <w:trPr>
          <w:trHeight w:val="171"/>
        </w:trPr>
        <w:tc>
          <w:tcPr>
            <w:tcW w:w="5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1320" w:type="dxa"/>
            <w:vAlign w:val="bottom"/>
            <w:gridSpan w:val="5"/>
          </w:tcPr>
          <w:p>
            <w:pPr>
              <w:jc w:val="right"/>
              <w:ind w:right="110"/>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10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4"/>
              </w:rPr>
              <w:t>MILLIONS)</w:t>
            </w:r>
          </w:p>
        </w:tc>
        <w:tc>
          <w:tcPr>
            <w:tcW w:w="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w w:val="85"/>
              </w:rPr>
              <w:t>(IN</w:t>
            </w:r>
          </w:p>
        </w:tc>
        <w:tc>
          <w:tcPr>
            <w:tcW w:w="6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w w:val="83"/>
              </w:rPr>
              <w:t>MILLIONS)</w:t>
            </w:r>
          </w:p>
        </w:tc>
        <w:tc>
          <w:tcPr>
            <w:tcW w:w="680" w:type="dxa"/>
            <w:vAlign w:val="bottom"/>
            <w:tcBorders>
              <w:top w:val="single" w:sz="8" w:color="auto"/>
            </w:tcBorders>
            <w:gridSpan w:val="2"/>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620"/>
              <w:spacing w:after="0"/>
              <w:rPr>
                <w:sz w:val="20"/>
                <w:szCs w:val="20"/>
                <w:color w:val="auto"/>
              </w:rPr>
            </w:pPr>
            <w:r>
              <w:rPr>
                <w:rFonts w:ascii="Arial" w:cs="Arial" w:eastAsia="Arial" w:hAnsi="Arial"/>
                <w:sz w:val="18"/>
                <w:szCs w:val="18"/>
                <w:color w:val="auto"/>
              </w:rPr>
              <w:t>North America</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770.3</w:t>
            </w:r>
          </w:p>
        </w:tc>
        <w:tc>
          <w:tcPr>
            <w:tcW w:w="880" w:type="dxa"/>
            <w:vAlign w:val="bottom"/>
            <w:gridSpan w:val="3"/>
          </w:tcPr>
          <w:p>
            <w:pPr>
              <w:jc w:val="right"/>
              <w:ind w:right="89"/>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60"/>
              <w:spacing w:after="0"/>
              <w:rPr>
                <w:sz w:val="20"/>
                <w:szCs w:val="20"/>
                <w:color w:val="auto"/>
              </w:rPr>
            </w:pPr>
            <w:r>
              <w:rPr>
                <w:rFonts w:ascii="Arial" w:cs="Arial" w:eastAsia="Arial" w:hAnsi="Arial"/>
                <w:sz w:val="18"/>
                <w:szCs w:val="18"/>
                <w:color w:val="auto"/>
                <w:w w:val="93"/>
              </w:rPr>
              <w:t>687.5</w:t>
            </w:r>
          </w:p>
        </w:tc>
        <w:tc>
          <w:tcPr>
            <w:tcW w:w="1160" w:type="dxa"/>
            <w:vAlign w:val="bottom"/>
            <w:gridSpan w:val="4"/>
          </w:tcPr>
          <w:p>
            <w:pPr>
              <w:jc w:val="right"/>
              <w:ind w:right="8"/>
              <w:spacing w:after="0"/>
              <w:rPr>
                <w:sz w:val="20"/>
                <w:szCs w:val="20"/>
                <w:color w:val="auto"/>
              </w:rPr>
            </w:pPr>
            <w:r>
              <w:rPr>
                <w:rFonts w:ascii="Arial" w:cs="Arial" w:eastAsia="Arial" w:hAnsi="Arial"/>
                <w:sz w:val="18"/>
                <w:szCs w:val="18"/>
                <w:color w:val="auto"/>
              </w:rPr>
              <w:t>$ 1,596.5</w:t>
            </w:r>
          </w:p>
        </w:tc>
        <w:tc>
          <w:tcPr>
            <w:tcW w:w="1380" w:type="dxa"/>
            <w:vAlign w:val="bottom"/>
            <w:gridSpan w:val="5"/>
          </w:tcPr>
          <w:p>
            <w:pPr>
              <w:jc w:val="right"/>
              <w:ind w:right="100"/>
              <w:spacing w:after="0"/>
              <w:rPr>
                <w:sz w:val="20"/>
                <w:szCs w:val="20"/>
                <w:color w:val="auto"/>
              </w:rPr>
            </w:pPr>
            <w:r>
              <w:rPr>
                <w:rFonts w:ascii="Arial" w:cs="Arial" w:eastAsia="Arial" w:hAnsi="Arial"/>
                <w:sz w:val="18"/>
                <w:szCs w:val="18"/>
                <w:color w:val="auto"/>
              </w:rPr>
              <w:t>$ 1,405.5</w:t>
            </w:r>
          </w:p>
        </w:tc>
      </w:tr>
      <w:tr>
        <w:trPr>
          <w:trHeight w:val="216"/>
        </w:trPr>
        <w:tc>
          <w:tcPr>
            <w:tcW w:w="50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Scotts LawnService®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59.8</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4"/>
              </w:rPr>
              <w:t>128.7</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w:t>
            </w:r>
          </w:p>
        </w:tc>
      </w:tr>
      <w:tr>
        <w:trPr>
          <w:trHeight w:val="216"/>
        </w:trPr>
        <w:tc>
          <w:tcPr>
            <w:tcW w:w="5020" w:type="dxa"/>
            <w:vAlign w:val="bottom"/>
          </w:tcPr>
          <w:p>
            <w:pPr>
              <w:ind w:left="620"/>
              <w:spacing w:after="0"/>
              <w:rPr>
                <w:sz w:val="20"/>
                <w:szCs w:val="20"/>
                <w:color w:val="auto"/>
              </w:rPr>
            </w:pPr>
            <w:r>
              <w:rPr>
                <w:rFonts w:ascii="Arial" w:cs="Arial" w:eastAsia="Arial" w:hAnsi="Arial"/>
                <w:sz w:val="18"/>
                <w:szCs w:val="18"/>
                <w:color w:val="auto"/>
              </w:rPr>
              <w:t>International</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144.5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8"/>
                <w:szCs w:val="18"/>
                <w:color w:val="auto"/>
                <w:w w:val="93"/>
              </w:rPr>
              <w:t>142.0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w w:val="84"/>
              </w:rPr>
              <w:t>353.0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376.2</w:t>
            </w:r>
          </w:p>
        </w:tc>
      </w:tr>
      <w:tr>
        <w:trPr>
          <w:trHeight w:val="216"/>
        </w:trPr>
        <w:tc>
          <w:tcPr>
            <w:tcW w:w="50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Corporate &amp; Other</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57.6</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4"/>
              </w:rPr>
              <w:t>126.8</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w:t>
            </w:r>
          </w:p>
        </w:tc>
      </w:tr>
      <w:tr>
        <w:trPr>
          <w:trHeight w:val="223"/>
        </w:trPr>
        <w:tc>
          <w:tcPr>
            <w:tcW w:w="5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1,048.0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946.9</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2,205.0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2,006.8</w:t>
            </w:r>
          </w:p>
        </w:tc>
        <w:tc>
          <w:tcPr>
            <w:tcW w:w="100" w:type="dxa"/>
            <w:vAlign w:val="bottom"/>
          </w:tcPr>
          <w:p>
            <w:pPr>
              <w:spacing w:after="0"/>
              <w:rPr>
                <w:sz w:val="19"/>
                <w:szCs w:val="19"/>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Roundup® deferred contribution charge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(45.7)</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w:t>
            </w:r>
          </w:p>
        </w:tc>
      </w:tr>
      <w:tr>
        <w:trPr>
          <w:trHeight w:val="223"/>
        </w:trPr>
        <w:tc>
          <w:tcPr>
            <w:tcW w:w="5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1,048.0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901.2</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$ 2,205.0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$ 1,961.1</w:t>
            </w:r>
          </w:p>
        </w:tc>
        <w:tc>
          <w:tcPr>
            <w:tcW w:w="10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620"/>
              <w:spacing w:after="0"/>
              <w:rPr>
                <w:sz w:val="20"/>
                <w:szCs w:val="20"/>
                <w:color w:val="auto"/>
              </w:rPr>
            </w:pPr>
            <w:r>
              <w:rPr>
                <w:rFonts w:ascii="Arial" w:cs="Arial" w:eastAsia="Arial" w:hAnsi="Arial"/>
                <w:sz w:val="18"/>
                <w:szCs w:val="18"/>
                <w:color w:val="auto"/>
              </w:rPr>
              <w:t>North America</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205.4</w:t>
            </w:r>
          </w:p>
        </w:tc>
        <w:tc>
          <w:tcPr>
            <w:tcW w:w="880" w:type="dxa"/>
            <w:vAlign w:val="bottom"/>
            <w:gridSpan w:val="3"/>
          </w:tcPr>
          <w:p>
            <w:pPr>
              <w:jc w:val="right"/>
              <w:ind w:right="89"/>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60"/>
              <w:spacing w:after="0"/>
              <w:rPr>
                <w:sz w:val="20"/>
                <w:szCs w:val="20"/>
                <w:color w:val="auto"/>
              </w:rPr>
            </w:pPr>
            <w:r>
              <w:rPr>
                <w:rFonts w:ascii="Arial" w:cs="Arial" w:eastAsia="Arial" w:hAnsi="Arial"/>
                <w:sz w:val="18"/>
                <w:szCs w:val="18"/>
                <w:color w:val="auto"/>
                <w:w w:val="93"/>
              </w:rPr>
              <w:t>181.3</w:t>
            </w:r>
          </w:p>
        </w:tc>
        <w:tc>
          <w:tcPr>
            <w:tcW w:w="68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w w:val="84"/>
              </w:rPr>
              <w:t>356.8</w:t>
            </w:r>
          </w:p>
        </w:tc>
        <w:tc>
          <w:tcPr>
            <w:tcW w:w="700" w:type="dxa"/>
            <w:vAlign w:val="bottom"/>
            <w:gridSpan w:val="3"/>
          </w:tcPr>
          <w:p>
            <w:pPr>
              <w:ind w:left="6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318.1</w:t>
            </w:r>
          </w:p>
        </w:tc>
      </w:tr>
      <w:tr>
        <w:trPr>
          <w:trHeight w:val="216"/>
        </w:trPr>
        <w:tc>
          <w:tcPr>
            <w:tcW w:w="50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Scotts LawnService®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17.0</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5020" w:type="dxa"/>
            <w:vAlign w:val="bottom"/>
          </w:tcPr>
          <w:p>
            <w:pPr>
              <w:ind w:left="620"/>
              <w:spacing w:after="0"/>
              <w:rPr>
                <w:sz w:val="20"/>
                <w:szCs w:val="20"/>
                <w:color w:val="auto"/>
              </w:rPr>
            </w:pPr>
            <w:r>
              <w:rPr>
                <w:rFonts w:ascii="Arial" w:cs="Arial" w:eastAsia="Arial" w:hAnsi="Arial"/>
                <w:sz w:val="18"/>
                <w:szCs w:val="18"/>
                <w:color w:val="auto"/>
              </w:rPr>
              <w:t>International</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8"/>
                <w:szCs w:val="18"/>
                <w:color w:val="auto"/>
              </w:rPr>
              <w:t>21.3</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r>
      <w:tr>
        <w:trPr>
          <w:trHeight w:val="216"/>
        </w:trPr>
        <w:tc>
          <w:tcPr>
            <w:tcW w:w="50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Corporate &amp; Other</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(56.7)</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w:t>
            </w:r>
          </w:p>
        </w:tc>
      </w:tr>
      <w:tr>
        <w:trPr>
          <w:trHeight w:val="223"/>
        </w:trPr>
        <w:tc>
          <w:tcPr>
            <w:tcW w:w="5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201.5</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335.8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19"/>
                <w:szCs w:val="19"/>
                <w:color w:val="auto"/>
              </w:rPr>
            </w:pPr>
          </w:p>
        </w:tc>
      </w:tr>
      <w:tr>
        <w:trPr>
          <w:trHeight w:val="216"/>
        </w:trPr>
        <w:tc>
          <w:tcPr>
            <w:tcW w:w="50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Roundup® deferred contribution charge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(45.7)</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w:t>
            </w:r>
          </w:p>
        </w:tc>
      </w:tr>
      <w:tr>
        <w:trPr>
          <w:trHeight w:val="216"/>
        </w:trPr>
        <w:tc>
          <w:tcPr>
            <w:tcW w:w="5020" w:type="dxa"/>
            <w:vAlign w:val="bottom"/>
          </w:tcPr>
          <w:p>
            <w:pPr>
              <w:ind w:left="620"/>
              <w:spacing w:after="0"/>
              <w:rPr>
                <w:sz w:val="20"/>
                <w:szCs w:val="20"/>
                <w:color w:val="auto"/>
              </w:rPr>
            </w:pPr>
            <w:r>
              <w:rPr>
                <w:rFonts w:ascii="Arial" w:cs="Arial" w:eastAsia="Arial" w:hAnsi="Arial"/>
                <w:sz w:val="18"/>
                <w:szCs w:val="18"/>
                <w:color w:val="auto"/>
              </w:rPr>
              <w:t>Amortization</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3"/>
              </w:rPr>
              <w:t>(12.2)</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50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Impairment of intangibles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r>
      <w:tr>
        <w:trPr>
          <w:trHeight w:val="216"/>
        </w:trPr>
        <w:tc>
          <w:tcPr>
            <w:tcW w:w="5020" w:type="dxa"/>
            <w:vAlign w:val="bottom"/>
          </w:tcPr>
          <w:p>
            <w:pPr>
              <w:ind w:left="620"/>
              <w:spacing w:after="0"/>
              <w:rPr>
                <w:sz w:val="20"/>
                <w:szCs w:val="20"/>
                <w:color w:val="auto"/>
              </w:rPr>
            </w:pPr>
            <w:r>
              <w:rPr>
                <w:rFonts w:ascii="Arial" w:cs="Arial" w:eastAsia="Arial" w:hAnsi="Arial"/>
                <w:sz w:val="18"/>
                <w:szCs w:val="18"/>
                <w:color w:val="auto"/>
              </w:rPr>
              <w:t>Restructuring</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7"/>
        </w:trPr>
        <w:tc>
          <w:tcPr>
            <w:tcW w:w="5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880" w:type="dxa"/>
            <w:vAlign w:val="bottom"/>
            <w:gridSpan w:val="3"/>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3"/>
              </w:rPr>
              <w:t>152.3</w:t>
            </w:r>
          </w:p>
        </w:tc>
        <w:tc>
          <w:tcPr>
            <w:tcW w:w="6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4"/>
              </w:rPr>
              <w:t>315.7</w:t>
            </w:r>
          </w:p>
        </w:tc>
        <w:tc>
          <w:tcPr>
            <w:tcW w:w="7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208.9</w:t>
            </w:r>
          </w:p>
        </w:tc>
      </w:tr>
      <w:tr>
        <w:trPr>
          <w:trHeight w:val="20"/>
        </w:trPr>
        <w:tc>
          <w:tcPr>
            <w:tcW w:w="5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5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JULY 1,</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JULY 2,</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5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4"/>
                <w:szCs w:val="14"/>
                <w:b w:val="1"/>
                <w:bCs w:val="1"/>
                <w:color w:val="auto"/>
              </w:rPr>
              <w:t>2006</w:t>
            </w:r>
          </w:p>
        </w:tc>
        <w:tc>
          <w:tcPr>
            <w:tcW w:w="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18"/>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4"/>
          </w:tcPr>
          <w:p>
            <w:pPr>
              <w:jc w:val="right"/>
              <w:ind w:right="28"/>
              <w:spacing w:after="0" w:line="142" w:lineRule="exact"/>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$ 1,589.7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$ 1,482.1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1,219.3</w:t>
            </w: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Scotts LawnService®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w:t>
            </w: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581.5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537.1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463.1</w:t>
            </w: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&amp; Other</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w:t>
            </w:r>
          </w:p>
        </w:tc>
      </w:tr>
      <w:tr>
        <w:trPr>
          <w:trHeight w:val="223"/>
        </w:trPr>
        <w:tc>
          <w:tcPr>
            <w:tcW w:w="5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$ 2,546.5</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$ 2,359.3</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2,018.9</w:t>
            </w:r>
          </w:p>
        </w:tc>
        <w:tc>
          <w:tcPr>
            <w:tcW w:w="10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Segment operating income or loss represents earnings before amortization of intangible assets, interest and taxes, since this is the measure of profitability used by management. Accordingly, the Corporate &amp; Other operating loss for the three and nine month periods ended July 1, 2006 and July 2, 2005 includes unallocated corporate general and administrative expenses, and certain other income/expense items not allocated to the business segments, as well as our Smith &amp; Hawken® direct-to-consumer business.</w:t>
      </w:r>
    </w:p>
    <w:p>
      <w:pPr>
        <w:spacing w:after="0" w:line="7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Total assets reported for the Company’s operating segments include the intangible assets for the acquired businesses within those segments. Corporate &amp; Other assets primarily include deferred financing and debt issuance costs, corporate intangible assets, deferred tax assets and Smith &amp; Hawken®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11. FINANCIAL INFORMATION FOR SUBSIDIARY GUARANTORS AND NON-GUARANTORS</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6 5/8% Senior Subordinated Notes are general obligations of Scotts Miracle-Gro and are guaranteed by all of the existing wholly-owned, domestic subsidiaries and all future wholly-owned, significant (as defined in Regulation S-X of the Securities and Exchange Commission) domestic subsidiaries of Scotts Miracle-Gro. These subsidiary guarantors jointly and severally guarantee the obligations of the Company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6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following unaudited information presents condensed, consolidating statements of operations and statements of cash flows for the three and nine month periods ended July 1, 2006 and July 2, 2005 and condensed, consolidating balance sheets as of July 1, 2006, July 2, 2005, and September 30, 2005.</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JULY 1, 2006</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w:t>
            </w:r>
          </w:p>
        </w:tc>
        <w:tc>
          <w:tcPr>
            <w:tcW w:w="18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580" w:type="dxa"/>
            <w:vAlign w:val="bottom"/>
            <w:gridSpan w:val="4"/>
          </w:tcPr>
          <w:p>
            <w:pPr>
              <w:ind w:left="260"/>
              <w:spacing w:after="0"/>
              <w:rPr>
                <w:sz w:val="20"/>
                <w:szCs w:val="20"/>
                <w:color w:val="auto"/>
              </w:rPr>
            </w:pPr>
            <w:r>
              <w:rPr>
                <w:rFonts w:ascii="Arial" w:cs="Arial" w:eastAsia="Arial" w:hAnsi="Arial"/>
                <w:sz w:val="14"/>
                <w:szCs w:val="14"/>
                <w:b w:val="1"/>
                <w:bCs w:val="1"/>
                <w:color w:val="auto"/>
              </w:rPr>
              <w:t>GUARANTORS</w:t>
            </w:r>
          </w:p>
        </w:tc>
        <w:tc>
          <w:tcPr>
            <w:tcW w:w="156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88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866.6</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181.4</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524.5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117.5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63.9</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38.1</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Impairment, restructuring and other charges</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Equity income in subsidiaries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(136.6)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136.6</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Intracompany allocations</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4180" w:type="dxa"/>
            <w:vAlign w:val="bottom"/>
          </w:tcPr>
          <w:p>
            <w:pPr>
              <w:ind w:left="22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5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4180" w:type="dxa"/>
            <w:vAlign w:val="bottom"/>
          </w:tcPr>
          <w:p>
            <w:pPr>
              <w:ind w:left="22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5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5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JULY 1, 2006</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w:t>
            </w:r>
          </w:p>
        </w:tc>
        <w:tc>
          <w:tcPr>
            <w:tcW w:w="18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580" w:type="dxa"/>
            <w:vAlign w:val="bottom"/>
            <w:gridSpan w:val="4"/>
          </w:tcPr>
          <w:p>
            <w:pPr>
              <w:ind w:left="260"/>
              <w:spacing w:after="0"/>
              <w:rPr>
                <w:sz w:val="20"/>
                <w:szCs w:val="20"/>
                <w:color w:val="auto"/>
              </w:rPr>
            </w:pPr>
            <w:r>
              <w:rPr>
                <w:rFonts w:ascii="Arial" w:cs="Arial" w:eastAsia="Arial" w:hAnsi="Arial"/>
                <w:sz w:val="14"/>
                <w:szCs w:val="14"/>
                <w:b w:val="1"/>
                <w:bCs w:val="1"/>
                <w:color w:val="auto"/>
              </w:rPr>
              <w:t>GUARANTORS</w:t>
            </w:r>
          </w:p>
        </w:tc>
        <w:tc>
          <w:tcPr>
            <w:tcW w:w="156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88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1,765.0</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440.0</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1,115.9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283.1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restructuring and other</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384.7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104.7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restructuring and other charges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Equity income in subsidiaries</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(185.3)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185.3</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Intracompany allocations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(185.3)</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(185.3)</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175.4</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178.8</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(185.3)</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 PERIOD ENDED JULY 1, 2006</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w:t>
            </w:r>
          </w:p>
        </w:tc>
        <w:tc>
          <w:tcPr>
            <w:tcW w:w="18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580" w:type="dxa"/>
            <w:vAlign w:val="bottom"/>
            <w:gridSpan w:val="4"/>
          </w:tcPr>
          <w:p>
            <w:pPr>
              <w:ind w:left="260"/>
              <w:spacing w:after="0"/>
              <w:rPr>
                <w:sz w:val="20"/>
                <w:szCs w:val="20"/>
                <w:color w:val="auto"/>
              </w:rPr>
            </w:pPr>
            <w:r>
              <w:rPr>
                <w:rFonts w:ascii="Arial" w:cs="Arial" w:eastAsia="Arial" w:hAnsi="Arial"/>
                <w:sz w:val="14"/>
                <w:szCs w:val="14"/>
                <w:b w:val="1"/>
                <w:bCs w:val="1"/>
                <w:color w:val="auto"/>
              </w:rPr>
              <w:t>GUARANTORS</w:t>
            </w:r>
          </w:p>
        </w:tc>
        <w:tc>
          <w:tcPr>
            <w:tcW w:w="156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88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175.4</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178.8</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(185.3)</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to net cash</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provided by operating activities:</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Impairment of intangible assets</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 based compensation expense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Equity income in subsidiaries</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(185.3)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185.3</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change in certain components of working</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(186.7)</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(69.3)</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color w:val="auto"/>
              </w:rPr>
              <w:t>Net changes in other assets and liabilities and other</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cash (used in) provided by operating</w:t>
            </w: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50.7</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property, plant and equipment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color w:val="auto"/>
              </w:rPr>
              <w:t>Investment in acquired businesses, net of cash</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acquired</w:t>
            </w:r>
          </w:p>
        </w:tc>
        <w:tc>
          <w:tcPr>
            <w:tcW w:w="1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(97.1)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Borrowings under revolving and bank lines of</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417.0</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289.4</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color w:val="auto"/>
              </w:rPr>
              <w:t>Repayments under revolving and bank lines of</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credit</w:t>
            </w:r>
          </w:p>
        </w:tc>
        <w:tc>
          <w:tcPr>
            <w:tcW w:w="14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(411.5)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(84.2)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Purchase of common shares</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(73.3)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Payments on seller notes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color w:val="auto"/>
              </w:rPr>
              <w:t>Excess tax benefits from share-based payment</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arrangements</w:t>
            </w:r>
          </w:p>
        </w:tc>
        <w:tc>
          <w:tcPr>
            <w:tcW w:w="14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the exercise of stock options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Intracompany financing</w:t>
            </w:r>
          </w:p>
        </w:tc>
        <w:tc>
          <w:tcPr>
            <w:tcW w:w="14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188.6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(38.8)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(149.8)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cash provided by (used in) financing</w:t>
            </w: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105.7</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55.4</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37.7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51.4</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JULY 1, 2006</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2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SUBSIDIARY</w:t>
            </w:r>
          </w:p>
        </w:tc>
        <w:tc>
          <w:tcPr>
            <w:tcW w:w="200" w:type="dxa"/>
            <w:vAlign w:val="bottom"/>
          </w:tcPr>
          <w:p>
            <w:pPr>
              <w:spacing w:after="0"/>
              <w:rPr>
                <w:sz w:val="14"/>
                <w:szCs w:val="14"/>
                <w:color w:val="auto"/>
              </w:rPr>
            </w:pPr>
          </w:p>
        </w:tc>
        <w:tc>
          <w:tcPr>
            <w:tcW w:w="13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NON-</w:t>
            </w: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4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99"/>
              </w:rPr>
              <w:t>GUARANTORS</w:t>
            </w:r>
          </w:p>
        </w:tc>
        <w:tc>
          <w:tcPr>
            <w:tcW w:w="5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400" w:type="dxa"/>
            <w:vAlign w:val="bottom"/>
            <w:gridSpan w:val="3"/>
            <w:vMerge w:val="continue"/>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center"/>
              <w:ind w:right="700"/>
              <w:spacing w:after="0"/>
              <w:rPr>
                <w:sz w:val="20"/>
                <w:szCs w:val="20"/>
                <w:color w:val="auto"/>
              </w:rPr>
            </w:pPr>
            <w:r>
              <w:rPr>
                <w:rFonts w:ascii="Arial" w:cs="Arial" w:eastAsia="Arial" w:hAnsi="Arial"/>
                <w:sz w:val="18"/>
                <w:szCs w:val="18"/>
                <w:color w:val="auto"/>
                <w:w w:val="92"/>
              </w:rPr>
              <w:t>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348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471.8</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190.3</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420"/>
              <w:spacing w:after="0"/>
              <w:rPr>
                <w:sz w:val="20"/>
                <w:szCs w:val="20"/>
                <w:color w:val="auto"/>
              </w:rPr>
            </w:pPr>
            <w:r>
              <w:rPr>
                <w:rFonts w:ascii="Arial" w:cs="Arial" w:eastAsia="Arial" w:hAnsi="Arial"/>
                <w:sz w:val="18"/>
                <w:szCs w:val="18"/>
                <w:color w:val="auto"/>
              </w:rPr>
              <w:t>Prepaid and other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49.6</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current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865.6</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307.6</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48.4</w:t>
            </w:r>
          </w:p>
        </w:tc>
        <w:tc>
          <w:tcPr>
            <w:tcW w:w="2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Intangible assets,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125.7</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1,032.7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(1,032.7)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Intracompany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820"/>
              <w:spacing w:after="0"/>
              <w:rPr>
                <w:sz w:val="20"/>
                <w:szCs w:val="20"/>
                <w:color w:val="auto"/>
              </w:rPr>
            </w:pPr>
            <w:r>
              <w:rPr>
                <w:rFonts w:ascii="Arial" w:cs="Arial" w:eastAsia="Arial" w:hAnsi="Arial"/>
                <w:sz w:val="18"/>
                <w:szCs w:val="18"/>
                <w:color w:val="auto"/>
              </w:rPr>
              <w:t>Total assets</w:t>
            </w:r>
          </w:p>
        </w:tc>
        <w:tc>
          <w:tcPr>
            <w:tcW w:w="76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8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$ 1,340.1</w:t>
            </w:r>
          </w:p>
        </w:tc>
        <w:tc>
          <w:tcPr>
            <w:tcW w:w="22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1,879.7</w:t>
            </w:r>
          </w:p>
        </w:tc>
        <w:tc>
          <w:tcPr>
            <w:tcW w:w="5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657.8</w:t>
            </w:r>
          </w:p>
        </w:tc>
        <w:tc>
          <w:tcPr>
            <w:tcW w:w="56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(1,331.1)</w:t>
            </w:r>
          </w:p>
        </w:tc>
        <w:tc>
          <w:tcPr>
            <w:tcW w:w="240" w:type="dxa"/>
            <w:vAlign w:val="bottom"/>
            <w:vMerge w:val="continue"/>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5060" w:type="dxa"/>
            <w:vAlign w:val="bottom"/>
            <w:gridSpan w:val="11"/>
            <w:shd w:val="clear" w:color="auto" w:fill="CCEEFF"/>
          </w:tcPr>
          <w:p>
            <w:pPr>
              <w:jc w:val="center"/>
              <w:ind w:right="600"/>
              <w:spacing w:after="0"/>
              <w:rPr>
                <w:sz w:val="20"/>
                <w:szCs w:val="20"/>
                <w:color w:val="auto"/>
              </w:rPr>
            </w:pPr>
            <w:r>
              <w:rPr>
                <w:rFonts w:ascii="Arial" w:cs="Arial" w:eastAsia="Arial" w:hAnsi="Arial"/>
                <w:sz w:val="18"/>
                <w:szCs w:val="18"/>
                <w:color w:val="auto"/>
                <w:w w:val="99"/>
              </w:rPr>
              <w:t>LIABILITIES AND SHAREHOLDERS’ EQUITY</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debt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34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61.4</w:t>
            </w:r>
          </w:p>
        </w:tc>
        <w:tc>
          <w:tcPr>
            <w:tcW w:w="2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110.4</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420"/>
              <w:spacing w:after="0"/>
              <w:rPr>
                <w:sz w:val="20"/>
                <w:szCs w:val="20"/>
                <w:color w:val="auto"/>
              </w:rPr>
            </w:pPr>
            <w:r>
              <w:rPr>
                <w:rFonts w:ascii="Arial" w:cs="Arial" w:eastAsia="Arial" w:hAnsi="Arial"/>
                <w:sz w:val="18"/>
                <w:szCs w:val="18"/>
                <w:color w:val="auto"/>
              </w:rPr>
              <w:t>Accrued taxes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103.9</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current liabilities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Long-term debt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391.8</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Intracompany liabilities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150.2</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(298.4)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Shareholders’ equity</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1,138.7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1,134.3</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(101.6)</w:t>
            </w: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(1,032.7)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$ 1,340.1</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1,879.7</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(1,331.1)</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530"/>
              <w:spacing w:after="0"/>
              <w:rPr>
                <w:sz w:val="20"/>
                <w:szCs w:val="20"/>
                <w:color w:val="auto"/>
              </w:rPr>
            </w:pPr>
            <w:r>
              <w:rPr>
                <w:rFonts w:ascii="Arial" w:cs="Arial" w:eastAsia="Arial" w:hAnsi="Arial"/>
                <w:sz w:val="18"/>
                <w:szCs w:val="18"/>
                <w:color w:val="auto"/>
                <w:w w:val="89"/>
              </w:rPr>
              <w:t>20</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JULY 2, 2005</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w:t>
            </w:r>
          </w:p>
        </w:tc>
        <w:tc>
          <w:tcPr>
            <w:tcW w:w="18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580" w:type="dxa"/>
            <w:vAlign w:val="bottom"/>
            <w:gridSpan w:val="4"/>
          </w:tcPr>
          <w:p>
            <w:pPr>
              <w:ind w:left="260"/>
              <w:spacing w:after="0"/>
              <w:rPr>
                <w:sz w:val="20"/>
                <w:szCs w:val="20"/>
                <w:color w:val="auto"/>
              </w:rPr>
            </w:pPr>
            <w:r>
              <w:rPr>
                <w:rFonts w:ascii="Arial" w:cs="Arial" w:eastAsia="Arial" w:hAnsi="Arial"/>
                <w:sz w:val="14"/>
                <w:szCs w:val="14"/>
                <w:b w:val="1"/>
                <w:bCs w:val="1"/>
                <w:color w:val="auto"/>
              </w:rPr>
              <w:t>GUARANTORS</w:t>
            </w:r>
          </w:p>
        </w:tc>
        <w:tc>
          <w:tcPr>
            <w:tcW w:w="156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88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390.5</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337.6</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173.1</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901.2</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285.1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109.2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567.4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Impairment, restructuring and other charges</w:t>
            </w: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Equity income in subsidiaries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83.9</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Intracompany allocations</w:t>
            </w: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4180" w:type="dxa"/>
            <w:vAlign w:val="bottom"/>
          </w:tcPr>
          <w:p>
            <w:pPr>
              <w:ind w:left="22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5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4180" w:type="dxa"/>
            <w:vAlign w:val="bottom"/>
          </w:tcPr>
          <w:p>
            <w:pPr>
              <w:ind w:left="22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5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5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5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JULY 2, 2005</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560" w:type="dxa"/>
            <w:vAlign w:val="bottom"/>
            <w:vMerge w:val="restart"/>
          </w:tcPr>
          <w:p>
            <w:pPr>
              <w:spacing w:after="0"/>
              <w:rPr>
                <w:sz w:val="14"/>
                <w:szCs w:val="14"/>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SUBSIDIARY</w:t>
            </w:r>
          </w:p>
        </w:tc>
        <w:tc>
          <w:tcPr>
            <w:tcW w:w="20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NON-</w:t>
            </w:r>
          </w:p>
        </w:tc>
        <w:tc>
          <w:tcPr>
            <w:tcW w:w="19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90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Cost of sales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599.0</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358.1</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restructuring and other</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294.4</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287.3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101.4</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restructuring and other charges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Equity income in subsidiaries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(102.5)</w:t>
            </w:r>
          </w:p>
        </w:tc>
        <w:tc>
          <w:tcPr>
            <w:tcW w:w="1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102.5</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Intracompany allocations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(102.5)</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Interest expense (income)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(102.5)</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Income taxes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60.9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99.4</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(102.5)</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(102.5)</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530"/>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JULY 2, 2005</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w:t>
            </w:r>
          </w:p>
        </w:tc>
        <w:tc>
          <w:tcPr>
            <w:tcW w:w="18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580" w:type="dxa"/>
            <w:vAlign w:val="bottom"/>
            <w:gridSpan w:val="4"/>
          </w:tcPr>
          <w:p>
            <w:pPr>
              <w:ind w:left="260"/>
              <w:spacing w:after="0"/>
              <w:rPr>
                <w:sz w:val="20"/>
                <w:szCs w:val="20"/>
                <w:color w:val="auto"/>
              </w:rPr>
            </w:pPr>
            <w:r>
              <w:rPr>
                <w:rFonts w:ascii="Arial" w:cs="Arial" w:eastAsia="Arial" w:hAnsi="Arial"/>
                <w:sz w:val="14"/>
                <w:szCs w:val="14"/>
                <w:b w:val="1"/>
                <w:bCs w:val="1"/>
                <w:color w:val="auto"/>
              </w:rPr>
              <w:t>GUARANTORS</w:t>
            </w:r>
          </w:p>
        </w:tc>
        <w:tc>
          <w:tcPr>
            <w:tcW w:w="156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88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109.0</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99.4</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(102.5)</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to net cash</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provided by (used in) operating activities:</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Impairment of intangible assets</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Deferred taxes (benefit)</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income in subsidiaries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(102.5)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102.5</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color w:val="auto"/>
              </w:rPr>
              <w:t>Net change in certain components of working</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capital</w:t>
            </w:r>
          </w:p>
        </w:tc>
        <w:tc>
          <w:tcPr>
            <w:tcW w:w="1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(48.7)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(67.5)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changes in other assets and liabilities and other</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Net cash provided by (used in) operating</w:t>
            </w: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Pr>
          <w:p>
            <w:pPr>
              <w:ind w:left="40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32.7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67.1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Redemption of available for sale securities</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57.2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property, plant and equipment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color w:val="auto"/>
              </w:rPr>
              <w:t>Investment in acquired businesses, net of cash</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acquired</w:t>
            </w:r>
          </w:p>
        </w:tc>
        <w:tc>
          <w:tcPr>
            <w:tcW w:w="14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(76.7)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cash provided by (used in) investing</w:t>
            </w: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43.4</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(79.7)</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Borrowings under revolving and bank lines of</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44.2</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410.4</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color w:val="auto"/>
              </w:rPr>
              <w:t>Repayments under revolving and bank lines of</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credit</w:t>
            </w:r>
          </w:p>
        </w:tc>
        <w:tc>
          <w:tcPr>
            <w:tcW w:w="1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(45.3)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(389.2)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term loans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Financing fees, net</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Payments on seller notes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Cash received from the exercise of stock options</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Intracompany financing</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Net cash provided by (used in) financing</w:t>
            </w: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40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(28.1)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47.8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Net increase in cash</w:t>
            </w: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JULY 2, 2005</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26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SUBSIDIARY</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NON-</w:t>
            </w: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4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GUARANTORS</w:t>
            </w:r>
          </w:p>
        </w:tc>
        <w:tc>
          <w:tcPr>
            <w:tcW w:w="1400" w:type="dxa"/>
            <w:vAlign w:val="bottom"/>
            <w:gridSpan w:val="3"/>
            <w:vMerge w:val="continue"/>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center"/>
              <w:ind w:right="460"/>
              <w:spacing w:after="0"/>
              <w:rPr>
                <w:sz w:val="20"/>
                <w:szCs w:val="20"/>
                <w:color w:val="auto"/>
              </w:rPr>
            </w:pPr>
            <w:r>
              <w:rPr>
                <w:rFonts w:ascii="Arial" w:cs="Arial" w:eastAsia="Arial" w:hAnsi="Arial"/>
                <w:sz w:val="18"/>
                <w:szCs w:val="18"/>
                <w:color w:val="auto"/>
                <w:w w:val="92"/>
              </w:rPr>
              <w:t>ASSETS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Current assets: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209.2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163.0</w:t>
            </w:r>
          </w:p>
        </w:tc>
        <w:tc>
          <w:tcPr>
            <w:tcW w:w="2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95.9</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Prepaid and other assets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36.5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323.2</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116.1</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Intangible assets, net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305.3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124.8</w:t>
            </w:r>
          </w:p>
        </w:tc>
        <w:tc>
          <w:tcPr>
            <w:tcW w:w="2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1,344.6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(1,344.6)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Intracompany assets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(428.7)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62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$ 2,101.8</w:t>
            </w:r>
          </w:p>
        </w:tc>
        <w:tc>
          <w:tcPr>
            <w:tcW w:w="26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1,425.8</w:t>
            </w:r>
          </w:p>
        </w:tc>
        <w:tc>
          <w:tcPr>
            <w:tcW w:w="3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605.0</w:t>
            </w:r>
          </w:p>
        </w:tc>
        <w:tc>
          <w:tcPr>
            <w:tcW w:w="540" w:type="dxa"/>
            <w:vAlign w:val="bottom"/>
            <w:vMerge w:val="continue"/>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(1,773.3)</w:t>
            </w:r>
          </w:p>
        </w:tc>
        <w:tc>
          <w:tcPr>
            <w:tcW w:w="240" w:type="dxa"/>
            <w:vAlign w:val="bottom"/>
            <w:vMerge w:val="continue"/>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4960" w:type="dxa"/>
            <w:vAlign w:val="bottom"/>
            <w:gridSpan w:val="12"/>
            <w:shd w:val="clear" w:color="auto" w:fill="CCEEFF"/>
          </w:tcPr>
          <w:p>
            <w:pPr>
              <w:jc w:val="center"/>
              <w:ind w:right="700"/>
              <w:spacing w:after="0"/>
              <w:rPr>
                <w:sz w:val="20"/>
                <w:szCs w:val="20"/>
                <w:color w:val="auto"/>
              </w:rPr>
            </w:pPr>
            <w:r>
              <w:rPr>
                <w:rFonts w:ascii="Arial" w:cs="Arial" w:eastAsia="Arial" w:hAnsi="Arial"/>
                <w:sz w:val="18"/>
                <w:szCs w:val="18"/>
                <w:color w:val="auto"/>
                <w:w w:val="99"/>
              </w:rPr>
              <w:t>LIABILITIES AND SHAREHOLDERS’ EQUITY</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debt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97.4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62.3</w:t>
            </w:r>
          </w:p>
        </w:tc>
        <w:tc>
          <w:tcPr>
            <w:tcW w:w="2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97.7</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Accrued taxes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62.9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172.8</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Long-term debt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600.3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Intracompany liabilities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48.4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380.3</w:t>
            </w: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(428.7)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1,085.0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577.4</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(428.7)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Shareholders’ equity</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1,016.8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1,317.0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27.6</w:t>
            </w: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(1,344.6)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Total liabilities and shareholders’ equity</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$ 2,101.8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1,425.8</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605.0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(1,773.3)</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490"/>
              <w:spacing w:after="0"/>
              <w:rPr>
                <w:sz w:val="20"/>
                <w:szCs w:val="20"/>
                <w:color w:val="auto"/>
              </w:rPr>
            </w:pPr>
            <w:r>
              <w:rPr>
                <w:rFonts w:ascii="Arial" w:cs="Arial" w:eastAsia="Arial" w:hAnsi="Arial"/>
                <w:sz w:val="18"/>
                <w:szCs w:val="18"/>
                <w:color w:val="auto"/>
                <w:w w:val="89"/>
              </w:rPr>
              <w:t>24</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5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SEPTEMBER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26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SUBSIDIARY</w:t>
            </w:r>
          </w:p>
        </w:tc>
        <w:tc>
          <w:tcPr>
            <w:tcW w:w="20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NON-</w:t>
            </w:r>
          </w:p>
        </w:tc>
        <w:tc>
          <w:tcPr>
            <w:tcW w:w="19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90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center"/>
              <w:ind w:right="700"/>
              <w:spacing w:after="0"/>
              <w:rPr>
                <w:sz w:val="20"/>
                <w:szCs w:val="20"/>
                <w:color w:val="auto"/>
              </w:rPr>
            </w:pPr>
            <w:r>
              <w:rPr>
                <w:rFonts w:ascii="Arial" w:cs="Arial" w:eastAsia="Arial" w:hAnsi="Arial"/>
                <w:sz w:val="18"/>
                <w:szCs w:val="18"/>
                <w:color w:val="auto"/>
                <w:w w:val="92"/>
              </w:rPr>
              <w:t>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Current assets: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240.3</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83.0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232.5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Prepaid and other assets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assets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555.4</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294.7</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42.3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314.9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Intangible assets, net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315.4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1,660.5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(1,660.5)</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Intracompany assets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606.9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(606.9)</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62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$ 1,671.1</w:t>
            </w:r>
          </w:p>
        </w:tc>
        <w:tc>
          <w:tcPr>
            <w:tcW w:w="26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2,098.1</w:t>
            </w:r>
          </w:p>
        </w:tc>
        <w:tc>
          <w:tcPr>
            <w:tcW w:w="5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517.1</w:t>
            </w:r>
          </w:p>
        </w:tc>
        <w:tc>
          <w:tcPr>
            <w:tcW w:w="2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(2,267.4)</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2,018.9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4680" w:type="dxa"/>
            <w:vAlign w:val="bottom"/>
            <w:gridSpan w:val="11"/>
            <w:shd w:val="clear" w:color="auto" w:fill="CCEEFF"/>
          </w:tcPr>
          <w:p>
            <w:pPr>
              <w:jc w:val="center"/>
              <w:ind w:right="420"/>
              <w:spacing w:after="0"/>
              <w:rPr>
                <w:sz w:val="20"/>
                <w:szCs w:val="20"/>
                <w:color w:val="auto"/>
              </w:rPr>
            </w:pPr>
            <w:r>
              <w:rPr>
                <w:rFonts w:ascii="Arial" w:cs="Arial" w:eastAsia="Arial" w:hAnsi="Arial"/>
                <w:sz w:val="18"/>
                <w:szCs w:val="18"/>
                <w:color w:val="auto"/>
                <w:w w:val="99"/>
              </w:rPr>
              <w:t>LIABILITIES AND SHAREHOLDERS’ EQUITY</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debt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110.2</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41.5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222.5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Accrued taxes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342.0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Long-term debt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102.2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Intracompany liabilities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444.9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(606.9)</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(606.9)</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Shareholders’ equity</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1,026.2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1,637.8</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(1,660.5)</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1,026.2</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Total liabilities and shareholders’ equity</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$ 1,671.1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(2,267.4)</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490"/>
              <w:spacing w:after="0"/>
              <w:rPr>
                <w:sz w:val="20"/>
                <w:szCs w:val="20"/>
                <w:color w:val="auto"/>
              </w:rPr>
            </w:pPr>
            <w:r>
              <w:rPr>
                <w:rFonts w:ascii="Arial" w:cs="Arial" w:eastAsia="Arial" w:hAnsi="Arial"/>
                <w:sz w:val="18"/>
                <w:szCs w:val="18"/>
                <w:color w:val="auto"/>
                <w:w w:val="89"/>
              </w:rPr>
              <w:t>25</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5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(“MD&amp;A”) is organized in the following sections:</w:t>
      </w:r>
    </w:p>
    <w:p>
      <w:pPr>
        <w:spacing w:after="0" w:line="117"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EXECUTIVE SUMMARY</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Results of operations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Segment results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On November 9, 2005, we executed a 2-for-1 stock split to shareholders of record on November 2, 2005. As of July 1, 2006, we had approximately</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66.9 million common shares outstanding. All share and per share information referred to in this MD&amp;A and elsewhere in this Form 10-Q has been adjusted to reflect this stock split for all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We are dedicated to delivering strong, consistent financial results and outstanding shareholder returns by providing consumers with products of superior quality and value to enhance their outdoor living environments. We are a leading manufacturer and marketer of consumer branded products for lawn and garden care and professional horticulture in North America and Europe. We are Monsanto’s exclusive agent for the marketing and distribution of consumer Roundup® non-selective herbicide products within the United States and other contractually specified countries. We entered the North America wild bird food category with the acquisition of Gutwein &amp; Co. Inc. (“Gutwein”) in November 2005, and the outdoor living category with the acquisition of Smith &amp; Hawken® in October 2004. Also, in the United States, we operate what we believe to be the second largest residential lawn service business, Scotts LawnService®. We have a presence in the consumer and professional business in Australia, the Far East, Latin America and South America. In fiscal 2006, our operations are divided into the following reportable segments: North America, Scotts LawnService®, International, and Corporate &amp; Other. The Corporate &amp; Other segment consists of our Smith &amp; Hawken® direct-to-consumer business, and corporate general and administrative expenses.</w:t>
      </w:r>
    </w:p>
    <w:p>
      <w:pPr>
        <w:spacing w:after="0" w:line="5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As a leading consumer branded lawn and garden company, we focus our marketing efforts, including advertising and consumer research, on creating consumer demand to pull products through the retail distribution channels. In the past three years, we have spent approximately 5% of our net sales annually on media advertising to support and promote our products and brands. We have applied this consumer marketing focus for the past several years, and believe that we receive a significant return on these marketing expenditures. We expect to continue our marketing efforts focused toward the consumer and make additional targeted investments in consumer marketing in the future to continue to drive sales and market share growth. A portion of our SG&amp;A cost savings from our long-term strategic improvement plan initiated in fiscal 2005 has been reinvested to strengthen our brands and relationships with consumers. Our spending on advertising in fiscal 2006 currently is expected to increase by approximately 15%.</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Due to the nature of our lawn and garden business, significant portions of our shipments occur in the second and third fiscal quarters. The percentage of our net sales by quarter for each of the past three fiscal years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Percent Net Sales by Quarter</w:t>
            </w:r>
          </w:p>
        </w:tc>
        <w:tc>
          <w:tcPr>
            <w:tcW w:w="640" w:type="dxa"/>
            <w:vAlign w:val="bottom"/>
            <w:tcBorders>
              <w:bottom w:val="single" w:sz="8" w:color="auto"/>
            </w:tcBorders>
          </w:tcPr>
          <w:p>
            <w:pPr>
              <w:spacing w:after="0"/>
              <w:rPr>
                <w:sz w:val="14"/>
                <w:szCs w:val="14"/>
                <w:color w:val="auto"/>
              </w:rPr>
            </w:pPr>
          </w:p>
        </w:tc>
      </w:tr>
      <w:tr>
        <w:trPr>
          <w:trHeight w:val="142"/>
        </w:trPr>
        <w:tc>
          <w:tcPr>
            <w:tcW w:w="8020" w:type="dxa"/>
            <w:vAlign w:val="bottom"/>
          </w:tcPr>
          <w:p>
            <w:pPr>
              <w:spacing w:after="0"/>
              <w:rPr>
                <w:sz w:val="12"/>
                <w:szCs w:val="12"/>
                <w:color w:val="auto"/>
              </w:rPr>
            </w:pPr>
          </w:p>
        </w:tc>
        <w:tc>
          <w:tcPr>
            <w:tcW w:w="80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2"/>
                <w:szCs w:val="12"/>
                <w:color w:val="auto"/>
              </w:rPr>
            </w:pPr>
          </w:p>
        </w:tc>
        <w:tc>
          <w:tcPr>
            <w:tcW w:w="6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2003</w:t>
            </w: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10.4%</w:t>
            </w:r>
          </w:p>
        </w:tc>
        <w:tc>
          <w:tcPr>
            <w:tcW w:w="166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Second Quarter</w:t>
            </w:r>
          </w:p>
        </w:tc>
        <w:tc>
          <w:tcPr>
            <w:tcW w:w="800" w:type="dxa"/>
            <w:vAlign w:val="bottom"/>
          </w:tcPr>
          <w:p>
            <w:pPr>
              <w:ind w:left="340"/>
              <w:spacing w:after="0"/>
              <w:rPr>
                <w:sz w:val="20"/>
                <w:szCs w:val="20"/>
                <w:color w:val="auto"/>
              </w:rPr>
            </w:pPr>
            <w:r>
              <w:rPr>
                <w:rFonts w:ascii="Arial" w:cs="Arial" w:eastAsia="Arial" w:hAnsi="Arial"/>
                <w:sz w:val="18"/>
                <w:szCs w:val="18"/>
                <w:color w:val="auto"/>
                <w:w w:val="86"/>
              </w:rPr>
              <w:t>34.3%</w:t>
            </w:r>
          </w:p>
        </w:tc>
        <w:tc>
          <w:tcPr>
            <w:tcW w:w="1660" w:type="dxa"/>
            <w:vAlign w:val="bottom"/>
            <w:gridSpan w:val="3"/>
          </w:tcPr>
          <w:p>
            <w:pPr>
              <w:jc w:val="right"/>
              <w:ind w:right="88"/>
              <w:spacing w:after="0"/>
              <w:rPr>
                <w:sz w:val="20"/>
                <w:szCs w:val="20"/>
                <w:color w:val="auto"/>
              </w:rPr>
            </w:pPr>
            <w:r>
              <w:rPr>
                <w:rFonts w:ascii="Arial" w:cs="Arial" w:eastAsia="Arial" w:hAnsi="Arial"/>
                <w:sz w:val="18"/>
                <w:szCs w:val="18"/>
                <w:color w:val="auto"/>
              </w:rPr>
              <w:t>35.2%</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38.0%</w:t>
            </w:r>
          </w:p>
        </w:tc>
        <w:tc>
          <w:tcPr>
            <w:tcW w:w="166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38.2%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Fourth Quarter</w:t>
            </w:r>
          </w:p>
        </w:tc>
        <w:tc>
          <w:tcPr>
            <w:tcW w:w="800" w:type="dxa"/>
            <w:vAlign w:val="bottom"/>
          </w:tcPr>
          <w:p>
            <w:pPr>
              <w:ind w:left="340"/>
              <w:spacing w:after="0"/>
              <w:rPr>
                <w:sz w:val="20"/>
                <w:szCs w:val="20"/>
                <w:color w:val="auto"/>
              </w:rPr>
            </w:pPr>
            <w:r>
              <w:rPr>
                <w:rFonts w:ascii="Arial" w:cs="Arial" w:eastAsia="Arial" w:hAnsi="Arial"/>
                <w:sz w:val="18"/>
                <w:szCs w:val="18"/>
                <w:color w:val="auto"/>
                <w:w w:val="86"/>
              </w:rPr>
              <w:t>17.3%</w:t>
            </w:r>
          </w:p>
        </w:tc>
        <w:tc>
          <w:tcPr>
            <w:tcW w:w="1660" w:type="dxa"/>
            <w:vAlign w:val="bottom"/>
            <w:gridSpan w:val="3"/>
          </w:tcPr>
          <w:p>
            <w:pPr>
              <w:jc w:val="right"/>
              <w:ind w:right="88"/>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w:t>
            </w:r>
          </w:p>
        </w:tc>
      </w:tr>
    </w:tbl>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Over the past few years, retailers have reduced their pre-season inventories as they have come to place greater reliance on our ability to deliver products “in season” when consumers buy our products. In addition, our sales are susceptible to global weather conditions. For instance, periods of wet weather or drought can adversely impact sales of certain products, while increasing demand for other products.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Management focuses on a variety of key indicators and operating metrics to monitor the health and performance of our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metrics include consumer purchases (point-of-sale data), market share, net sales (including volume, pricing and foreign exchange), gross profit margins, income from operations, net income and earnings per share. To the extent applicable, these measures are evaluated with and without impairment, restructuring and other charges. We also focus on measures to optimize cash flow and return on invested capital, including the management of working capital and capital expenditures.</w:t>
      </w:r>
    </w:p>
    <w:p>
      <w:pPr>
        <w:spacing w:after="0" w:line="7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long-term strategic improvement plan (“Project Excellence”), initiated in June 2005, is focused on improving organizational effectiveness, implementing better business processes, reducing SG&amp;A expenses, and increasing spending on consumer marketing and innovation. We are in the process of reinvesting $25.0 million of our Project Excellence SG&amp;A savings for fiscal 2006 in consumer marketing, technology and innovation. Additional Project Excellence savings are expected to increase fiscal 2006 pre-tax earnings by $25.0 to $30.0 million. We have incurred approximately $6.9 million in restructuring charges associated with Project Excellence for the first nine months of fiscal 2006 and approximately $33.2 million since the inception of the project.</w:t>
      </w:r>
    </w:p>
    <w:p>
      <w:pPr>
        <w:spacing w:after="0" w:line="5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We continue to view strategic acquisitions as a means to enhance our strong core businesses and expand into adjacent categories. Note 9 to the accompanying condensed, consolidated financial statements recaps key acquisitions made over the last two years, representing an investment of approximately $200 million. In addition, we continue to invest in the growth of our Scotts LawnService® business, making over $95.0 million in acquisitions over the past five years.</w:t>
      </w:r>
    </w:p>
    <w:p>
      <w:pPr>
        <w:spacing w:after="0" w:line="3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Based on the levels of cash flow generated by our business in recent years and our improving financial condition, our Board of Directors approved two actions designed to return a portion of our excess cash flow to shareholders. On June 22, 2005, we announced the initiation of an annual dividend of 50-cents per share, to be paid in 12.5-cent quarterly increments beginning in the fourth quarter of fiscal 2005. In October 2005, we announced a five-year $500 million share repurchase program. We anticipate allocating approximately $100 million per year to the program. Through July 1, 2006, we have reacquired</w:t>
      </w:r>
    </w:p>
    <w:p>
      <w:pPr>
        <w:spacing w:after="0" w:line="2" w:lineRule="exact"/>
        <w:rPr>
          <w:sz w:val="20"/>
          <w:szCs w:val="20"/>
          <w:color w:val="auto"/>
        </w:rPr>
      </w:pPr>
    </w:p>
    <w:p>
      <w:pPr>
        <w:ind w:right="380"/>
        <w:spacing w:after="0" w:line="323" w:lineRule="auto"/>
        <w:rPr>
          <w:sz w:val="20"/>
          <w:szCs w:val="20"/>
          <w:color w:val="auto"/>
        </w:rPr>
      </w:pPr>
      <w:r>
        <w:rPr>
          <w:rFonts w:ascii="Arial" w:cs="Arial" w:eastAsia="Arial" w:hAnsi="Arial"/>
          <w:sz w:val="16"/>
          <w:szCs w:val="16"/>
          <w:color w:val="auto"/>
        </w:rPr>
        <w:t>1.5 million of our common shares to be held in treasury at an aggregate cost of $73.3 million. Common shares held in treasury totaling 0.3 million shares have been reissued in support of share-based compensation awards and purchases of common shares under our employee stock purchase plan.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income and expense as a percentage of net sales for the three and nine-month periods ended July 1, 2006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2,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82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22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6360" w:type="dxa"/>
            <w:vAlign w:val="bottom"/>
          </w:tcPr>
          <w:p>
            <w:pPr>
              <w:spacing w:after="0"/>
              <w:rPr>
                <w:sz w:val="10"/>
                <w:szCs w:val="10"/>
                <w:color w:val="auto"/>
              </w:rPr>
            </w:pPr>
          </w:p>
        </w:tc>
        <w:tc>
          <w:tcPr>
            <w:tcW w:w="1420" w:type="dxa"/>
            <w:vAlign w:val="bottom"/>
            <w:tcBorders>
              <w:top w:val="single" w:sz="8" w:color="auto"/>
            </w:tcBorders>
            <w:gridSpan w:val="2"/>
          </w:tcPr>
          <w:p>
            <w:pPr>
              <w:jc w:val="right"/>
              <w:ind w:right="748"/>
              <w:spacing w:after="0" w:line="119" w:lineRule="exact"/>
              <w:rPr>
                <w:sz w:val="20"/>
                <w:szCs w:val="20"/>
                <w:color w:val="auto"/>
              </w:rPr>
            </w:pPr>
            <w:r>
              <w:rPr>
                <w:rFonts w:ascii="Arial" w:cs="Arial" w:eastAsia="Arial" w:hAnsi="Arial"/>
                <w:sz w:val="13"/>
                <w:szCs w:val="13"/>
                <w:b w:val="1"/>
                <w:bCs w:val="1"/>
                <w:color w:val="auto"/>
              </w:rPr>
              <w:t>JULY 1,</w:t>
            </w: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JULY 2,</w:t>
            </w:r>
          </w:p>
        </w:tc>
        <w:tc>
          <w:tcPr>
            <w:tcW w:w="740" w:type="dxa"/>
            <w:vAlign w:val="bottom"/>
          </w:tcPr>
          <w:p>
            <w:pPr>
              <w:spacing w:after="0"/>
              <w:rPr>
                <w:sz w:val="10"/>
                <w:szCs w:val="10"/>
                <w:color w:val="auto"/>
              </w:rPr>
            </w:pPr>
          </w:p>
        </w:tc>
        <w:tc>
          <w:tcPr>
            <w:tcW w:w="1400" w:type="dxa"/>
            <w:vAlign w:val="bottom"/>
            <w:tcBorders>
              <w:top w:val="single" w:sz="8" w:color="auto"/>
            </w:tcBorders>
            <w:gridSpan w:val="2"/>
          </w:tcPr>
          <w:p>
            <w:pPr>
              <w:jc w:val="right"/>
              <w:ind w:right="748"/>
              <w:spacing w:after="0" w:line="119" w:lineRule="exact"/>
              <w:rPr>
                <w:sz w:val="20"/>
                <w:szCs w:val="20"/>
                <w:color w:val="auto"/>
              </w:rPr>
            </w:pPr>
            <w:r>
              <w:rPr>
                <w:rFonts w:ascii="Arial" w:cs="Arial" w:eastAsia="Arial" w:hAnsi="Arial"/>
                <w:sz w:val="13"/>
                <w:szCs w:val="13"/>
                <w:b w:val="1"/>
                <w:bCs w:val="1"/>
                <w:color w:val="auto"/>
              </w:rPr>
              <w:t>JULY 1,</w:t>
            </w: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JULY 2,</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8"/>
              </w:rPr>
              <w:t>(UNAUDITED)</w:t>
            </w: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2005</w:t>
            </w:r>
          </w:p>
        </w:tc>
        <w:tc>
          <w:tcPr>
            <w:tcW w:w="740" w:type="dxa"/>
            <w:vAlign w:val="bottom"/>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(UNAUDITED)</w:t>
            </w: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Cost of sales</w:t>
            </w:r>
          </w:p>
        </w:tc>
        <w:tc>
          <w:tcPr>
            <w:tcW w:w="1420" w:type="dxa"/>
            <w:vAlign w:val="bottom"/>
            <w:gridSpan w:val="2"/>
          </w:tcPr>
          <w:p>
            <w:pPr>
              <w:jc w:val="right"/>
              <w:ind w:right="668"/>
              <w:spacing w:after="0"/>
              <w:rPr>
                <w:sz w:val="20"/>
                <w:szCs w:val="20"/>
                <w:color w:val="auto"/>
              </w:rPr>
            </w:pPr>
            <w:r>
              <w:rPr>
                <w:rFonts w:ascii="Arial" w:cs="Arial" w:eastAsia="Arial" w:hAnsi="Arial"/>
                <w:sz w:val="18"/>
                <w:szCs w:val="18"/>
                <w:color w:val="auto"/>
              </w:rPr>
              <w:t>61.3</w:t>
            </w: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63.0</w:t>
            </w:r>
          </w:p>
        </w:tc>
        <w:tc>
          <w:tcPr>
            <w:tcW w:w="1400" w:type="dxa"/>
            <w:vAlign w:val="bottom"/>
            <w:gridSpan w:val="2"/>
          </w:tcPr>
          <w:p>
            <w:pPr>
              <w:jc w:val="right"/>
              <w:ind w:right="648"/>
              <w:spacing w:after="0"/>
              <w:rPr>
                <w:sz w:val="20"/>
                <w:szCs w:val="20"/>
                <w:color w:val="auto"/>
              </w:rPr>
            </w:pPr>
            <w:r>
              <w:rPr>
                <w:rFonts w:ascii="Arial" w:cs="Arial" w:eastAsia="Arial" w:hAnsi="Arial"/>
                <w:sz w:val="18"/>
                <w:szCs w:val="18"/>
                <w:color w:val="auto"/>
              </w:rPr>
              <w:t>63.5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4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38.7</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37.0</w:t>
            </w:r>
          </w:p>
        </w:tc>
        <w:tc>
          <w:tcPr>
            <w:tcW w:w="1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36.5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4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17.1</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20.9</w:t>
            </w:r>
          </w:p>
        </w:tc>
        <w:tc>
          <w:tcPr>
            <w:tcW w:w="1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22.1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6360" w:type="dxa"/>
            <w:vAlign w:val="bottom"/>
          </w:tcPr>
          <w:p>
            <w:pPr>
              <w:ind w:left="220"/>
              <w:spacing w:after="0"/>
              <w:rPr>
                <w:sz w:val="20"/>
                <w:szCs w:val="20"/>
                <w:color w:val="auto"/>
              </w:rPr>
            </w:pPr>
            <w:r>
              <w:rPr>
                <w:rFonts w:ascii="Arial" w:cs="Arial" w:eastAsia="Arial" w:hAnsi="Arial"/>
                <w:sz w:val="18"/>
                <w:szCs w:val="18"/>
                <w:color w:val="auto"/>
              </w:rPr>
              <w:t>Impairment, restructuring and other charges</w:t>
            </w:r>
          </w:p>
        </w:tc>
        <w:tc>
          <w:tcPr>
            <w:tcW w:w="1420" w:type="dxa"/>
            <w:vAlign w:val="bottom"/>
            <w:gridSpan w:val="2"/>
          </w:tcPr>
          <w:p>
            <w:pPr>
              <w:jc w:val="right"/>
              <w:ind w:right="668"/>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8"/>
              <w:spacing w:after="0"/>
              <w:rPr>
                <w:sz w:val="20"/>
                <w:szCs w:val="20"/>
                <w:color w:val="auto"/>
              </w:rPr>
            </w:pPr>
            <w:r>
              <w:rPr>
                <w:rFonts w:ascii="Arial" w:cs="Arial" w:eastAsia="Arial" w:hAnsi="Arial"/>
                <w:sz w:val="18"/>
                <w:szCs w:val="18"/>
                <w:color w:val="auto"/>
              </w:rPr>
              <w:t>0.4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14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(0.4)</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(0.8)</w:t>
            </w: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360" w:type="dxa"/>
            <w:vAlign w:val="bottom"/>
          </w:tcPr>
          <w:p>
            <w:pPr>
              <w:ind w:left="220"/>
              <w:spacing w:after="0"/>
              <w:rPr>
                <w:sz w:val="20"/>
                <w:szCs w:val="20"/>
                <w:color w:val="auto"/>
              </w:rPr>
            </w:pPr>
            <w:r>
              <w:rPr>
                <w:rFonts w:ascii="Arial" w:cs="Arial" w:eastAsia="Arial" w:hAnsi="Arial"/>
                <w:sz w:val="18"/>
                <w:szCs w:val="18"/>
                <w:color w:val="auto"/>
              </w:rPr>
              <w:t>Income from operations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7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7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7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1.5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6360" w:type="dxa"/>
            <w:vAlign w:val="bottom"/>
          </w:tcPr>
          <w:p>
            <w:pPr>
              <w:ind w:left="220"/>
              <w:spacing w:after="0"/>
              <w:rPr>
                <w:sz w:val="20"/>
                <w:szCs w:val="20"/>
                <w:color w:val="auto"/>
              </w:rPr>
            </w:pPr>
            <w:r>
              <w:rPr>
                <w:rFonts w:ascii="Arial" w:cs="Arial" w:eastAsia="Arial" w:hAnsi="Arial"/>
                <w:sz w:val="18"/>
                <w:szCs w:val="18"/>
                <w:color w:val="auto"/>
              </w:rPr>
              <w:t>Income before income taxes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7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7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7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7.9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4.9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vMerge w:val="continue"/>
          </w:tcPr>
          <w:p>
            <w:pPr>
              <w:spacing w:after="0"/>
              <w:rPr>
                <w:sz w:val="19"/>
                <w:szCs w:val="19"/>
                <w:color w:val="auto"/>
              </w:rPr>
            </w:pPr>
          </w:p>
        </w:tc>
        <w:tc>
          <w:tcPr>
            <w:tcW w:w="1420" w:type="dxa"/>
            <w:vAlign w:val="bottom"/>
            <w:gridSpan w:val="2"/>
          </w:tcPr>
          <w:p>
            <w:pPr>
              <w:jc w:val="right"/>
              <w:ind w:right="508"/>
              <w:spacing w:after="0"/>
              <w:rPr>
                <w:sz w:val="20"/>
                <w:szCs w:val="20"/>
                <w:color w:val="auto"/>
              </w:rPr>
            </w:pPr>
            <w:r>
              <w:rPr>
                <w:rFonts w:ascii="Arial" w:cs="Arial" w:eastAsia="Arial" w:hAnsi="Arial"/>
                <w:sz w:val="18"/>
                <w:szCs w:val="18"/>
                <w:color w:val="auto"/>
              </w:rPr>
              <w:t>12.7%</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9.8%</w:t>
            </w: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7.9%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Net sales for the third quarter and first nine months of fiscal 2006 grew 16.3% and 12.4%, respectively, versus the comparable periods of fiscal 2005. However, acquisitions, foreign exchange rates and a Roundup® deferred contribution liability charge in the third quarter of fiscal 2005 have a significant impact on the rate of sales growth, as displayed in the following table: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Fiscal 2006</w:t>
            </w:r>
          </w:p>
        </w:tc>
        <w:tc>
          <w:tcPr>
            <w:tcW w:w="0" w:type="dxa"/>
            <w:vAlign w:val="bottom"/>
          </w:tcPr>
          <w:p>
            <w:pPr>
              <w:spacing w:after="0"/>
              <w:rPr>
                <w:sz w:val="1"/>
                <w:szCs w:val="1"/>
                <w:color w:val="auto"/>
              </w:rPr>
            </w:pPr>
          </w:p>
        </w:tc>
      </w:tr>
      <w:tr>
        <w:trPr>
          <w:trHeight w:val="142"/>
        </w:trPr>
        <w:tc>
          <w:tcPr>
            <w:tcW w:w="8540" w:type="dxa"/>
            <w:vAlign w:val="bottom"/>
          </w:tcPr>
          <w:p>
            <w:pPr>
              <w:spacing w:after="0"/>
              <w:rPr>
                <w:sz w:val="12"/>
                <w:szCs w:val="12"/>
                <w:color w:val="auto"/>
              </w:rPr>
            </w:pPr>
          </w:p>
        </w:tc>
        <w:tc>
          <w:tcPr>
            <w:tcW w:w="1320" w:type="dxa"/>
            <w:vAlign w:val="bottom"/>
            <w:tcBorders>
              <w:top w:val="single" w:sz="8" w:color="auto"/>
            </w:tcBorders>
            <w:gridSpan w:val="2"/>
          </w:tcPr>
          <w:p>
            <w:pPr>
              <w:jc w:val="right"/>
              <w:ind w:right="348"/>
              <w:spacing w:after="0" w:line="142" w:lineRule="exact"/>
              <w:rPr>
                <w:sz w:val="20"/>
                <w:szCs w:val="20"/>
                <w:color w:val="auto"/>
              </w:rPr>
            </w:pPr>
            <w:r>
              <w:rPr>
                <w:rFonts w:ascii="Arial" w:cs="Arial" w:eastAsia="Arial" w:hAnsi="Arial"/>
                <w:sz w:val="14"/>
                <w:szCs w:val="14"/>
                <w:b w:val="1"/>
                <w:bCs w:val="1"/>
                <w:color w:val="auto"/>
                <w:w w:val="98"/>
              </w:rPr>
              <w:t>Third Quarter</w:t>
            </w:r>
          </w:p>
        </w:tc>
        <w:tc>
          <w:tcPr>
            <w:tcW w:w="1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First Nine-Months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sales growth</w:t>
            </w:r>
          </w:p>
        </w:tc>
        <w:tc>
          <w:tcPr>
            <w:tcW w:w="13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16.3%</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2"/>
        </w:trPr>
        <w:tc>
          <w:tcPr>
            <w:tcW w:w="8540" w:type="dxa"/>
            <w:vAlign w:val="bottom"/>
          </w:tcPr>
          <w:p>
            <w:pPr>
              <w:spacing w:after="0" w:line="201" w:lineRule="exact"/>
              <w:rPr>
                <w:sz w:val="20"/>
                <w:szCs w:val="20"/>
                <w:color w:val="auto"/>
              </w:rPr>
            </w:pPr>
            <w:r>
              <w:rPr>
                <w:rFonts w:ascii="Arial" w:cs="Arial" w:eastAsia="Arial" w:hAnsi="Arial"/>
                <w:sz w:val="18"/>
                <w:szCs w:val="18"/>
                <w:color w:val="auto"/>
              </w:rPr>
              <w:t>Impact of $46 million charge in third quarter of fiscal 2005 associated with deferred contribution liability</w:t>
            </w: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20"/>
              <w:spacing w:after="0"/>
              <w:rPr>
                <w:sz w:val="20"/>
                <w:szCs w:val="20"/>
                <w:color w:val="auto"/>
              </w:rPr>
            </w:pPr>
            <w:r>
              <w:rPr>
                <w:rFonts w:ascii="Arial" w:cs="Arial" w:eastAsia="Arial" w:hAnsi="Arial"/>
                <w:sz w:val="18"/>
                <w:szCs w:val="18"/>
                <w:color w:val="auto"/>
              </w:rPr>
              <w:t>under Roundup® agreement</w:t>
            </w:r>
          </w:p>
        </w:tc>
        <w:tc>
          <w:tcPr>
            <w:tcW w:w="1320" w:type="dxa"/>
            <w:vAlign w:val="bottom"/>
            <w:gridSpan w:val="2"/>
          </w:tcPr>
          <w:p>
            <w:pPr>
              <w:jc w:val="right"/>
              <w:ind w:right="288"/>
              <w:spacing w:after="0"/>
              <w:rPr>
                <w:sz w:val="20"/>
                <w:szCs w:val="20"/>
                <w:color w:val="auto"/>
              </w:rPr>
            </w:pPr>
            <w:r>
              <w:rPr>
                <w:rFonts w:ascii="Arial" w:cs="Arial" w:eastAsia="Arial" w:hAnsi="Arial"/>
                <w:sz w:val="18"/>
                <w:szCs w:val="18"/>
                <w:color w:val="auto"/>
              </w:rPr>
              <w:t>(5.6)</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3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(3.7)</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Foreign exchange rate</w:t>
            </w:r>
          </w:p>
        </w:tc>
        <w:tc>
          <w:tcPr>
            <w:tcW w:w="1320" w:type="dxa"/>
            <w:vAlign w:val="bottom"/>
            <w:gridSpan w:val="2"/>
          </w:tcPr>
          <w:p>
            <w:pPr>
              <w:jc w:val="right"/>
              <w:ind w:right="288"/>
              <w:spacing w:after="0"/>
              <w:rPr>
                <w:sz w:val="20"/>
                <w:szCs w:val="20"/>
                <w:color w:val="auto"/>
              </w:rPr>
            </w:pPr>
            <w:r>
              <w:rPr>
                <w:rFonts w:ascii="Arial" w:cs="Arial" w:eastAsia="Arial" w:hAnsi="Arial"/>
                <w:sz w:val="18"/>
                <w:szCs w:val="18"/>
                <w:color w:val="auto"/>
              </w:rPr>
              <w:t>(0.6)</w:t>
            </w: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net sales growth</w:t>
            </w:r>
          </w:p>
        </w:tc>
        <w:tc>
          <w:tcPr>
            <w:tcW w:w="13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6.4%</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8540" w:type="dxa"/>
            <w:vAlign w:val="bottom"/>
            <w:vMerge w:val="restart"/>
          </w:tcPr>
          <w:p>
            <w:pPr>
              <w:ind w:left="5620"/>
              <w:spacing w:after="0"/>
              <w:rPr>
                <w:sz w:val="20"/>
                <w:szCs w:val="20"/>
                <w:color w:val="auto"/>
              </w:rPr>
            </w:pPr>
            <w:r>
              <w:rPr>
                <w:rFonts w:ascii="Arial" w:cs="Arial" w:eastAsia="Arial" w:hAnsi="Arial"/>
                <w:sz w:val="18"/>
                <w:szCs w:val="18"/>
                <w:color w:val="auto"/>
              </w:rPr>
              <w:t>27</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5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5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adjusted net sales growth of 6.4% for the quarter and 6.9% for the nine-month period was driven by strong growth in our North American consumer business (7.0% for the quarter and 8.3% for the year excluding acquisitions) and the Scotts LawnService® business (26% sales growth for the quarter and nine-month period). By contrast, the lawn and garden market has been difficult in Europe as net sales have been essentially flat for the quarter and nine-month period after adjusting for the effect of exchange rates. An extended winter in much of Europe, followed by drought conditions, particularly in the United Kingdom (“U.K.”), exacerbated an already weak consumer environment.</w:t>
      </w:r>
    </w:p>
    <w:p>
      <w:pPr>
        <w:spacing w:after="0" w:line="8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As a percentage of net sales, gross profit was 38.7% of net sales in the third quarter of fiscal 2006 compared to 37.0% in the third quarter of fiscal 2005. However, this increase is the result of the Roundup® charge (see following paragraph) taken in the third quarter of fiscal 2005. Excluding this charge, the gross profit rate was 40.1% in last year’s third quarter, indicating a decline of 140 basis points. For the first nine months of fiscal 2006, our gross profit percentage declined by 30 basis points, from 36.8% to 36.5%. Excluding the effect on the Roundup® charge, the gross profit rate decline is 180 basis points. The Morning Song® acquisition contributed 50 basis points of the decline for the quarter and 40 basis points of the year-over-year decline. The remaining gross margin decline was experienced broadly across all businesses with similar impacts for the quarter and year-to-date periods. Factors contributing to this decline include increased costs for fuel and commodities slightly exceeding price increases and faster growth in lower margin product lines.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The net commission from the Roundup® marketing agreement in the third quarter of fiscal 2005 was a loss of $21.6 million, which includes a charge of</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$45.7 million resulting from recording a liability for the outstanding balance of the deferred contribution amounts payable to Monsanto under the Roundup® marketing agreement. Previously, we had not recognized the deferred contribution amounts based on management’s evaluation of the surrounding facts and circumstances. However, due to increasingly strong financial performance of the Roundup® business coupled with numerous other factors, we concluded that it would be appropriate to record the liability in the third quarter of fiscal 2005.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6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JULY 1,</w:t>
            </w: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4"/>
              <w:spacing w:after="0" w:line="119" w:lineRule="exact"/>
              <w:rPr>
                <w:sz w:val="20"/>
                <w:szCs w:val="20"/>
                <w:color w:val="auto"/>
              </w:rPr>
            </w:pPr>
            <w:r>
              <w:rPr>
                <w:rFonts w:ascii="Arial" w:cs="Arial" w:eastAsia="Arial" w:hAnsi="Arial"/>
                <w:sz w:val="13"/>
                <w:szCs w:val="13"/>
                <w:b w:val="1"/>
                <w:bCs w:val="1"/>
                <w:color w:val="auto"/>
              </w:rPr>
              <w:t>JULY 2,</w:t>
            </w:r>
          </w:p>
        </w:tc>
        <w:tc>
          <w:tcPr>
            <w:tcW w:w="66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48"/>
              <w:spacing w:after="0" w:line="119" w:lineRule="exact"/>
              <w:rPr>
                <w:sz w:val="20"/>
                <w:szCs w:val="20"/>
                <w:color w:val="auto"/>
              </w:rPr>
            </w:pPr>
            <w:r>
              <w:rPr>
                <w:rFonts w:ascii="Arial" w:cs="Arial" w:eastAsia="Arial" w:hAnsi="Arial"/>
                <w:sz w:val="13"/>
                <w:szCs w:val="13"/>
                <w:b w:val="1"/>
                <w:bCs w:val="1"/>
                <w:color w:val="auto"/>
              </w:rPr>
              <w:t>JULY 1,</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4"/>
              <w:spacing w:after="0" w:line="119" w:lineRule="exact"/>
              <w:rPr>
                <w:sz w:val="20"/>
                <w:szCs w:val="20"/>
                <w:color w:val="auto"/>
              </w:rPr>
            </w:pPr>
            <w:r>
              <w:rPr>
                <w:rFonts w:ascii="Arial" w:cs="Arial" w:eastAsia="Arial" w:hAnsi="Arial"/>
                <w:sz w:val="13"/>
                <w:szCs w:val="13"/>
                <w:b w:val="1"/>
                <w:bCs w:val="1"/>
                <w:color w:val="auto"/>
              </w:rPr>
              <w:t>JULY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6"/>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2005</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3"/>
              </w:rPr>
              <w:t>MILLIONS)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5"/>
          </w:tcPr>
          <w:p>
            <w:pPr>
              <w:jc w:val="right"/>
              <w:spacing w:after="0"/>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50.9</w:t>
            </w:r>
          </w:p>
        </w:tc>
        <w:tc>
          <w:tcPr>
            <w:tcW w:w="52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115.4</w:t>
            </w:r>
          </w:p>
        </w:tc>
        <w:tc>
          <w:tcPr>
            <w:tcW w:w="5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124.6</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136.2</w:t>
            </w:r>
          </w:p>
        </w:tc>
        <w:tc>
          <w:tcPr>
            <w:tcW w:w="140" w:type="dxa"/>
            <w:vAlign w:val="bottom"/>
          </w:tcPr>
          <w:p>
            <w:pPr>
              <w:spacing w:after="0"/>
              <w:rPr>
                <w:sz w:val="18"/>
                <w:szCs w:val="18"/>
                <w:color w:val="auto"/>
              </w:rPr>
            </w:pPr>
          </w:p>
        </w:tc>
        <w:tc>
          <w:tcPr>
            <w:tcW w:w="880" w:type="dxa"/>
            <w:vAlign w:val="bottom"/>
            <w:gridSpan w:val="2"/>
          </w:tcPr>
          <w:p>
            <w:pPr>
              <w:jc w:val="right"/>
              <w:ind w:right="268"/>
              <w:spacing w:after="0"/>
              <w:rPr>
                <w:sz w:val="20"/>
                <w:szCs w:val="20"/>
                <w:color w:val="auto"/>
              </w:rPr>
            </w:pPr>
            <w:r>
              <w:rPr>
                <w:rFonts w:ascii="Arial" w:cs="Arial" w:eastAsia="Arial" w:hAnsi="Arial"/>
                <w:sz w:val="18"/>
                <w:szCs w:val="18"/>
                <w:color w:val="auto"/>
              </w:rPr>
              <w:t>362.4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11.6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increased spending on advertising for the nine months reflects the reinvestment of a portion of our Project Excellence savings in media advertising. SG&amp;A expenses were $124.6 million in the third quarter and $362.4 million for the first nine months of fiscal 2006, compared to $136.2 million for the third quarter and $383.2 million for the first nine months of fiscal 2005. The decrease in SG&amp;A expenses for the first nine months reflects the savings generated by our Project Excellence initiative coupled with a $10.6 million benefit from an insurance recovery relating to past legal costs incurred in our defense of lawsuits regarding our use of vermiculite. Increases in SG&amp;A spending occurred in our rapidly expanding Scotts LawnService® business in the amount of $3.6 million for the third quarter and $10.9 million for the first nine months, our wild bird food acquisition which added $1.1 million and $3.1 million in spending during the third quarter and first nine months, respectively, and increased stock-based compensation expense of $0.2 million for the quarter and $4.3 million for the first nine months.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Impairment, Restructuring and Other Charges,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JULY 1,</w:t>
            </w: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4"/>
              <w:spacing w:after="0" w:line="119" w:lineRule="exact"/>
              <w:rPr>
                <w:sz w:val="20"/>
                <w:szCs w:val="20"/>
                <w:color w:val="auto"/>
              </w:rPr>
            </w:pPr>
            <w:r>
              <w:rPr>
                <w:rFonts w:ascii="Arial" w:cs="Arial" w:eastAsia="Arial" w:hAnsi="Arial"/>
                <w:sz w:val="13"/>
                <w:szCs w:val="13"/>
                <w:b w:val="1"/>
                <w:bCs w:val="1"/>
                <w:color w:val="auto"/>
              </w:rPr>
              <w:t>JULY 2,</w:t>
            </w:r>
          </w:p>
        </w:tc>
        <w:tc>
          <w:tcPr>
            <w:tcW w:w="66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48"/>
              <w:spacing w:after="0" w:line="119" w:lineRule="exact"/>
              <w:rPr>
                <w:sz w:val="20"/>
                <w:szCs w:val="20"/>
                <w:color w:val="auto"/>
              </w:rPr>
            </w:pPr>
            <w:r>
              <w:rPr>
                <w:rFonts w:ascii="Arial" w:cs="Arial" w:eastAsia="Arial" w:hAnsi="Arial"/>
                <w:sz w:val="13"/>
                <w:szCs w:val="13"/>
                <w:b w:val="1"/>
                <w:bCs w:val="1"/>
                <w:color w:val="auto"/>
              </w:rPr>
              <w:t>JULY 1,</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4"/>
              <w:spacing w:after="0" w:line="119" w:lineRule="exact"/>
              <w:rPr>
                <w:sz w:val="20"/>
                <w:szCs w:val="20"/>
                <w:color w:val="auto"/>
              </w:rPr>
            </w:pPr>
            <w:r>
              <w:rPr>
                <w:rFonts w:ascii="Arial" w:cs="Arial" w:eastAsia="Arial" w:hAnsi="Arial"/>
                <w:sz w:val="13"/>
                <w:szCs w:val="13"/>
                <w:b w:val="1"/>
                <w:bCs w:val="1"/>
                <w:color w:val="auto"/>
              </w:rPr>
              <w:t>JULY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2006</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6"/>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2005</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2006</w:t>
            </w: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3"/>
              </w:rPr>
              <w:t>MILLIONS)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w:t>
            </w:r>
          </w:p>
        </w:tc>
        <w:tc>
          <w:tcPr>
            <w:tcW w:w="52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Restructuring — severance and related</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80" w:type="dxa"/>
            <w:vAlign w:val="bottom"/>
            <w:gridSpan w:val="2"/>
          </w:tcPr>
          <w:p>
            <w:pPr>
              <w:jc w:val="right"/>
              <w:ind w:right="268"/>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1.1</w:t>
            </w: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7.8</w:t>
            </w:r>
          </w:p>
        </w:tc>
        <w:tc>
          <w:tcPr>
            <w:tcW w:w="52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320" w:type="dxa"/>
            <w:vAlign w:val="bottom"/>
            <w:vMerge w:val="restart"/>
          </w:tcPr>
          <w:p>
            <w:pPr>
              <w:jc w:val="right"/>
              <w:ind w:right="650"/>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2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91" w:lineRule="auto"/>
        <w:rPr>
          <w:sz w:val="20"/>
          <w:szCs w:val="20"/>
          <w:color w:val="auto"/>
        </w:rPr>
      </w:pPr>
      <w:r>
        <w:rPr>
          <w:rFonts w:ascii="Arial" w:cs="Arial" w:eastAsia="Arial" w:hAnsi="Arial"/>
          <w:sz w:val="16"/>
          <w:szCs w:val="16"/>
          <w:color w:val="auto"/>
        </w:rPr>
        <w:t>We performed our annual impairment analysis of indefinite-lived intangibles and goodwill during the first quarter of fiscal 2006, which resulted in an impairment charge associated with a tradename no longer in use in our U.K. consumer business. The first quarter fiscal 2005 impairment charge of</w:t>
      </w:r>
    </w:p>
    <w:p>
      <w:pPr>
        <w:ind w:right="20"/>
        <w:spacing w:after="0" w:line="253" w:lineRule="auto"/>
        <w:rPr>
          <w:sz w:val="20"/>
          <w:szCs w:val="20"/>
          <w:color w:val="auto"/>
        </w:rPr>
      </w:pPr>
      <w:r>
        <w:rPr>
          <w:rFonts w:ascii="Arial" w:cs="Arial" w:eastAsia="Arial" w:hAnsi="Arial"/>
          <w:sz w:val="18"/>
          <w:szCs w:val="18"/>
          <w:color w:val="auto"/>
        </w:rPr>
        <w:t>$22.0 million was for indefinite-lived tradenames in our U.K. consumer business, reflecting a reduction in the value of the business resulting primarily from the decline in the profitability of its growing media business and unfavorable category mix trends. For the first nine months of fiscal 2006, our U.K. consumer and Smith &amp; Hawken businesses have performed below plan. We are in the process of evaluating the impact of these performance shortfalls. As such, we continue to assess the expected cash flows for these businesses, including a reassessment of their respective strategic plans. Decreases in the expected cash flows for these businesses may trigger impairments in future periods.</w:t>
      </w:r>
    </w:p>
    <w:p>
      <w:pPr>
        <w:spacing w:after="0" w:line="8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Restructuring activities in the third quarter and first nine months of fiscal 2006 relate to further organizational reductions associated with Project Excellence initiated in the third quarter of fiscal 2005. We continue to evaluate our organization and operating efficiencies. As a result of these ongoing evaluations, there may be further restructuring charges in future quarters.</w:t>
      </w:r>
    </w:p>
    <w:p>
      <w:pPr>
        <w:spacing w:after="0" w:line="7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Interest expense for the third quarter and first nine months of fiscal 2006 was $13.2 million and $32.8 million, respectively, compared to $11.6 million and $34.8 million for the same periods of fiscal 2005. The third quarter increase is driven primarily by the increase in interest rates. The decrease in interest expense for the year-to-date period was primarily due to the benefits derived from our refinancing in July 2005.</w:t>
      </w:r>
    </w:p>
    <w:p>
      <w:pPr>
        <w:spacing w:after="0" w:line="5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Income tax expense was calculated assuming an effective tax rate of 38.0% for fiscal 2006 and 37.5% for fiscal 2005. We increased the estimate of our effective tax rate for fiscal 2006 to 38.0% in the third quarter from 37.0% for the first six months. This year-to-date tax rate revision results in an effective rate of 38.3% for the third quarter. The effective tax rate used for interim reporting purposes is based on management’s best estimate of factors impacting the effective tax rate for the fiscal year. Factors affecting the estimated rate include assumptions as to income by jurisdiction (domestic and foreign), the availability and utilization of tax credits, the existence of elements of income and expense that may not be taxable or deductible, as well as other items. There can be no assurance that the effective tax rate estimated for interim financial reporting purposes will approximate the effective tax rate determined at fiscal year end. The estimated effective tax rate is subject to revision in later interim periods and at fiscal year end as facts and circumstances change during the course of the fiscal year.</w:t>
      </w:r>
    </w:p>
    <w:p>
      <w:pPr>
        <w:spacing w:after="0" w:line="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Diluted average common shares used in the diluted earnings per common share calculation increased from 68.6 million for the quarter and 68.4 million for the nine months ended July 2, 2005 to 69.4 million for the quarter and 69.7 million for the nine months ended July 1, 2006. These increases are attributable to a growth in average common shares outstanding of 0.5 million quarter-to-quarter and 1.2 million for the comparable year-to-date periods resulting primarily from common shares issued for option exercises which were partially offset by common shares acquired under our share repurchase program. Diluted average common shares also include 1.9 million and 2.0 million equivalent shares for the quarter and year-to-date periods, respectively, in fiscal 2006 to reflect the effect of the assumed conversion of dilutive options and the vesting of restricted common share awards. Equivalent common shares used in fiscal 2005 were 1.6 million for the third quarter and 1.9 million for the year-to-date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Consistent with fiscal 2005, our fiscal 2006 operations are divided into the following reportable segments: North America (including RMC and Morning Song®), Scotts LawnService®, International, and Corporate &amp; Other. The Corporate &amp; Other segment consists of Smith &amp; Hawken®, and corporate general and administrative expenses. Segment performance is evaluated based on several factors, including income from operations before amortization, and impairment, restructuring and other charges, which is a non-GAAP measure. Management uses this measure of operating profit to gauge segment performance because we believe this measure is the most indicative of performance trends and the overall earnings potential of each segment.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1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2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JULY 1,</w:t>
            </w: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2"/>
              <w:spacing w:after="0" w:line="119" w:lineRule="exact"/>
              <w:rPr>
                <w:sz w:val="20"/>
                <w:szCs w:val="20"/>
                <w:color w:val="auto"/>
              </w:rPr>
            </w:pPr>
            <w:r>
              <w:rPr>
                <w:rFonts w:ascii="Arial" w:cs="Arial" w:eastAsia="Arial" w:hAnsi="Arial"/>
                <w:sz w:val="13"/>
                <w:szCs w:val="13"/>
                <w:b w:val="1"/>
                <w:bCs w:val="1"/>
                <w:color w:val="auto"/>
              </w:rPr>
              <w:t>JULY 2,</w:t>
            </w:r>
          </w:p>
        </w:tc>
        <w:tc>
          <w:tcPr>
            <w:tcW w:w="660" w:type="dxa"/>
            <w:vAlign w:val="bottom"/>
          </w:tcPr>
          <w:p>
            <w:pPr>
              <w:spacing w:after="0"/>
              <w:rPr>
                <w:sz w:val="10"/>
                <w:szCs w:val="10"/>
                <w:color w:val="auto"/>
              </w:rPr>
            </w:pPr>
          </w:p>
        </w:tc>
        <w:tc>
          <w:tcPr>
            <w:tcW w:w="1020" w:type="dxa"/>
            <w:vAlign w:val="bottom"/>
            <w:tcBorders>
              <w:top w:val="single" w:sz="8" w:color="auto"/>
            </w:tcBorders>
            <w:gridSpan w:val="2"/>
          </w:tcPr>
          <w:p>
            <w:pPr>
              <w:jc w:val="center"/>
              <w:ind w:right="253"/>
              <w:spacing w:after="0" w:line="119" w:lineRule="exact"/>
              <w:rPr>
                <w:sz w:val="20"/>
                <w:szCs w:val="20"/>
                <w:color w:val="auto"/>
              </w:rPr>
            </w:pPr>
            <w:r>
              <w:rPr>
                <w:rFonts w:ascii="Arial" w:cs="Arial" w:eastAsia="Arial" w:hAnsi="Arial"/>
                <w:sz w:val="13"/>
                <w:szCs w:val="13"/>
                <w:b w:val="1"/>
                <w:bCs w:val="1"/>
                <w:color w:val="auto"/>
              </w:rPr>
              <w:t>JULY 1,</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33"/>
              <w:spacing w:after="0" w:line="119" w:lineRule="exact"/>
              <w:rPr>
                <w:sz w:val="20"/>
                <w:szCs w:val="20"/>
                <w:color w:val="auto"/>
              </w:rPr>
            </w:pPr>
            <w:r>
              <w:rPr>
                <w:rFonts w:ascii="Arial" w:cs="Arial" w:eastAsia="Arial" w:hAnsi="Arial"/>
                <w:sz w:val="13"/>
                <w:szCs w:val="13"/>
                <w:b w:val="1"/>
                <w:bCs w:val="1"/>
                <w:color w:val="auto"/>
              </w:rPr>
              <w:t>JULY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38"/>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2005</w:t>
            </w:r>
          </w:p>
        </w:tc>
        <w:tc>
          <w:tcPr>
            <w:tcW w:w="660" w:type="dxa"/>
            <w:vAlign w:val="bottom"/>
          </w:tcPr>
          <w:p>
            <w:pPr>
              <w:spacing w:after="0"/>
              <w:rPr>
                <w:sz w:val="14"/>
                <w:szCs w:val="14"/>
                <w:color w:val="auto"/>
              </w:rPr>
            </w:pPr>
          </w:p>
        </w:tc>
        <w:tc>
          <w:tcPr>
            <w:tcW w:w="680" w:type="dxa"/>
            <w:vAlign w:val="bottom"/>
          </w:tcPr>
          <w:p>
            <w:pPr>
              <w:jc w:val="right"/>
              <w:ind w:right="118"/>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102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70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w w:val="93"/>
              </w:rPr>
              <w:t>MILLIONS)</w:t>
            </w: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Borders>
              <w:top w:val="single" w:sz="8" w:color="auto"/>
            </w:tcBorders>
          </w:tcPr>
          <w:p>
            <w:pPr>
              <w:ind w:left="500"/>
              <w:spacing w:after="0" w:line="119" w:lineRule="exact"/>
              <w:rPr>
                <w:sz w:val="20"/>
                <w:szCs w:val="20"/>
                <w:color w:val="auto"/>
              </w:rPr>
            </w:pPr>
            <w:r>
              <w:rPr>
                <w:rFonts w:ascii="Arial" w:cs="Arial" w:eastAsia="Arial" w:hAnsi="Arial"/>
                <w:sz w:val="13"/>
                <w:szCs w:val="13"/>
                <w:b w:val="1"/>
                <w:bCs w:val="1"/>
                <w:color w:val="auto"/>
                <w:w w:val="92"/>
              </w:rPr>
              <w:t>(IN</w:t>
            </w:r>
          </w:p>
        </w:tc>
        <w:tc>
          <w:tcPr>
            <w:tcW w:w="6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w w:val="90"/>
              </w:rPr>
              <w:t>MILLIONS)</w:t>
            </w: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73"/>
              <w:spacing w:after="0"/>
              <w:rPr>
                <w:sz w:val="20"/>
                <w:szCs w:val="20"/>
                <w:color w:val="auto"/>
              </w:rPr>
            </w:pPr>
            <w:r>
              <w:rPr>
                <w:rFonts w:ascii="Arial" w:cs="Arial" w:eastAsia="Arial" w:hAnsi="Arial"/>
                <w:sz w:val="18"/>
                <w:szCs w:val="18"/>
                <w:color w:val="auto"/>
              </w:rPr>
              <w:t>770.3</w:t>
            </w: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687.5</w:t>
            </w:r>
          </w:p>
        </w:tc>
        <w:tc>
          <w:tcPr>
            <w:tcW w:w="1020" w:type="dxa"/>
            <w:vAlign w:val="bottom"/>
            <w:gridSpan w:val="2"/>
            <w:shd w:val="clear" w:color="auto" w:fill="CCEEFF"/>
          </w:tcPr>
          <w:p>
            <w:pPr>
              <w:jc w:val="right"/>
              <w:ind w:right="273"/>
              <w:spacing w:after="0"/>
              <w:rPr>
                <w:sz w:val="20"/>
                <w:szCs w:val="20"/>
                <w:color w:val="auto"/>
              </w:rPr>
            </w:pPr>
            <w:r>
              <w:rPr>
                <w:rFonts w:ascii="Arial" w:cs="Arial" w:eastAsia="Arial" w:hAnsi="Arial"/>
                <w:sz w:val="18"/>
                <w:szCs w:val="18"/>
                <w:color w:val="auto"/>
                <w:w w:val="87"/>
              </w:rPr>
              <w:t>$ 1,596.5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$ 1,405.5</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Scotts LawnService®</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73"/>
              <w:spacing w:after="0"/>
              <w:rPr>
                <w:sz w:val="20"/>
                <w:szCs w:val="20"/>
                <w:color w:val="auto"/>
              </w:rPr>
            </w:pPr>
            <w:r>
              <w:rPr>
                <w:rFonts w:ascii="Arial" w:cs="Arial" w:eastAsia="Arial" w:hAnsi="Arial"/>
                <w:sz w:val="18"/>
                <w:szCs w:val="18"/>
                <w:color w:val="auto"/>
              </w:rPr>
              <w:t>75.3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59.8</w:t>
            </w:r>
          </w:p>
        </w:tc>
        <w:tc>
          <w:tcPr>
            <w:tcW w:w="1020" w:type="dxa"/>
            <w:vAlign w:val="bottom"/>
            <w:gridSpan w:val="2"/>
          </w:tcPr>
          <w:p>
            <w:pPr>
              <w:jc w:val="right"/>
              <w:ind w:right="273"/>
              <w:spacing w:after="0"/>
              <w:rPr>
                <w:sz w:val="20"/>
                <w:szCs w:val="20"/>
                <w:color w:val="auto"/>
              </w:rPr>
            </w:pPr>
            <w:r>
              <w:rPr>
                <w:rFonts w:ascii="Arial" w:cs="Arial" w:eastAsia="Arial" w:hAnsi="Arial"/>
                <w:sz w:val="18"/>
                <w:szCs w:val="18"/>
                <w:color w:val="auto"/>
              </w:rPr>
              <w:t>128.7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3"/>
              <w:spacing w:after="0"/>
              <w:rPr>
                <w:sz w:val="20"/>
                <w:szCs w:val="20"/>
                <w:color w:val="auto"/>
              </w:rPr>
            </w:pPr>
            <w:r>
              <w:rPr>
                <w:rFonts w:ascii="Arial" w:cs="Arial" w:eastAsia="Arial" w:hAnsi="Arial"/>
                <w:sz w:val="18"/>
                <w:szCs w:val="18"/>
                <w:color w:val="auto"/>
              </w:rPr>
              <w:t>144.5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142.0</w:t>
            </w:r>
          </w:p>
        </w:tc>
        <w:tc>
          <w:tcPr>
            <w:tcW w:w="1020" w:type="dxa"/>
            <w:vAlign w:val="bottom"/>
            <w:gridSpan w:val="2"/>
            <w:shd w:val="clear" w:color="auto" w:fill="CCEEFF"/>
          </w:tcPr>
          <w:p>
            <w:pPr>
              <w:jc w:val="right"/>
              <w:ind w:right="273"/>
              <w:spacing w:after="0"/>
              <w:rPr>
                <w:sz w:val="20"/>
                <w:szCs w:val="20"/>
                <w:color w:val="auto"/>
              </w:rPr>
            </w:pPr>
            <w:r>
              <w:rPr>
                <w:rFonts w:ascii="Arial" w:cs="Arial" w:eastAsia="Arial" w:hAnsi="Arial"/>
                <w:sz w:val="18"/>
                <w:szCs w:val="18"/>
                <w:color w:val="auto"/>
              </w:rPr>
              <w:t>353.0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Corporate &amp; other</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57.9</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57.6</w:t>
            </w:r>
          </w:p>
        </w:tc>
        <w:tc>
          <w:tcPr>
            <w:tcW w:w="660" w:type="dxa"/>
            <w:vAlign w:val="bottom"/>
          </w:tcPr>
          <w:p>
            <w:pPr>
              <w:spacing w:after="0"/>
              <w:rPr>
                <w:sz w:val="18"/>
                <w:szCs w:val="18"/>
                <w:color w:val="auto"/>
              </w:rPr>
            </w:pPr>
          </w:p>
        </w:tc>
        <w:tc>
          <w:tcPr>
            <w:tcW w:w="1020" w:type="dxa"/>
            <w:vAlign w:val="bottom"/>
            <w:gridSpan w:val="2"/>
          </w:tcPr>
          <w:p>
            <w:pPr>
              <w:jc w:val="right"/>
              <w:ind w:right="273"/>
              <w:spacing w:after="0"/>
              <w:rPr>
                <w:sz w:val="20"/>
                <w:szCs w:val="20"/>
                <w:color w:val="auto"/>
              </w:rPr>
            </w:pPr>
            <w:r>
              <w:rPr>
                <w:rFonts w:ascii="Arial" w:cs="Arial" w:eastAsia="Arial" w:hAnsi="Arial"/>
                <w:sz w:val="18"/>
                <w:szCs w:val="18"/>
                <w:color w:val="auto"/>
              </w:rPr>
              <w:t>126.8</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1,048.0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946.9</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73"/>
              <w:spacing w:after="0"/>
              <w:rPr>
                <w:sz w:val="20"/>
                <w:szCs w:val="20"/>
                <w:color w:val="auto"/>
              </w:rPr>
            </w:pPr>
            <w:r>
              <w:rPr>
                <w:rFonts w:ascii="Arial" w:cs="Arial" w:eastAsia="Arial" w:hAnsi="Arial"/>
                <w:sz w:val="18"/>
                <w:szCs w:val="18"/>
                <w:color w:val="auto"/>
              </w:rPr>
              <w:t>2,205.0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2,006.8</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Roundup® deferred contribution charge</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(45.7)</w:t>
            </w:r>
          </w:p>
        </w:tc>
        <w:tc>
          <w:tcPr>
            <w:tcW w:w="1020" w:type="dxa"/>
            <w:vAlign w:val="bottom"/>
            <w:gridSpan w:val="2"/>
          </w:tcPr>
          <w:p>
            <w:pPr>
              <w:jc w:val="right"/>
              <w:ind w:right="273"/>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73"/>
              <w:spacing w:after="0"/>
              <w:rPr>
                <w:sz w:val="20"/>
                <w:szCs w:val="20"/>
                <w:color w:val="auto"/>
              </w:rPr>
            </w:pPr>
            <w:r>
              <w:rPr>
                <w:rFonts w:ascii="Arial" w:cs="Arial" w:eastAsia="Arial" w:hAnsi="Arial"/>
                <w:sz w:val="18"/>
                <w:szCs w:val="18"/>
                <w:color w:val="auto"/>
                <w:w w:val="99"/>
              </w:rPr>
              <w:t>1,048.0</w:t>
            </w: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901.2</w:t>
            </w:r>
          </w:p>
        </w:tc>
        <w:tc>
          <w:tcPr>
            <w:tcW w:w="1020" w:type="dxa"/>
            <w:vAlign w:val="bottom"/>
            <w:gridSpan w:val="2"/>
            <w:shd w:val="clear" w:color="auto" w:fill="CCEEFF"/>
          </w:tcPr>
          <w:p>
            <w:pPr>
              <w:jc w:val="right"/>
              <w:ind w:right="273"/>
              <w:spacing w:after="0"/>
              <w:rPr>
                <w:sz w:val="20"/>
                <w:szCs w:val="20"/>
                <w:color w:val="auto"/>
              </w:rPr>
            </w:pPr>
            <w:r>
              <w:rPr>
                <w:rFonts w:ascii="Arial" w:cs="Arial" w:eastAsia="Arial" w:hAnsi="Arial"/>
                <w:sz w:val="18"/>
                <w:szCs w:val="18"/>
                <w:color w:val="auto"/>
                <w:w w:val="87"/>
              </w:rPr>
              <w:t>$ 2,205.0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$ 1,961.1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280" w:type="dxa"/>
            <w:vAlign w:val="bottom"/>
            <w:vMerge w:val="restart"/>
          </w:tcPr>
          <w:p>
            <w:pPr>
              <w:jc w:val="right"/>
              <w:ind w:right="650"/>
              <w:spacing w:after="0"/>
              <w:rPr>
                <w:sz w:val="20"/>
                <w:szCs w:val="20"/>
                <w:color w:val="auto"/>
              </w:rPr>
            </w:pPr>
            <w:r>
              <w:rPr>
                <w:rFonts w:ascii="Arial" w:cs="Arial" w:eastAsia="Arial" w:hAnsi="Arial"/>
                <w:sz w:val="18"/>
                <w:szCs w:val="18"/>
                <w:color w:val="auto"/>
              </w:rPr>
              <w:t>29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operating income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6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3"/>
          </w:tcPr>
          <w:p>
            <w:pPr>
              <w:jc w:val="right"/>
              <w:ind w:right="408"/>
              <w:spacing w:after="0" w:line="119" w:lineRule="exact"/>
              <w:rPr>
                <w:sz w:val="20"/>
                <w:szCs w:val="20"/>
                <w:color w:val="auto"/>
              </w:rPr>
            </w:pPr>
            <w:r>
              <w:rPr>
                <w:rFonts w:ascii="Arial" w:cs="Arial" w:eastAsia="Arial" w:hAnsi="Arial"/>
                <w:sz w:val="13"/>
                <w:szCs w:val="13"/>
                <w:b w:val="1"/>
                <w:bCs w:val="1"/>
                <w:color w:val="auto"/>
              </w:rPr>
              <w:t>JULY 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2"/>
              <w:spacing w:after="0" w:line="119" w:lineRule="exact"/>
              <w:rPr>
                <w:sz w:val="20"/>
                <w:szCs w:val="20"/>
                <w:color w:val="auto"/>
              </w:rPr>
            </w:pPr>
            <w:r>
              <w:rPr>
                <w:rFonts w:ascii="Arial" w:cs="Arial" w:eastAsia="Arial" w:hAnsi="Arial"/>
                <w:sz w:val="13"/>
                <w:szCs w:val="13"/>
                <w:b w:val="1"/>
                <w:bCs w:val="1"/>
                <w:color w:val="auto"/>
              </w:rPr>
              <w:t>JULY 2,</w:t>
            </w:r>
          </w:p>
        </w:tc>
        <w:tc>
          <w:tcPr>
            <w:tcW w:w="66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368"/>
              <w:spacing w:after="0" w:line="119" w:lineRule="exact"/>
              <w:rPr>
                <w:sz w:val="20"/>
                <w:szCs w:val="20"/>
                <w:color w:val="auto"/>
              </w:rPr>
            </w:pPr>
            <w:r>
              <w:rPr>
                <w:rFonts w:ascii="Arial" w:cs="Arial" w:eastAsia="Arial" w:hAnsi="Arial"/>
                <w:sz w:val="13"/>
                <w:szCs w:val="13"/>
                <w:b w:val="1"/>
                <w:bCs w:val="1"/>
                <w:color w:val="auto"/>
              </w:rPr>
              <w:t>JULY 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2"/>
              <w:spacing w:after="0" w:line="119" w:lineRule="exact"/>
              <w:rPr>
                <w:sz w:val="20"/>
                <w:szCs w:val="20"/>
                <w:color w:val="auto"/>
              </w:rPr>
            </w:pPr>
            <w:r>
              <w:rPr>
                <w:rFonts w:ascii="Arial" w:cs="Arial" w:eastAsia="Arial" w:hAnsi="Arial"/>
                <w:sz w:val="13"/>
                <w:szCs w:val="13"/>
                <w:b w:val="1"/>
                <w:bCs w:val="1"/>
                <w:color w:val="auto"/>
              </w:rPr>
              <w:t>JULY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6"/>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2005</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3"/>
              </w:rPr>
              <w:t>MILLIONS)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5"/>
          </w:tcPr>
          <w:p>
            <w:pPr>
              <w:jc w:val="right"/>
              <w:spacing w:after="0"/>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205.4</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356.8</w:t>
            </w:r>
          </w:p>
        </w:tc>
        <w:tc>
          <w:tcPr>
            <w:tcW w:w="5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Scotts LawnService®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308"/>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21.7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41.1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Corporate &amp; other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248"/>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color w:val="auto"/>
              </w:rPr>
              <w:t>(56.7)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335.8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Roundup® deferred contribution charge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30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(45.7)</w:t>
            </w: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Impairment of intangibles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30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North America segment net sales were $770.3 million in the quarter and $1,596.5 million for the first nine months of fiscal 2006, an increase of 12.0% and 13.6% from the quarter and first nine months of fiscal 2005, respectively. Excluding the impact of the acquisitions, North America sales increased 7.0% and 8.3% for the quarter and first nine months of fiscal 2006, respectively. Lawn and garden fertilizers and growing media sales drove the increase. Point-of-sales at our top three customers in the North America segment increased 11.6% for the quarter and 12.6% for the year-to-date period, showing continued strong consumer demand for our products.</w:t>
      </w:r>
    </w:p>
    <w:p>
      <w:pPr>
        <w:spacing w:after="0" w:line="8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Operating income generated by the North America segment was $205.4 million in the quarter and $356.8 million for the first nine months of fiscal 2006, an increase of 13.3% and 12.2% from the quarter and first nine months of fiscal 2005, respectively. An increase in net sales drove an increase in gross margin dollars; however, the gross margin rate for the quarter and year-to-date periods decreased by approximately 120 and 190 basis points, respectively. Increases in pricing both last year and in fiscal 2006 were designed to cover cost increases only, contributing to the decline in the gross margin rate. However, the increase in input costs during the first nine months of fiscal 2006 slightly exceeded additional revenues from pricing. A sales mix that included a higher percentage of lower margin products than in the comparable periods of the prior year also served to reduce margins. SG&amp;A spending increased by approximately $1.7 million for the quarter and $9.6 million for the year-to-date period with the year-to-date increase due largely to additional media advertising.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Scotts LawnService®</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Scotts LawnService® revenues increased 25.9% to $75.3 million in the third quarter of fiscal 2006. Revenues increased 25.8% to $128.7 million in first nine months of fiscal 2006. Average customer count increased 10.7% compared to last year and customer retention has remained at a high level in the face of an uncertain economy and price increases taken to offset rising commodity and fuel costs. Revenue growth exceeded customer count growth due to pricing, a shift in customer mix to higher value programs, increased ala carte services and timing related to an earlier start to the treating season in calendar 2006 and the amount of carryover revenue from fiscal 2005 into the first quarter of fiscal 2006.</w:t>
      </w:r>
    </w:p>
    <w:p>
      <w:pPr>
        <w:spacing w:after="0" w:line="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higher operating loss for Scotts LawnService® for the first nine months of fiscal 2006 is primarily attributable to higher planned SG&amp;A spending as the business continues its rapid growth track.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Net sales for the International segment in the third quarter and first nine months of fiscal 2006 were $144.5 million and $353.0 million, respectively, an increase of 1.8% and a decrease of 6.2% versus the third quarter and first nine months of fiscal 2005. Excluding the effect of exchange rates, net sales were essentially flat for the quarter while declining 1.6% for the first nine months. The retail environment in Europe is challenging with category sales down 7% in the U.K. and 10% in France, our two largest European markets. We believe our listing improvements have resulted in market share gains of about 300 basis points in the U.K. and 200 basis points in France. However, these gains have not resulted in net sales growth due to the category declines.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Operating income for the quarter was essentially flat while the first nine months of fiscal 2006 declined by $4.7 million. Lower sales and gross margins which were partially offset by reduced SG&amp;A spending are responsible for the year-over-year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Net sales for this segment increased $0.3 million for the quarter and $4.0 million year to date. These increases are due to our Smith &amp; Hawken® business and driven by revenues relating to our exclusive arrangement with Target that kicked off this spring. The net expense for Corporate &amp; Other decreased by</w:t>
      </w:r>
    </w:p>
    <w:p>
      <w:pPr>
        <w:ind w:right="200"/>
        <w:spacing w:after="0" w:line="254" w:lineRule="auto"/>
        <w:rPr>
          <w:sz w:val="20"/>
          <w:szCs w:val="20"/>
          <w:color w:val="auto"/>
        </w:rPr>
      </w:pPr>
      <w:r>
        <w:rPr>
          <w:rFonts w:ascii="Arial" w:cs="Arial" w:eastAsia="Arial" w:hAnsi="Arial"/>
          <w:sz w:val="18"/>
          <w:szCs w:val="18"/>
          <w:color w:val="auto"/>
        </w:rPr>
        <w:t>$6.8 million in the quarter and $15.3 million for the first nine months of fiscal 2006. A higher Smith &amp; Hawken® operating loss for the year-to-date period, increased spending on wellness initiatives, and higher stock-based compensation expenses were more than offset by savings generated from Project Excellence and a benefit of $10.6 million from a recovery from one of our insurance carriers related to legal expenses incurred in the last several years to defend ourselves in several lawsuits regarding our use of vermiculite.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Cash provided by operating activities was $4.1 million and $67.2 million for the nine months ended July 1, 2006 and July 2, 2005, respectively. The reduced level of operating cash flow in fiscal 2006 versus the prior year is due largely to increased investments in accounts receivable and inventories and the payment of $43.0 million for the Roundup® deferred contribution amount. The receivables increase is due to the timing of sales in the quarter and a shift in customer mix towards customers with longer payment terms. There is no deterioration in the quality of our receivables as past dues continue to be well managed. Smith</w:t>
      </w:r>
    </w:p>
    <w:p>
      <w:pPr>
        <w:spacing w:after="0" w:line="2" w:lineRule="exact"/>
        <w:rPr>
          <w:sz w:val="20"/>
          <w:szCs w:val="20"/>
          <w:color w:val="auto"/>
        </w:rPr>
      </w:pPr>
    </w:p>
    <w:p>
      <w:pPr>
        <w:ind w:right="320" w:firstLine="8"/>
        <w:spacing w:after="0" w:line="290" w:lineRule="auto"/>
        <w:tabs>
          <w:tab w:leader="none" w:pos="185" w:val="left"/>
        </w:tabs>
        <w:numPr>
          <w:ilvl w:val="0"/>
          <w:numId w:val="7"/>
        </w:numPr>
        <w:rPr>
          <w:rFonts w:ascii="Arial" w:cs="Arial" w:eastAsia="Arial" w:hAnsi="Arial"/>
          <w:sz w:val="17"/>
          <w:szCs w:val="17"/>
          <w:color w:val="auto"/>
        </w:rPr>
      </w:pPr>
      <w:r>
        <w:rPr>
          <w:rFonts w:ascii="Arial" w:cs="Arial" w:eastAsia="Arial" w:hAnsi="Arial"/>
          <w:sz w:val="17"/>
          <w:szCs w:val="17"/>
          <w:color w:val="auto"/>
        </w:rPr>
        <w:t>Hawken® inventories are up $18.0 million compared to the prior year due to sales not meeting expectations. Lastly, increased costs coupled with a pull forward of some fertilizer production from fiscal 2007 as part of our inventory hedging strategy have added about $15.9 million to inventories.</w:t>
      </w:r>
    </w:p>
    <w:p>
      <w:pPr>
        <w:spacing w:after="0" w:line="5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Cash used in investing activities was $155.9 million and $38.8 million for the nine months ended July 1, 2006 and July 2, 2005, respectively. Our acquisitions of Gutwein and RMC required a net cash outlay of approximately $98.0 million in the first quarter of 2006, which was financed with borrowings under our existing lines of credit. Our acquisition of Smith &amp; Hawken® in the first quarter of fiscal 2005 required a cash outlay of approximately $70.0 million financed in large part through the redemption of $57.2 million of investments. Capital spending of $36.6 million was done in the normal course of business, compared to the $19.3 million spent in the first nine months of fiscal 2005. The increase in capital spending was partially due to approximately $4.0 million spent acquiring peat bogs in Scotland along with $4.5 million in new Smith and Hawken® stores.</w:t>
      </w:r>
    </w:p>
    <w:p>
      <w:pPr>
        <w:spacing w:after="0" w:line="70"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Financing activities provided cash of $129.9 million and $34.5 million for the nine months ended July 1, 2006 and July 2, 2005, respectively. The higher financing needs in the first nine months of fiscal 2006 were due to an increase in accounts receivable, a higher level inventory, acquisitions, higher capital spending, the purchase of common shares for treasury stock in accordance with our previously announced share repurchase program, and the payment of quarterly cash dividends initiated in the fourth quarter of fiscal 2005. Also, investing activities for the first nine months of fiscal 2005 were partially funded by the sale of securities. Our more efficient borrowing arrangements negotiated toward the end of fiscal 2005 allowed us to pay-down debt, eliminating the need for short-term investments, which were not carried into fiscal 2006.</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Our primary sources of liquidity are cash generated by operations and borrowings under our revolving credit agreement. Our revolving credit agreement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consists of a $1.05 billion multi-currency revolving credit commitment (increased from $1.0 billion in February 2006), which extends through July 21, 2010.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may also request an additional $100 million in revolving credit commitments, subject to approval from our lenders. As of July 1, 2006, there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$626.5 million available under our revolving credit agreement. Furthermore, as of July 1, 2006, we had $200 million of 6 5/8% Senior Subordinated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July 1, 2006, we were in compliance with all of our debt covenants.</w:t>
      </w:r>
    </w:p>
    <w:p>
      <w:pPr>
        <w:spacing w:after="0" w:line="103"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Prior to September 2005, we had not paid dividends on our common shares. Based on the levels of cash flow generated by our business in recent years and our improving financial condition, our Board of Directors approved an annual dividend of 50-cents per share to be paid at 12.5 cents each quarter beginning in the fourth quarter of fiscal 2005. Our third quarter dividend was paid on June 1, 2006, and we anticipate the approval of a fourth quarter dividend.</w:t>
      </w:r>
    </w:p>
    <w:p>
      <w:pPr>
        <w:spacing w:after="0" w:line="3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October 27, 2005, we announced that our Board of Directors had approved a $500 million share repurchase program. This repurchase program is authorized for five years. We currently anticipate allocating approximately $100 million per year on the program. Through July 1, 2006, we have reacquired 1.5 million of our common shares to be held in treasury at an aggregate cost of $73.3 million. A total of 0.3 million of our common shares held in treasury have been reissued to support the exercise of employee held options and employee purchases of common shares under our employee stock purchase plan. We did not repurchase any common shares in fiscal 2005.</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our opinion, cash flows from operations and capital resources will be sufficient to meet debt service and working capital needs during fiscal 2006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 Reference should be made to Item 1A. Risk Factors, in our Annual Report on Form 10-K for a more complete discussion of risks associated with our debt, credit facility and related covenants.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 AND ESTIMATES</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preceding discussion and analysis of the consolidated results of operations and financial position should be read in conjunction with our Condensed, Consolidated Financial Statements included elsewhere in this Quarterly Report on Form 10-Q. Our Annual Report on Form 10-K for fiscal, 2005 includes additional information about the Company, our operations, our financial position, our critical accounting policies and accounting estimates, and should be read in conjunction with this Quarterly Report on Form 10-Q.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Market risks have not changed significantly from those disclosed in the Company’s Annual Report on Form 10-K for fiscal,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With the participation of the Company’s principal executive officer and principal financial officer, the Company’s management has evaluated the effectiveness of the Company’s disclosure controls and procedures (as defined in Rule 13a-15(e) under the Securities Exchange Act of 1934, as amended (the “Exchange Act”), as of the end of the fiscal quarter covered by this Quarterly Report on Form 10-Q. Based upon that evaluation, the Company’s principal executive officer and principal financial officer have concluded that:</w:t>
      </w:r>
    </w:p>
    <w:p>
      <w:pPr>
        <w:spacing w:after="0" w:line="79" w:lineRule="exact"/>
        <w:rPr>
          <w:sz w:val="20"/>
          <w:szCs w:val="20"/>
          <w:color w:val="auto"/>
        </w:rPr>
      </w:pPr>
    </w:p>
    <w:p>
      <w:pPr>
        <w:ind w:left="660" w:right="60" w:hanging="436"/>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required to be disclosed by the Company in this Quarterly Report on Form 10-Q and the other reports that the Company files or submits under the Exchange Act would be accumulated and communicated to the Company’s management, including its principal executive officer and principal financial officer, as appropriate to allow timely decisions regarding required disclosure; and</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required to be disclosed by the Company in this Quarterly Report on Form 10-Q and the other reports that the Company files or submits under the Exchange Act would be recorded, processed, summarized, and reported within the time periods specified in the SEC’s rules and forms; and</w:t>
      </w:r>
    </w:p>
    <w:p>
      <w:pPr>
        <w:spacing w:after="0" w:line="86" w:lineRule="exact"/>
        <w:rPr>
          <w:rFonts w:ascii="Arial" w:cs="Arial" w:eastAsia="Arial" w:hAnsi="Arial"/>
          <w:sz w:val="18"/>
          <w:szCs w:val="18"/>
          <w:color w:val="auto"/>
        </w:rPr>
      </w:pPr>
    </w:p>
    <w:p>
      <w:pPr>
        <w:jc w:val="both"/>
        <w:ind w:left="660" w:right="100" w:hanging="436"/>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Company’s disclosure controls and procedures are effective as of the end of the fiscal quarter covered by this Quarterly Report on Form 10-Q to ensure that material information relating to the Company and its consolidated subsidiaries is made known to them, particularly during the period in which the Company’s periodic reports, including this Quarterly Report on Form 10-Q, are being prepared.</w:t>
      </w:r>
    </w:p>
    <w:p>
      <w:pPr>
        <w:spacing w:after="0" w:line="5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addition, there were no changes in the Company’s internal control over financial reporting (as defined in Rule 13a-15(f) under the Exchange Act) that occurred during the Company’s fiscal quarter ended July 1, 2006, that have materially affected, or are reasonably likely to materially affect, the Company’s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pending material legal proceeding disclosure with material developments since the second quarter of fiscal 2006 is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Horticultural Supply, Inc. (F/K/A E.C. Geiger, Inc.)</w:t>
      </w:r>
    </w:p>
    <w:p>
      <w:pPr>
        <w:spacing w:after="0" w:line="121" w:lineRule="exact"/>
        <w:rPr>
          <w:sz w:val="20"/>
          <w:szCs w:val="20"/>
          <w:color w:val="auto"/>
        </w:rPr>
      </w:pPr>
    </w:p>
    <w:p>
      <w:pPr>
        <w:jc w:val="both"/>
        <w:ind w:right="720"/>
        <w:spacing w:after="0" w:line="264" w:lineRule="auto"/>
        <w:rPr>
          <w:sz w:val="20"/>
          <w:szCs w:val="20"/>
          <w:color w:val="auto"/>
        </w:rPr>
      </w:pPr>
      <w:r>
        <w:rPr>
          <w:rFonts w:ascii="Arial" w:cs="Arial" w:eastAsia="Arial" w:hAnsi="Arial"/>
          <w:sz w:val="18"/>
          <w:szCs w:val="18"/>
          <w:color w:val="auto"/>
        </w:rPr>
        <w:t>On November 5, 2004, U.S. Horticultural Supply, Inc. (“Geiger”) filed suit against the Company in the U.S. District Court for the Eastern District of Pennsylvania. This complaint alleges that the Company conspired with another distributor, Griffin Greenhouse Supplies, Inc., to restrain trade in the horticultural products market, in violation of Section 1 of the Sherman Antitrust Act. Geiger has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not specified the amount of monetary damages it is seeking. On June 2, 2006, the Court denied the Company’s motion to dismiss the complaint. The Company is currently engaged in discovery relating to Geiger’s claim. The deadline for fact discovery is March 8, 2007.</w:t>
      </w:r>
    </w:p>
    <w:p>
      <w:pPr>
        <w:spacing w:after="0" w:line="6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 intends to vigorously defend against Geiger’s claims. The Company believes that Geiger’s claims are without merit and that the likelihood of an unfavorable outcome is remote. Therefore, no accrual has been established related to this matter. However, the Company cannot predict the ultimate outcome with certainty. If the above action is determined adversely to the Company, the result could have a material adverse effect on the Company’s results of operations, financial position and cash flows. Because Geiger has not specified an amount of monetary damages in the case (which may be trebled under the antitrust statutes) and discovery has not yet commenced, any potential exposure that the Company may face cannot be reasonably estimated at this time.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 on Forward-Looking Statements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made and will make “forward-looking statements” within the meaning of Section 27A of the Securities Act of 1933 and Section 21E of the Securities Exchange Act of 1934 in this Quarterly Report on Form 10-Q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Some forward-looking statements that we make in this Quarterly Report on Form 10-Q and in other contexts represent challenging goals for the Company, and the achievement of these goals is subject to a variety of risks and assumptions and numerous factors beyond our control. Important factors that could cause actual results to differ materially from the forward-looking statements we make are included in Part I, “Item 1A. Risk Factors” in our Annual Report on Form 10-K for the fiscal year ended September 30, 2005. All forward-looking statements attributable to us or persons working on our behalf are expressly qualified in their entirety by those cautionary statements.</w:t>
      </w:r>
    </w:p>
    <w:p>
      <w:pPr>
        <w:spacing w:after="0" w:line="8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risk factors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Issuer Purchases of Equity Securities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table shows the purchases of common shares of Scotts Miracle-Gro made by or on behalf of the Company or any “affiliated purchaser” of Scotts Miracle-Gro as defined in Rule 10b-18(a)(3) under the Securities Exchange Act of 1934, as amended, for each of the three months in the quarter ended July 1, 2006: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Value of Common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94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Total Number of</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940" w:type="dxa"/>
            <w:vAlign w:val="bottom"/>
            <w:gridSpan w:val="4"/>
            <w:vMerge w:val="continue"/>
          </w:tcPr>
          <w:p>
            <w:pPr>
              <w:spacing w:after="0"/>
              <w:rPr>
                <w:sz w:val="12"/>
                <w:szCs w:val="12"/>
                <w:color w:val="auto"/>
              </w:rPr>
            </w:pPr>
          </w:p>
        </w:tc>
        <w:tc>
          <w:tcPr>
            <w:tcW w:w="146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94"/>
              </w:rPr>
              <w:t>Average Price</w:t>
            </w:r>
          </w:p>
        </w:tc>
        <w:tc>
          <w:tcPr>
            <w:tcW w:w="19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Purchased as Part</w:t>
            </w: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940" w:type="dxa"/>
            <w:vAlign w:val="bottom"/>
            <w:gridSpan w:val="4"/>
          </w:tcPr>
          <w:p>
            <w:pPr>
              <w:jc w:val="right"/>
              <w:ind w:right="500"/>
              <w:spacing w:after="0" w:line="149" w:lineRule="exact"/>
              <w:rPr>
                <w:sz w:val="20"/>
                <w:szCs w:val="20"/>
                <w:color w:val="auto"/>
              </w:rPr>
            </w:pPr>
            <w:r>
              <w:rPr>
                <w:rFonts w:ascii="Arial" w:cs="Arial" w:eastAsia="Arial" w:hAnsi="Arial"/>
                <w:sz w:val="14"/>
                <w:szCs w:val="14"/>
                <w:b w:val="1"/>
                <w:bCs w:val="1"/>
                <w:color w:val="auto"/>
              </w:rPr>
              <w:t>Common Shares</w:t>
            </w:r>
          </w:p>
        </w:tc>
        <w:tc>
          <w:tcPr>
            <w:tcW w:w="1460" w:type="dxa"/>
            <w:vAlign w:val="bottom"/>
            <w:gridSpan w:val="3"/>
            <w:vMerge w:val="continue"/>
          </w:tcPr>
          <w:p>
            <w:pPr>
              <w:spacing w:after="0"/>
              <w:rPr>
                <w:sz w:val="12"/>
                <w:szCs w:val="12"/>
                <w:color w:val="auto"/>
              </w:rPr>
            </w:pPr>
          </w:p>
        </w:tc>
        <w:tc>
          <w:tcPr>
            <w:tcW w:w="19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of Publicly Announced</w:t>
            </w: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gridSpan w:val="3"/>
          </w:tcPr>
          <w:p>
            <w:pPr>
              <w:ind w:left="180"/>
              <w:spacing w:after="0"/>
              <w:rPr>
                <w:sz w:val="20"/>
                <w:szCs w:val="20"/>
                <w:color w:val="auto"/>
              </w:rPr>
            </w:pPr>
            <w:r>
              <w:rPr>
                <w:rFonts w:ascii="Arial" w:cs="Arial" w:eastAsia="Arial" w:hAnsi="Arial"/>
                <w:sz w:val="14"/>
                <w:szCs w:val="14"/>
                <w:b w:val="1"/>
                <w:bCs w:val="1"/>
                <w:color w:val="auto"/>
              </w:rPr>
              <w:t>Purchased</w:t>
            </w:r>
          </w:p>
        </w:tc>
        <w:tc>
          <w:tcPr>
            <w:tcW w:w="14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3"/>
              </w:rPr>
              <w:t>Paid Per Share</w:t>
            </w:r>
          </w:p>
        </w:tc>
        <w:tc>
          <w:tcPr>
            <w:tcW w:w="1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Plans or Programs(1)</w:t>
            </w:r>
          </w:p>
        </w:tc>
        <w:tc>
          <w:tcPr>
            <w:tcW w:w="12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April 2 through April 30, 2006</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45.57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45,434,352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May 1 through May 31, 2006</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210,000</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43.61</w:t>
            </w:r>
          </w:p>
        </w:tc>
        <w:tc>
          <w:tcPr>
            <w:tcW w:w="1380" w:type="dxa"/>
            <w:vAlign w:val="bottom"/>
          </w:tcPr>
          <w:p>
            <w:pPr>
              <w:jc w:val="right"/>
              <w:spacing w:after="0"/>
              <w:rPr>
                <w:sz w:val="20"/>
                <w:szCs w:val="20"/>
                <w:color w:val="auto"/>
              </w:rPr>
            </w:pPr>
            <w:r>
              <w:rPr>
                <w:rFonts w:ascii="Arial" w:cs="Arial" w:eastAsia="Arial" w:hAnsi="Arial"/>
                <w:sz w:val="18"/>
                <w:szCs w:val="18"/>
                <w:color w:val="auto"/>
              </w:rPr>
              <w:t>210,000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36,275,458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June 1 through July 1, 2006</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220,000</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41.39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27,169,856</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620,000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43.43</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620,000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5620" w:right="1580" w:hanging="5612"/>
        <w:spacing w:after="0" w:line="481" w:lineRule="auto"/>
        <w:tabs>
          <w:tab w:leader="none" w:pos="450" w:val="left"/>
        </w:tabs>
        <w:numPr>
          <w:ilvl w:val="0"/>
          <w:numId w:val="9"/>
        </w:numPr>
        <w:rPr>
          <w:rFonts w:ascii="Arial" w:cs="Arial" w:eastAsia="Arial" w:hAnsi="Arial"/>
          <w:sz w:val="15"/>
          <w:szCs w:val="15"/>
          <w:color w:val="auto"/>
        </w:rPr>
      </w:pPr>
      <w:r>
        <w:rPr>
          <w:rFonts w:ascii="Arial" w:cs="Arial" w:eastAsia="Arial" w:hAnsi="Arial"/>
          <w:sz w:val="18"/>
          <w:szCs w:val="18"/>
          <w:color w:val="auto"/>
        </w:rPr>
        <w:t>Scotts Miracle-Gro repurchases its common shares under a share repurchase program that was approved by the Board of Directors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and publicly announced on October 27, 2005 (the “Share Repurchase Program”). Under the Share Repurchase Program, Scotts Miracle-Gro is authorized to purchase up to $100 million of Scotts Miracle-Gro common shares through September 30,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right="160" w:firstLine="8"/>
        <w:spacing w:after="0" w:line="276" w:lineRule="auto"/>
        <w:tabs>
          <w:tab w:leader="none" w:pos="2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At the 2006 Annual Meeting of Shareholders of Scotts Miracle-Gro held on January 26, 2006, The Scotts Company LLC Executive/Management Incentive Plan (the “EMIP Plan”) was approved by Scotts Miracle-Gro’s shareholders. A copy of the EMIP Plan was filed as Exhibit 10.4 to Scotts Miracle-Gro’s Current Report on Form 8-K dated and filed on February 2, 2006. The EMIP Plan is a performance-based compensation plan as defined in Section 162(m) of the Internal Revenue Code of 1986, as amended (the “Internal Revenue Code”). The EMIP Plan provides annual cash awards to the executive officers and management of the Company based upon the Company’s achievement of established financial targets.</w:t>
      </w:r>
    </w:p>
    <w:p>
      <w:pPr>
        <w:spacing w:after="0" w:line="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managers and more senior level employees (including executive officers of the Company) of The Scotts Company LLC (a wholly-owned subsidiary of Scotts Miracle-Gro) and all “affiliates” and “subsidiaries” as defined in Internal Revenue Code Section 414(b) and (c) are eligible to participate in the EMIP Plan upon recommendation by management and in the case of covered employees (as defined in Internal Revenue Code Section 162(m)) approval by the Compensation and Organization Committee of Scotts Miracle-Gro.</w:t>
      </w:r>
    </w:p>
    <w:p>
      <w:pPr>
        <w:spacing w:after="0" w:line="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Unless the Incentive Review Committee, which is comprised of the Chief Executive Officer, the Executive Vice President, Global Human Resources and the Chief Financial Officer of The Scotts Company LLC, specifies otherwise, or the participant has an employment agreement with the Company or one of its subsidiaries which contains more stringent provisions regarding confidentiality, noncompetition and nonsolicitation, each participant in the EMIP Plan must execute an employee confidentiality, noncompetition, nonsolicitation agreement, which if breached will result in forfeiture of any future payment under the EMIP Plan and will oblige the participant to return to The Scotts Company LLC any monies paid to the participant under the EMIP Plan within the three years prior to breach.</w:t>
      </w:r>
    </w:p>
    <w:p>
      <w:pPr>
        <w:spacing w:after="0" w:line="8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copy of the specimen form of the Employee Confidentiality, Noncompetition, Nonsolicitation Agreement for employees participating in the EMIP Plan is filed with this Quarterly Report on Form 10-Q as Exhibit 10.1 and incorporated herein by reference. Each of the following executive officers of the Company has executed the form of Employee Confidentiality, Noncompetition, Nonsolicitation Agreement: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20"/>
                <w:szCs w:val="20"/>
                <w:color w:val="auto"/>
              </w:rPr>
            </w:pPr>
            <w:r>
              <w:rPr>
                <w:rFonts w:ascii="Arial" w:cs="Arial" w:eastAsia="Arial" w:hAnsi="Arial"/>
                <w:sz w:val="14"/>
                <w:szCs w:val="14"/>
                <w:color w:val="auto"/>
              </w:rPr>
              <w:t>Name and Principal Position</w:t>
            </w:r>
          </w:p>
        </w:tc>
        <w:tc>
          <w:tcPr>
            <w:tcW w:w="56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Date of Employee Confidentiality,</w:t>
            </w:r>
          </w:p>
        </w:tc>
      </w:tr>
      <w:tr>
        <w:trPr>
          <w:trHeight w:val="167"/>
        </w:trPr>
        <w:tc>
          <w:tcPr>
            <w:tcW w:w="7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with The Scotts Miracle-Gro Company</w:t>
            </w:r>
          </w:p>
        </w:tc>
        <w:tc>
          <w:tcPr>
            <w:tcW w:w="560" w:type="dxa"/>
            <w:vAlign w:val="bottom"/>
          </w:tcPr>
          <w:p>
            <w:pPr>
              <w:spacing w:after="0"/>
              <w:rPr>
                <w:sz w:val="14"/>
                <w:szCs w:val="14"/>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Noncompetition, Nonsolicitation Agreement</w:t>
            </w:r>
          </w:p>
        </w:tc>
      </w:tr>
      <w:tr>
        <w:trPr>
          <w:trHeight w:val="426"/>
        </w:trPr>
        <w:tc>
          <w:tcPr>
            <w:tcW w:w="7440" w:type="dxa"/>
            <w:vAlign w:val="bottom"/>
          </w:tcPr>
          <w:p>
            <w:pPr>
              <w:spacing w:after="0"/>
              <w:rPr>
                <w:sz w:val="20"/>
                <w:szCs w:val="20"/>
                <w:color w:val="auto"/>
              </w:rPr>
            </w:pPr>
            <w:r>
              <w:rPr>
                <w:rFonts w:ascii="Arial" w:cs="Arial" w:eastAsia="Arial" w:hAnsi="Arial"/>
                <w:sz w:val="18"/>
                <w:szCs w:val="18"/>
                <w:color w:val="auto"/>
              </w:rPr>
              <w:t>Christopher L. Nagel, Executive Vice President and Chief Financial Officer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August 7, 2006</w:t>
            </w: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David M. Aronowitz, Executive Vice President, General Counsel and Corporate Secretary</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11, 2006</w:t>
            </w: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Denise S. Stump, Executive Vice President, Global Human Resources</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August 8, 2006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list of executive officers is also filed with this Quarterly Report on Form 10-Q as Exhibit 10.2.</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Neither James Hagedorn, Chief Executive Officer and Chairman of the Board of the Company, nor Robert F. Bernstock, President of the Company, is a party to the form of Employee Confidentiality, Noncompetition, Nonsolicitation Agreement in light of the provisions contained in his respective employment agreements with The Scotts Company LLC addressing confidentiality, noncompetition and nonsolicitation.</w:t>
      </w:r>
    </w:p>
    <w:p>
      <w:pPr>
        <w:spacing w:after="0" w:line="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Employee Confidentiality, Noncompetition, Nonsolicitation Agreement contains confidentiality provisions under which a participant in the EMIP Plan agrees to maintain the confidentiality of any “confidential information” (as that term is defined in the Employee Confidentiality, Noncompetition, Nonsolicitation Agreement) of The Scotts Company LLC and its affiliates and not to directly or indirectly disclose or reveal confidential information to any person or use confidential information for the participant’s own personal benefit or for the benefit of any person other than The Scotts Company LLC and its affiliates. The Employee Confidentiality, Noncompetition, Nonsolicitation Agreement also contains provisions which prevent a participant from engaging in specified competitive and solicitation activities during the participant’s employment with The Scotts Company LLC and its affiliates, and for an additional two years thereafter.</w:t>
      </w:r>
    </w:p>
    <w:p>
      <w:pPr>
        <w:spacing w:after="0" w:line="81" w:lineRule="exact"/>
        <w:rPr>
          <w:sz w:val="20"/>
          <w:szCs w:val="20"/>
          <w:color w:val="auto"/>
        </w:rPr>
      </w:pPr>
    </w:p>
    <w:p>
      <w:pPr>
        <w:ind w:right="60" w:firstLine="8"/>
        <w:spacing w:after="0" w:line="285" w:lineRule="auto"/>
        <w:tabs>
          <w:tab w:leader="none" w:pos="2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Also at Scotts Miracle-Gro’s 2006 Annual Meeting of Shareholders held on January 26, 2006, The Scotts Miracle-Gro Company 2006 Long-Term Incentive Plan (the “2006 Plan”) was approved by Scotts Miracle-Gro’s shareholders. The 2006 Plan authorizes the grant to third party service providers of nonqualified stock options, stock appreciation rights, restricted stock, restricted stock units, performance units, performance shares, cash-based awards or other stock-based awards not described by one of the foregoing awards. For purposes of the 2006 Plan, a “third party service provider” means any consultant, agent, advisor, or independent contractor who renders services to the Company, a subsidiary of the Company or an affiliate of the Company, which services</w:t>
      </w:r>
    </w:p>
    <w:p>
      <w:pPr>
        <w:spacing w:after="0" w:line="2" w:lineRule="exact"/>
        <w:rPr>
          <w:rFonts w:ascii="Arial" w:cs="Arial" w:eastAsia="Arial" w:hAnsi="Arial"/>
          <w:sz w:val="16"/>
          <w:szCs w:val="16"/>
          <w:color w:val="auto"/>
        </w:rPr>
      </w:pPr>
    </w:p>
    <w:p>
      <w:pPr>
        <w:ind w:right="60" w:firstLine="8"/>
        <w:spacing w:after="0" w:line="273" w:lineRule="auto"/>
        <w:tabs>
          <w:tab w:leader="none" w:pos="24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are not in connection with the offer or sale of the Company’s securities in a capital raising transaction and (b) do not directly or indirectly promote or maintain a market for the Company’s securities. A copy of the 2006 Plan was filed as Exhibit 10.2 to Scotts Miracle-Gro’s Current Report on Form 8-K dated and filed on February 2, 2006. The specimen form of Award Agreement for Third Party Service Providers to evidence awards to third party service providers under the 2006 Plan is filed with this Quarterly Report on Form 10-Q as Exhibit 10.3 and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at page 36 for a list of the exhibits filed herewith.</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Christopher L. Nagel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10, 2006</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Principal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(Duly Authorized Officer)</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JULY 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EXHIBIT NO.</w:t>
            </w:r>
          </w:p>
        </w:tc>
        <w:tc>
          <w:tcPr>
            <w:tcW w:w="520" w:type="dxa"/>
            <w:vAlign w:val="bottom"/>
          </w:tcPr>
          <w:p>
            <w:pPr>
              <w:spacing w:after="0"/>
              <w:rPr>
                <w:sz w:val="14"/>
                <w:szCs w:val="14"/>
                <w:color w:val="auto"/>
              </w:rPr>
            </w:pPr>
          </w:p>
        </w:tc>
        <w:tc>
          <w:tcPr>
            <w:tcW w:w="8660" w:type="dxa"/>
            <w:vAlign w:val="bottom"/>
            <w:tcBorders>
              <w:bottom w:val="single" w:sz="8" w:color="auto"/>
            </w:tcBorders>
          </w:tcPr>
          <w:p>
            <w:pPr>
              <w:ind w:left="3820"/>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LOCATION</w:t>
            </w:r>
          </w:p>
        </w:tc>
      </w:tr>
      <w:tr>
        <w:trPr>
          <w:trHeight w:val="411"/>
        </w:trPr>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10.1</w:t>
            </w:r>
          </w:p>
        </w:tc>
        <w:tc>
          <w:tcPr>
            <w:tcW w:w="8660" w:type="dxa"/>
            <w:vAlign w:val="bottom"/>
          </w:tcPr>
          <w:p>
            <w:pPr>
              <w:spacing w:after="0"/>
              <w:rPr>
                <w:sz w:val="20"/>
                <w:szCs w:val="20"/>
                <w:color w:val="auto"/>
              </w:rPr>
            </w:pPr>
            <w:r>
              <w:rPr>
                <w:rFonts w:ascii="Arial" w:cs="Arial" w:eastAsia="Arial" w:hAnsi="Arial"/>
                <w:sz w:val="18"/>
                <w:szCs w:val="18"/>
                <w:color w:val="auto"/>
                <w:w w:val="93"/>
              </w:rPr>
              <w:t>Specimen form of Employee Confidentiality, Noncompetition, Nonsolicitation Agreement for employees participating</w:t>
            </w:r>
          </w:p>
        </w:tc>
        <w:tc>
          <w:tcPr>
            <w:tcW w:w="1320" w:type="dxa"/>
            <w:vAlign w:val="bottom"/>
            <w:gridSpan w:val="2"/>
          </w:tcPr>
          <w:p>
            <w:pPr>
              <w:jc w:val="center"/>
              <w:ind w:left="450"/>
              <w:spacing w:after="0"/>
              <w:rPr>
                <w:sz w:val="20"/>
                <w:szCs w:val="20"/>
                <w:color w:val="auto"/>
              </w:rPr>
            </w:pPr>
            <w:r>
              <w:rPr>
                <w:rFonts w:ascii="Arial" w:cs="Arial" w:eastAsia="Arial" w:hAnsi="Arial"/>
                <w:sz w:val="18"/>
                <w:szCs w:val="18"/>
                <w:color w:val="auto"/>
              </w:rPr>
              <w:t>*</w:t>
            </w:r>
          </w:p>
        </w:tc>
      </w:tr>
      <w:tr>
        <w:trPr>
          <w:trHeight w:val="230"/>
        </w:trPr>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in The Scotts Company LLC Executive/Management Incentive Plan</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8"/>
        </w:trPr>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10.2</w:t>
            </w:r>
          </w:p>
        </w:tc>
        <w:tc>
          <w:tcPr>
            <w:tcW w:w="8660" w:type="dxa"/>
            <w:vAlign w:val="bottom"/>
          </w:tcPr>
          <w:p>
            <w:pPr>
              <w:spacing w:after="0"/>
              <w:rPr>
                <w:sz w:val="20"/>
                <w:szCs w:val="20"/>
                <w:color w:val="auto"/>
              </w:rPr>
            </w:pPr>
            <w:r>
              <w:rPr>
                <w:rFonts w:ascii="Arial" w:cs="Arial" w:eastAsia="Arial" w:hAnsi="Arial"/>
                <w:sz w:val="18"/>
                <w:szCs w:val="18"/>
                <w:color w:val="auto"/>
              </w:rPr>
              <w:t>Executive Officers of The Scotts Miracle-Gro Company who are parties to form of Employee Confidentiality,</w:t>
            </w:r>
          </w:p>
        </w:tc>
        <w:tc>
          <w:tcPr>
            <w:tcW w:w="1320" w:type="dxa"/>
            <w:vAlign w:val="bottom"/>
            <w:gridSpan w:val="2"/>
          </w:tcPr>
          <w:p>
            <w:pPr>
              <w:jc w:val="center"/>
              <w:ind w:left="45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Noncompetition, Nonsolicitation Agreement for employees participating in The Scotts Company LLC</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Executive/Management Incentive Plan</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8"/>
        </w:trPr>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10.3</w:t>
            </w:r>
          </w:p>
        </w:tc>
        <w:tc>
          <w:tcPr>
            <w:tcW w:w="8660" w:type="dxa"/>
            <w:vAlign w:val="bottom"/>
          </w:tcPr>
          <w:p>
            <w:pPr>
              <w:spacing w:after="0"/>
              <w:rPr>
                <w:sz w:val="20"/>
                <w:szCs w:val="20"/>
                <w:color w:val="auto"/>
              </w:rPr>
            </w:pPr>
            <w:r>
              <w:rPr>
                <w:rFonts w:ascii="Arial" w:cs="Arial" w:eastAsia="Arial" w:hAnsi="Arial"/>
                <w:sz w:val="18"/>
                <w:szCs w:val="18"/>
                <w:color w:val="auto"/>
                <w:w w:val="93"/>
              </w:rPr>
              <w:t>Specimen form of Award Agreement for Third Party Service Providers to evidence awards under The Scotts Miracle-</w:t>
            </w:r>
          </w:p>
        </w:tc>
        <w:tc>
          <w:tcPr>
            <w:tcW w:w="1320" w:type="dxa"/>
            <w:vAlign w:val="bottom"/>
            <w:gridSpan w:val="2"/>
          </w:tcPr>
          <w:p>
            <w:pPr>
              <w:jc w:val="center"/>
              <w:ind w:left="450"/>
              <w:spacing w:after="0"/>
              <w:rPr>
                <w:sz w:val="20"/>
                <w:szCs w:val="20"/>
                <w:color w:val="auto"/>
              </w:rPr>
            </w:pPr>
            <w:r>
              <w:rPr>
                <w:rFonts w:ascii="Arial" w:cs="Arial" w:eastAsia="Arial" w:hAnsi="Arial"/>
                <w:sz w:val="18"/>
                <w:szCs w:val="18"/>
                <w:color w:val="auto"/>
              </w:rPr>
              <w:t>*</w:t>
            </w:r>
          </w:p>
        </w:tc>
      </w:tr>
      <w:tr>
        <w:trPr>
          <w:trHeight w:val="230"/>
        </w:trPr>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Gro Company 2006 Long-Term Incentive Plan to third party service providers</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31(a)</w:t>
            </w:r>
          </w:p>
        </w:tc>
        <w:tc>
          <w:tcPr>
            <w:tcW w:w="8660" w:type="dxa"/>
            <w:vAlign w:val="bottom"/>
          </w:tcPr>
          <w:p>
            <w:pPr>
              <w:spacing w:after="0"/>
              <w:rPr>
                <w:sz w:val="20"/>
                <w:szCs w:val="20"/>
                <w:color w:val="auto"/>
              </w:rPr>
            </w:pPr>
            <w:r>
              <w:rPr>
                <w:rFonts w:ascii="Arial" w:cs="Arial" w:eastAsia="Arial" w:hAnsi="Arial"/>
                <w:sz w:val="18"/>
                <w:szCs w:val="18"/>
                <w:color w:val="auto"/>
              </w:rPr>
              <w:t>Rule 13a-14(a)/15d-14(a) Certification (Principal Executive Officer)</w:t>
            </w:r>
          </w:p>
        </w:tc>
        <w:tc>
          <w:tcPr>
            <w:tcW w:w="1320" w:type="dxa"/>
            <w:vAlign w:val="bottom"/>
            <w:gridSpan w:val="2"/>
          </w:tcPr>
          <w:p>
            <w:pPr>
              <w:jc w:val="center"/>
              <w:ind w:left="450"/>
              <w:spacing w:after="0"/>
              <w:rPr>
                <w:sz w:val="20"/>
                <w:szCs w:val="20"/>
                <w:color w:val="auto"/>
              </w:rPr>
            </w:pPr>
            <w:r>
              <w:rPr>
                <w:rFonts w:ascii="Arial" w:cs="Arial" w:eastAsia="Arial" w:hAnsi="Arial"/>
                <w:sz w:val="18"/>
                <w:szCs w:val="18"/>
                <w:color w:val="auto"/>
              </w:rPr>
              <w:t>*</w:t>
            </w:r>
          </w:p>
        </w:tc>
      </w:tr>
      <w:tr>
        <w:trPr>
          <w:trHeight w:val="432"/>
        </w:trPr>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31(b)</w:t>
            </w:r>
          </w:p>
        </w:tc>
        <w:tc>
          <w:tcPr>
            <w:tcW w:w="8660" w:type="dxa"/>
            <w:vAlign w:val="bottom"/>
          </w:tcPr>
          <w:p>
            <w:pPr>
              <w:spacing w:after="0"/>
              <w:rPr>
                <w:sz w:val="20"/>
                <w:szCs w:val="20"/>
                <w:color w:val="auto"/>
              </w:rPr>
            </w:pPr>
            <w:r>
              <w:rPr>
                <w:rFonts w:ascii="Arial" w:cs="Arial" w:eastAsia="Arial" w:hAnsi="Arial"/>
                <w:sz w:val="18"/>
                <w:szCs w:val="18"/>
                <w:color w:val="auto"/>
              </w:rPr>
              <w:t>Rule 13a-14(a)/15d-14(a) Certification (Principal Financial Officer)</w:t>
            </w:r>
          </w:p>
        </w:tc>
        <w:tc>
          <w:tcPr>
            <w:tcW w:w="1320" w:type="dxa"/>
            <w:vAlign w:val="bottom"/>
            <w:gridSpan w:val="2"/>
          </w:tcPr>
          <w:p>
            <w:pPr>
              <w:jc w:val="center"/>
              <w:ind w:left="450"/>
              <w:spacing w:after="0"/>
              <w:rPr>
                <w:sz w:val="20"/>
                <w:szCs w:val="20"/>
                <w:color w:val="auto"/>
              </w:rPr>
            </w:pPr>
            <w:r>
              <w:rPr>
                <w:rFonts w:ascii="Arial" w:cs="Arial" w:eastAsia="Arial" w:hAnsi="Arial"/>
                <w:sz w:val="18"/>
                <w:szCs w:val="18"/>
                <w:color w:val="auto"/>
              </w:rPr>
              <w:t>*</w:t>
            </w:r>
          </w:p>
        </w:tc>
      </w:tr>
      <w:tr>
        <w:trPr>
          <w:trHeight w:val="432"/>
        </w:trPr>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32</w:t>
            </w:r>
          </w:p>
        </w:tc>
        <w:tc>
          <w:tcPr>
            <w:tcW w:w="8660" w:type="dxa"/>
            <w:vAlign w:val="bottom"/>
          </w:tcPr>
          <w:p>
            <w:pPr>
              <w:spacing w:after="0"/>
              <w:rPr>
                <w:sz w:val="20"/>
                <w:szCs w:val="20"/>
                <w:color w:val="auto"/>
              </w:rPr>
            </w:pPr>
            <w:r>
              <w:rPr>
                <w:rFonts w:ascii="Arial" w:cs="Arial" w:eastAsia="Arial" w:hAnsi="Arial"/>
                <w:sz w:val="18"/>
                <w:szCs w:val="18"/>
                <w:color w:val="auto"/>
              </w:rPr>
              <w:t>Section 1350 Certification (Principal Executive Officer and Principal Financial Officer)</w:t>
            </w:r>
          </w:p>
        </w:tc>
        <w:tc>
          <w:tcPr>
            <w:tcW w:w="1320" w:type="dxa"/>
            <w:vAlign w:val="bottom"/>
            <w:gridSpan w:val="2"/>
          </w:tcPr>
          <w:p>
            <w:pPr>
              <w:jc w:val="center"/>
              <w:ind w:left="45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1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[Logo]</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CONFIDENTIALITY, NONCOMPETITION,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NONSOLICITATION AGREEMENT</w:t>
      </w:r>
    </w:p>
    <w:p>
      <w:pPr>
        <w:spacing w:after="0" w:line="103" w:lineRule="exact"/>
        <w:rPr>
          <w:sz w:val="20"/>
          <w:szCs w:val="20"/>
          <w:color w:val="auto"/>
        </w:rPr>
      </w:pPr>
    </w:p>
    <w:p>
      <w:pPr>
        <w:ind w:right="260" w:firstLine="222"/>
        <w:spacing w:after="0" w:line="286" w:lineRule="auto"/>
        <w:rPr>
          <w:sz w:val="20"/>
          <w:szCs w:val="20"/>
          <w:color w:val="auto"/>
        </w:rPr>
      </w:pPr>
      <w:r>
        <w:rPr>
          <w:rFonts w:ascii="Arial" w:cs="Arial" w:eastAsia="Arial" w:hAnsi="Arial"/>
          <w:sz w:val="17"/>
          <w:szCs w:val="17"/>
          <w:color w:val="auto"/>
        </w:rPr>
        <w:t>This Employee Confidentiality, Noncompetition, Nonsolicitation Agreement (“Agreement”), is by and between The Scotts Company LLC, and all companies controlled by, controlling or under common control with the Scotts Company LLC (collectively, the “Company”), and the person designated on the signature page hereof as “Employee.” This Agreement is effective as of the date signed by Employee below (the “Effective Date”).</w:t>
      </w:r>
    </w:p>
    <w:p>
      <w:pPr>
        <w:spacing w:after="0" w:line="57" w:lineRule="exact"/>
        <w:rPr>
          <w:sz w:val="20"/>
          <w:szCs w:val="20"/>
          <w:color w:val="auto"/>
        </w:rPr>
      </w:pPr>
    </w:p>
    <w:p>
      <w:pPr>
        <w:jc w:val="both"/>
        <w:ind w:right="680" w:firstLine="222"/>
        <w:spacing w:after="0" w:line="264" w:lineRule="auto"/>
        <w:rPr>
          <w:sz w:val="20"/>
          <w:szCs w:val="20"/>
          <w:color w:val="auto"/>
        </w:rPr>
      </w:pPr>
      <w:r>
        <w:rPr>
          <w:rFonts w:ascii="Arial" w:cs="Arial" w:eastAsia="Arial" w:hAnsi="Arial"/>
          <w:sz w:val="18"/>
          <w:szCs w:val="18"/>
          <w:color w:val="auto"/>
        </w:rPr>
        <w:t>WHEREAS, the Company desires to employ (or to continue to employ) Employee, and Employee desires to be employed by (or to continue to be employed by) the Company, in a position with respect to which Employee will have access to certain confidential and proprietary information of the Company;</w:t>
      </w:r>
    </w:p>
    <w:p>
      <w:pPr>
        <w:spacing w:after="0" w:line="73"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WHEREAS, the Company desires to have Employee participate (or continue to participate) and Employee has reviewed and desires to participate (or continue to participate) in The Scotts Company LLC Executive/Management Incentive Plan (the “Plan”); and,</w:t>
      </w:r>
    </w:p>
    <w:p>
      <w:pPr>
        <w:spacing w:after="0" w:line="62"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WHEREAS, the Company believes, and Employee hereby acknowledges, that the confidential and proprietary information of the Company is extremely important to the success of the Company, and Employee understands and agrees that the Company is willing to provide Employee access or continued access to such information, subject to and in consideration of the agreements of Employee set forth herein regarding confidentiality, noncompetition, nonsolicitation and related matters;</w:t>
      </w:r>
    </w:p>
    <w:p>
      <w:pPr>
        <w:spacing w:after="0" w:line="79" w:lineRule="exact"/>
        <w:rPr>
          <w:sz w:val="20"/>
          <w:szCs w:val="20"/>
          <w:color w:val="auto"/>
        </w:rPr>
      </w:pPr>
    </w:p>
    <w:p>
      <w:pPr>
        <w:jc w:val="both"/>
        <w:ind w:right="180" w:firstLine="225"/>
        <w:spacing w:after="0" w:line="312" w:lineRule="auto"/>
        <w:rPr>
          <w:sz w:val="20"/>
          <w:szCs w:val="20"/>
          <w:color w:val="auto"/>
        </w:rPr>
      </w:pPr>
      <w:r>
        <w:rPr>
          <w:rFonts w:ascii="Arial" w:cs="Arial" w:eastAsia="Arial" w:hAnsi="Arial"/>
          <w:sz w:val="16"/>
          <w:szCs w:val="16"/>
          <w:color w:val="auto"/>
        </w:rPr>
        <w:t>NOW, THEREFORE, in consideration for employment or continued employment, participation in the Plan, access to or continued access to Confidential Information (defined below), training, compensation and benefits, as well as other good and valuable consideration provided by the Company to Employee, the receipt and sufficiency of which are hereby acknowledged, Employee freely enters this Agreement according to the following terms and conditions:</w:t>
      </w:r>
    </w:p>
    <w:p>
      <w:pPr>
        <w:spacing w:after="0" w:line="39" w:lineRule="exact"/>
        <w:rPr>
          <w:sz w:val="20"/>
          <w:szCs w:val="20"/>
          <w:color w:val="auto"/>
        </w:rPr>
      </w:pPr>
    </w:p>
    <w:p>
      <w:pPr>
        <w:ind w:left="420" w:hanging="187"/>
        <w:spacing w:after="0"/>
        <w:tabs>
          <w:tab w:leader="none" w:pos="420"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As used in this Agreement the term “Confidential Information” shall mean any and all financial, commercial, technical,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engineering or other information in written, oral, visual, or electronic form concerning the business and affairs of the Company including, without limitation,</w:t>
      </w:r>
    </w:p>
    <w:p>
      <w:pPr>
        <w:spacing w:after="0" w:line="32" w:lineRule="exact"/>
        <w:rPr>
          <w:rFonts w:ascii="Arial" w:cs="Arial" w:eastAsia="Arial" w:hAnsi="Arial"/>
          <w:sz w:val="17"/>
          <w:szCs w:val="17"/>
          <w:color w:val="auto"/>
        </w:rPr>
      </w:pPr>
    </w:p>
    <w:p>
      <w:pPr>
        <w:ind w:right="80" w:firstLine="8"/>
        <w:spacing w:after="0" w:line="252" w:lineRule="auto"/>
        <w:tabs>
          <w:tab w:leader="none" w:pos="2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derived from reports, investigations, experiments, research and work in progress, (ii) methods of operation, (iii) market data, (iv) proprietary computer programs and codes, (v) drawings, designs, plans and proposals, (vi) marketing and sales programs, (vii) client and supplier lists and any other information about the Company’s relationships with others, (viii) financial information and financial projections, (ix) network and system architecture, (x) all other concepts, ideas, materials and information prepared or performed for or by the Company and (xi) all information related to the business plan, strategies, business, products, purchases or sales of the Company or any of its suppliers and customers. The term “Confidential Information” does not include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387985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8" w:name="page39"/>
    <w:bookmarkEnd w:id="38"/>
    <w:p>
      <w:pPr>
        <w:jc w:val="both"/>
        <w:ind w:right="120"/>
        <w:spacing w:after="0" w:line="279" w:lineRule="auto"/>
        <w:rPr>
          <w:sz w:val="20"/>
          <w:szCs w:val="20"/>
          <w:color w:val="auto"/>
        </w:rPr>
      </w:pPr>
      <w:r>
        <w:rPr>
          <w:rFonts w:ascii="Arial" w:cs="Arial" w:eastAsia="Arial" w:hAnsi="Arial"/>
          <w:sz w:val="17"/>
          <w:szCs w:val="17"/>
          <w:color w:val="auto"/>
        </w:rPr>
        <w:t>that: (a) was or is made available to the public without restriction by the Company or by a third party who has the right to disclose such information; (b) was previously known to the Employee independent of the Company or, subject to the terms of Section 4 of this Agreement, independently developed or derived by Employee without the aid, application or use of any Confidential Information, as evidenced by corroborating, dated documentation; or (c) is disclosed to Employee on a non-confidential basis by a third party who has the right to disclose such information.</w:t>
      </w:r>
    </w:p>
    <w:p>
      <w:pPr>
        <w:spacing w:after="0" w:line="63" w:lineRule="exact"/>
        <w:rPr>
          <w:sz w:val="20"/>
          <w:szCs w:val="20"/>
          <w:color w:val="auto"/>
        </w:rPr>
      </w:pPr>
    </w:p>
    <w:p>
      <w:pPr>
        <w:ind w:firstLine="233"/>
        <w:spacing w:after="0" w:line="270" w:lineRule="auto"/>
        <w:tabs>
          <w:tab w:leader="none" w:pos="405"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Employee recognizes and acknowledges that the Confidential Information, as it may exist from time to time, is a valuable, special and unique asset of the Company. Employee further recognizes and acknowledges that access to and knowledge of the Confidential Information is essential to the performance of the Employee’s duties as an employee of the Company. Accordingly, during Employee’s employment with the Company, and for an indefinite period thereafter, Employee shall hold in strict confidence and shall not, directly or indirectly, disclose or reveal to any person, or use for Employee’s own personal benefit or for the benefit of anyone other than the Company, any Confidential Information of any kind, nature or description (whether or not acquired, learned, obtained or developed by Employee alone or in conjunction with others) belonging to or concerning the Company, or any of its customers or clients or others with whom the Company now or hereafter has a business relationship, except (a) with the prior written consent of the Company, or (b) in the course of the proper performance of Employee’s duties as an employee of the Company. Upon the termination of Employee’s employment with the Company, or whenever requested by the Company, Employee shall immediately deliver to the Company all Confidential Information in Employee’s possession or under Employee’s control.</w:t>
      </w:r>
    </w:p>
    <w:p>
      <w:pPr>
        <w:spacing w:after="0" w:line="69" w:lineRule="exact"/>
        <w:rPr>
          <w:rFonts w:ascii="Arial" w:cs="Arial" w:eastAsia="Arial" w:hAnsi="Arial"/>
          <w:sz w:val="17"/>
          <w:szCs w:val="17"/>
          <w:color w:val="auto"/>
        </w:rPr>
      </w:pPr>
    </w:p>
    <w:p>
      <w:pPr>
        <w:ind w:right="440" w:firstLine="233"/>
        <w:spacing w:after="0" w:line="342" w:lineRule="auto"/>
        <w:tabs>
          <w:tab w:leader="none" w:pos="405"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Company Property</w:t>
      </w:r>
      <w:r>
        <w:rPr>
          <w:rFonts w:ascii="Arial" w:cs="Arial" w:eastAsia="Arial" w:hAnsi="Arial"/>
          <w:sz w:val="16"/>
          <w:szCs w:val="16"/>
          <w:color w:val="auto"/>
        </w:rPr>
        <w:t>. Upon the termination of Employee’s employment with the Company, or whenever requested by the Company, Employee shall immediately deliver to the Company all property in Employee’s possession or under Employee’s control belonging to the Company without limitation.</w:t>
      </w:r>
    </w:p>
    <w:p>
      <w:pPr>
        <w:spacing w:after="0" w:line="15" w:lineRule="exact"/>
        <w:rPr>
          <w:rFonts w:ascii="Arial" w:cs="Arial" w:eastAsia="Arial" w:hAnsi="Arial"/>
          <w:sz w:val="16"/>
          <w:szCs w:val="16"/>
          <w:color w:val="auto"/>
        </w:rPr>
      </w:pPr>
    </w:p>
    <w:p>
      <w:pPr>
        <w:ind w:firstLine="233"/>
        <w:spacing w:after="0" w:line="270" w:lineRule="auto"/>
        <w:tabs>
          <w:tab w:leader="none" w:pos="405"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Employee Created Intellectual Property</w:t>
      </w:r>
      <w:r>
        <w:rPr>
          <w:rFonts w:ascii="Arial" w:cs="Arial" w:eastAsia="Arial" w:hAnsi="Arial"/>
          <w:sz w:val="17"/>
          <w:szCs w:val="17"/>
          <w:color w:val="auto"/>
        </w:rPr>
        <w:t xml:space="preserve">. Any and all inventions, ideas, improvements, discoveries, concepts, writings, processes, procedures, products, designs, formulae, specifications, samples, methods, know how or other things of value (“Intellectual Property”) which Employee may make, conceive, discover or develop, either solely or jointly with any other person or persons, at any time during the term of this Agreement or during the term of any prior employment by the Company, whether during working hours or at any other time and whether at the request or upon the suggestion of the Company or otherwise, which relate to or are useful in connection with the business now or hereafter carried on by the Company, shall be the sole and exclusive property of the Company, and where applicable, all copyrightable works shall be considered “Works Made for Hire” under the U.S. Copyright Act, 17 USC § 101 </w:t>
      </w:r>
      <w:r>
        <w:rPr>
          <w:rFonts w:ascii="Arial" w:cs="Arial" w:eastAsia="Arial" w:hAnsi="Arial"/>
          <w:sz w:val="17"/>
          <w:szCs w:val="17"/>
          <w:u w:val="single" w:color="auto"/>
          <w:color w:val="auto"/>
        </w:rPr>
        <w:t>et</w:t>
      </w:r>
      <w:r>
        <w:rPr>
          <w:rFonts w:ascii="Arial" w:cs="Arial" w:eastAsia="Arial" w:hAnsi="Arial"/>
          <w:sz w:val="17"/>
          <w:szCs w:val="17"/>
          <w:color w:val="auto"/>
        </w:rPr>
        <w:t xml:space="preserve"> </w:t>
      </w:r>
      <w:r>
        <w:rPr>
          <w:rFonts w:ascii="Arial" w:cs="Arial" w:eastAsia="Arial" w:hAnsi="Arial"/>
          <w:sz w:val="17"/>
          <w:szCs w:val="17"/>
          <w:u w:val="single" w:color="auto"/>
          <w:color w:val="auto"/>
        </w:rPr>
        <w:t>seq</w:t>
      </w:r>
      <w:r>
        <w:rPr>
          <w:rFonts w:ascii="Arial" w:cs="Arial" w:eastAsia="Arial" w:hAnsi="Arial"/>
          <w:sz w:val="17"/>
          <w:szCs w:val="17"/>
          <w:color w:val="auto"/>
        </w:rPr>
        <w:t>. Employee (a) agrees to promptly disclose all such Intellectual Property to the Company, (b) agrees to do everything necessary or advisable to vest absolute title thereto in the Company, (c) assigns, without further consideration, to the Company all right, title and interest in and to such Intellectual Property, free and clear of any claims, liens or reserved rights of the Employee, and (d) irrevocably relinquishes for the benefit of the Company and its assignees any moral rights in the Intellectual Property recognized by applicable law.</w:t>
      </w:r>
    </w:p>
    <w:p>
      <w:pPr>
        <w:spacing w:after="0" w:line="69" w:lineRule="exact"/>
        <w:rPr>
          <w:rFonts w:ascii="Arial" w:cs="Arial" w:eastAsia="Arial" w:hAnsi="Arial"/>
          <w:sz w:val="17"/>
          <w:szCs w:val="17"/>
          <w:color w:val="auto"/>
        </w:rPr>
      </w:pPr>
    </w:p>
    <w:p>
      <w:pPr>
        <w:ind w:left="420" w:hanging="187"/>
        <w:spacing w:after="0"/>
        <w:tabs>
          <w:tab w:leader="none" w:pos="42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Restrictive Covenants</w:t>
      </w:r>
      <w:r>
        <w:rPr>
          <w:rFonts w:ascii="Arial" w:cs="Arial" w:eastAsia="Arial" w:hAnsi="Arial"/>
          <w:sz w:val="17"/>
          <w:szCs w:val="17"/>
          <w:color w:val="auto"/>
        </w:rPr>
        <w:t>. Employee agrees that during the Employee’s employment with the Company and for a period of two (2) years thereafter,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Employee shall not, directly or indirectly, for Employee’s own benefit or for the benefit of any person or entity other than the Company:</w:t>
      </w:r>
    </w:p>
    <w:p>
      <w:pPr>
        <w:spacing w:after="0" w:line="117" w:lineRule="exact"/>
        <w:rPr>
          <w:sz w:val="20"/>
          <w:szCs w:val="20"/>
          <w:color w:val="auto"/>
        </w:rPr>
      </w:pPr>
    </w:p>
    <w:p>
      <w:pPr>
        <w:ind w:right="60" w:firstLine="458"/>
        <w:spacing w:after="0" w:line="259"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or be employed by a person or entity that engages in, the business of providing services and/or products that are competitive with the Company’s business as that business is conducted or proposed to be conducted during the Employee’s employment. This prohibition shall generally apply to any competitive activities in any geographic area either in which the Company is engaged in business activities or in which its customers are located as of the date that Employee’s employment ends;</w:t>
      </w:r>
    </w:p>
    <w:p>
      <w:pPr>
        <w:spacing w:after="0" w:line="78" w:lineRule="exact"/>
        <w:rPr>
          <w:rFonts w:ascii="Arial" w:cs="Arial" w:eastAsia="Arial" w:hAnsi="Arial"/>
          <w:sz w:val="18"/>
          <w:szCs w:val="18"/>
          <w:color w:val="auto"/>
        </w:rPr>
      </w:pPr>
    </w:p>
    <w:p>
      <w:pPr>
        <w:ind w:right="80" w:firstLine="458"/>
        <w:spacing w:after="0" w:line="312" w:lineRule="auto"/>
        <w:tabs>
          <w:tab w:leader="none" w:pos="7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addition to the prohibition contained in paragraph 5(a), Employee shall not be employed, or provide consulting services or other assistance to the Companies listed in Appendix A (the “List”). The Company reserves the right to identify additional or alternate companies for inclusion on the List in the future. Employee may contact the Company from time to time to obtain an updated copy of the List and the Company will promptly provide such list;</w:t>
      </w:r>
    </w:p>
    <w:p>
      <w:pPr>
        <w:spacing w:after="0" w:line="38" w:lineRule="exact"/>
        <w:rPr>
          <w:rFonts w:ascii="Arial" w:cs="Arial" w:eastAsia="Arial" w:hAnsi="Arial"/>
          <w:sz w:val="16"/>
          <w:szCs w:val="16"/>
          <w:color w:val="auto"/>
        </w:rPr>
      </w:pPr>
    </w:p>
    <w:p>
      <w:pPr>
        <w:ind w:firstLine="458"/>
        <w:spacing w:after="0" w:line="264"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 solicit for employment, or advise or recommend to any other person (“person” meaning a natural person or legal entity) that such other person employ or solicit for employment, any current or past employee of the Company (where “past employee of the Company” means any person employed by the Company within one year of the solicitation or proposed employment);</w:t>
      </w:r>
    </w:p>
    <w:p>
      <w:pPr>
        <w:spacing w:after="0" w:line="73" w:lineRule="exact"/>
        <w:rPr>
          <w:rFonts w:ascii="Arial" w:cs="Arial" w:eastAsia="Arial" w:hAnsi="Arial"/>
          <w:sz w:val="18"/>
          <w:szCs w:val="18"/>
          <w:color w:val="auto"/>
        </w:rPr>
      </w:pPr>
    </w:p>
    <w:p>
      <w:pPr>
        <w:ind w:right="580" w:firstLine="458"/>
        <w:spacing w:after="0" w:line="277"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solicit or induce, or attempt to solicit or induce, any customer or prospective customer of the Company (i) to cease being, or not becoming, a customer of the Company or (ii) to divert any of the customer’s business or prospective business from the Company;</w:t>
      </w:r>
    </w:p>
    <w:p>
      <w:pPr>
        <w:spacing w:after="0" w:line="62" w:lineRule="exact"/>
        <w:rPr>
          <w:rFonts w:ascii="Arial" w:cs="Arial" w:eastAsia="Arial" w:hAnsi="Arial"/>
          <w:sz w:val="18"/>
          <w:szCs w:val="18"/>
          <w:color w:val="auto"/>
        </w:rPr>
      </w:pPr>
    </w:p>
    <w:p>
      <w:pPr>
        <w:ind w:right="140" w:firstLine="458"/>
        <w:spacing w:after="0" w:line="277"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otherwise interfere with, disrupt, or attempt to interfere with or disrupt the relationship, contractual or otherwise, between the Company and any of its customers, clients, suppliers, consultants or employees; or</w:t>
      </w:r>
    </w:p>
    <w:p>
      <w:pPr>
        <w:spacing w:after="0" w:line="62" w:lineRule="exact"/>
        <w:rPr>
          <w:rFonts w:ascii="Arial" w:cs="Arial" w:eastAsia="Arial" w:hAnsi="Arial"/>
          <w:sz w:val="18"/>
          <w:szCs w:val="18"/>
          <w:color w:val="auto"/>
        </w:rPr>
      </w:pPr>
    </w:p>
    <w:p>
      <w:pPr>
        <w:ind w:left="680" w:hanging="222"/>
        <w:spacing w:after="0"/>
        <w:tabs>
          <w:tab w:leader="none" w:pos="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deliberately engage in any action that will cause substantial harm to the Company, including, but not limited to, disparagement of the Company.</w:t>
      </w:r>
    </w:p>
    <w:p>
      <w:pPr>
        <w:spacing w:after="0" w:line="14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Employee agrees that the restrictions contained in this Section 5 are reasonable in scope, duration, and geographic territory, and necessary to protect the Company’s legitimate business interests. The restrictive covenants set forth in this Paragraph 5 are subject to Paragraph 8 hereof and Employee hereby waives any and all right to attack the validity of such covenants on the grounds of the breadth of their geographic scope or the length of their term.</w:t>
      </w:r>
    </w:p>
    <w:p>
      <w:pPr>
        <w:spacing w:after="0" w:line="39" w:lineRule="exact"/>
        <w:rPr>
          <w:sz w:val="20"/>
          <w:szCs w:val="20"/>
          <w:color w:val="auto"/>
        </w:rPr>
      </w:pPr>
    </w:p>
    <w:p>
      <w:pPr>
        <w:ind w:left="420" w:hanging="187"/>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Certain Remedies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458"/>
        <w:spacing w:after="0" w:line="259" w:lineRule="auto"/>
        <w:tabs>
          <w:tab w:leader="none" w:pos="695" w:val="left"/>
        </w:tabs>
        <w:numPr>
          <w:ilvl w:val="1"/>
          <w:numId w:val="18"/>
        </w:numPr>
        <w:rPr>
          <w:rFonts w:ascii="Arial" w:cs="Arial" w:eastAsia="Arial" w:hAnsi="Arial"/>
          <w:sz w:val="18"/>
          <w:szCs w:val="18"/>
          <w:color w:val="auto"/>
        </w:rPr>
      </w:pPr>
      <w:r>
        <w:rPr>
          <w:rFonts w:ascii="Arial" w:cs="Arial" w:eastAsia="Arial" w:hAnsi="Arial"/>
          <w:sz w:val="18"/>
          <w:szCs w:val="18"/>
          <w:color w:val="auto"/>
        </w:rPr>
        <w:t>Employee agrees and acknowledges that Employee’s breach of any of the provisions of paragraphs 2 and 5 of this Agreement will cause, in addition to any liquidated or quantifiable monetary damage, irreparable damage to the Company for which monetary damages alone will not constitute an adequate remedy. Consequently, Employee agrees that the Company shall be entitled as a matter of right (without being required to prove damages or furnish any bond or other security) to obtain a restraining order, 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p>
      <w:pPr>
        <w:ind w:right="80"/>
        <w:spacing w:after="0" w:line="279" w:lineRule="auto"/>
        <w:rPr>
          <w:sz w:val="20"/>
          <w:szCs w:val="20"/>
          <w:color w:val="auto"/>
        </w:rPr>
      </w:pPr>
      <w:r>
        <w:rPr>
          <w:rFonts w:ascii="Arial" w:cs="Arial" w:eastAsia="Arial" w:hAnsi="Arial"/>
          <w:sz w:val="17"/>
          <w:szCs w:val="17"/>
          <w:color w:val="auto"/>
        </w:rPr>
        <w:t>injunction, an order of specific performance, or other equitable or extraordinary relief from any court of competent jurisdiction restraining any further breach of such provisions by Employee or requiring Employee to perform its obligations hereunder. Such right to equitable or extraordinary relief shall not be exclusive but shall be in addition to all other rights and remedies to which the Company may be entitled at law or in equity, including without limitation the right to recover monetary damages as set forth in paragraph 6(b) and for the breach of any of the provisions of this Agreement.</w:t>
      </w:r>
    </w:p>
    <w:p>
      <w:pPr>
        <w:spacing w:after="0" w:line="63" w:lineRule="exact"/>
        <w:rPr>
          <w:sz w:val="20"/>
          <w:szCs w:val="20"/>
          <w:color w:val="auto"/>
        </w:rPr>
      </w:pPr>
    </w:p>
    <w:p>
      <w:pPr>
        <w:ind w:right="100" w:firstLine="458"/>
        <w:spacing w:after="0" w:line="276" w:lineRule="auto"/>
        <w:tabs>
          <w:tab w:leader="none" w:pos="702"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parties agree that the monetary value of any breach of paragraphs 2 or 5 would be difficult to calculate. As a result, the parties agree that in the event of a breach of paragraph 2 or 5, in addition to any additional monetary damages that may be proven, Employee shall give up any right Employee may have to any unpaid bonus under the Plan, and shall, upon the Company’s demand, repay all payments Employee has received under the Plan within 3 years prior to the breach. Employee acknowledges that this is a reasonable basis for estimating damages from such breach and that these estimated damages are separate from the irreparable harm contemplated in subparagraph 6(a).</w:t>
      </w:r>
    </w:p>
    <w:p>
      <w:pPr>
        <w:spacing w:after="0" w:line="64" w:lineRule="exact"/>
        <w:rPr>
          <w:rFonts w:ascii="Arial" w:cs="Arial" w:eastAsia="Arial" w:hAnsi="Arial"/>
          <w:sz w:val="17"/>
          <w:szCs w:val="17"/>
          <w:color w:val="auto"/>
        </w:rPr>
      </w:pPr>
    </w:p>
    <w:p>
      <w:pPr>
        <w:ind w:right="20" w:firstLine="458"/>
        <w:spacing w:after="0" w:line="264" w:lineRule="auto"/>
        <w:tabs>
          <w:tab w:leader="none" w:pos="695"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the event that the Company seeks court enforcement of any of the provisions of this Agreement, or is forced to respond to an action filed by Employee and related to this Agreement, and the Company is the substantially prevailing party, Employee shall pay the Company’s reasonable attorney’s fees and costs incurred in those efforts.</w:t>
      </w:r>
    </w:p>
    <w:p>
      <w:pPr>
        <w:spacing w:after="0" w:line="73" w:lineRule="exact"/>
        <w:rPr>
          <w:rFonts w:ascii="Arial" w:cs="Arial" w:eastAsia="Arial" w:hAnsi="Arial"/>
          <w:sz w:val="18"/>
          <w:szCs w:val="18"/>
          <w:color w:val="auto"/>
        </w:rPr>
      </w:pPr>
    </w:p>
    <w:p>
      <w:pPr>
        <w:ind w:right="280" w:firstLine="233"/>
        <w:spacing w:after="0" w:line="277" w:lineRule="auto"/>
        <w:tabs>
          <w:tab w:leader="none" w:pos="40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Term of this Agreement</w:t>
      </w:r>
      <w:r>
        <w:rPr>
          <w:rFonts w:ascii="Arial" w:cs="Arial" w:eastAsia="Arial" w:hAnsi="Arial"/>
          <w:sz w:val="18"/>
          <w:szCs w:val="18"/>
          <w:color w:val="auto"/>
        </w:rPr>
        <w:t>. Except as otherwise expressly provided in paragraph 5, this Agreement shall continue in effect and survive for an indefinite period notwithstanding the termination of Employee’s employment with the Company for any reason.</w:t>
      </w:r>
    </w:p>
    <w:p>
      <w:pPr>
        <w:spacing w:after="0" w:line="58" w:lineRule="exact"/>
        <w:rPr>
          <w:rFonts w:ascii="Arial" w:cs="Arial" w:eastAsia="Arial" w:hAnsi="Arial"/>
          <w:sz w:val="18"/>
          <w:szCs w:val="18"/>
          <w:color w:val="auto"/>
        </w:rPr>
      </w:pPr>
    </w:p>
    <w:p>
      <w:pPr>
        <w:ind w:right="360" w:firstLine="233"/>
        <w:spacing w:after="0" w:line="256" w:lineRule="auto"/>
        <w:tabs>
          <w:tab w:leader="none" w:pos="40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EMPLOYMENT AGREEMENT</w:t>
      </w:r>
      <w:r>
        <w:rPr>
          <w:rFonts w:ascii="Arial" w:cs="Arial" w:eastAsia="Arial" w:hAnsi="Arial"/>
          <w:sz w:val="18"/>
          <w:szCs w:val="18"/>
          <w:b w:val="1"/>
          <w:bCs w:val="1"/>
          <w:color w:val="auto"/>
        </w:rPr>
        <w:t>. THIS AGREEMENT IS NOT, HOWEVER, AND SHALL NOT BE DEEMED TO BE, AN EMPLOYMENT AGREEMENT THAT OBLIGATES THE COMPANY TO EMPLOY EMPLOYEE, OR OBLIGATES EMPLOYEE TO CONTINUE IN THE COMPANY’S EMPLOYMENT, FOR ANY TERM WHATSOEVER. UNLESS THERE IS A SEPARATE, WRITTEN EMPLOYMENT CONTRACT BETWEEN EMPLOYEE AND THE COMPANY TO THE CONTRARY, EMPLOYEE IS AN “AT WILL” EMPLOYEE OF THE COMPANY AND THE CONTINUATION OF EMPLOYEE’S EMPLOYMENT BY THE COMPANY IS SUBJECT TO THE RIGHT OF THE COMPANY TO TERMINATE SUCH EMPLOYMENT AT ANY TIME, WITHOUT CAUSE.</w:t>
      </w:r>
    </w:p>
    <w:p>
      <w:pPr>
        <w:spacing w:after="0" w:line="83" w:lineRule="exact"/>
        <w:rPr>
          <w:rFonts w:ascii="Arial" w:cs="Arial" w:eastAsia="Arial" w:hAnsi="Arial"/>
          <w:sz w:val="18"/>
          <w:szCs w:val="18"/>
          <w:b w:val="1"/>
          <w:bCs w:val="1"/>
          <w:color w:val="auto"/>
        </w:rPr>
      </w:pPr>
    </w:p>
    <w:p>
      <w:pPr>
        <w:ind w:right="360" w:firstLine="233"/>
        <w:spacing w:after="0" w:line="264" w:lineRule="auto"/>
        <w:tabs>
          <w:tab w:leader="none" w:pos="40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to be unenforceable for any reason, that provision shall be severed and this Agreement shall remain in full force and effect in all other respects. If any provision of this Agreement, although unenforceable as written, may be made enforceable by limitation thereof, then such provision will be enforceable to the maximum extent permitted by applicable law.</w:t>
      </w:r>
    </w:p>
    <w:p>
      <w:pPr>
        <w:spacing w:after="0" w:line="69" w:lineRule="exact"/>
        <w:rPr>
          <w:rFonts w:ascii="Arial" w:cs="Arial" w:eastAsia="Arial" w:hAnsi="Arial"/>
          <w:sz w:val="18"/>
          <w:szCs w:val="18"/>
          <w:color w:val="auto"/>
        </w:rPr>
      </w:pPr>
    </w:p>
    <w:p>
      <w:pPr>
        <w:ind w:firstLine="233"/>
        <w:spacing w:after="0" w:line="266" w:lineRule="auto"/>
        <w:tabs>
          <w:tab w:leader="none" w:pos="495"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 xml:space="preserve">. THIS AGREEMENT SHALL BE GOVERNED BY AND CONSTRUED IN ACCORDANCE WITH THE LAWS OF THE STATE OF OHIO IRRESPECTIVE OF CHOICE OF LAW PRINCIPLES. </w:t>
      </w:r>
      <w:r>
        <w:rPr>
          <w:rFonts w:ascii="Arial" w:cs="Arial" w:eastAsia="Arial" w:hAnsi="Arial"/>
          <w:sz w:val="18"/>
          <w:szCs w:val="18"/>
          <w:color w:val="auto"/>
        </w:rPr>
        <w:t>Employee and the Company agree that any action brought by any party</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this Agreement shall be filed in either state or federal court located within the State of Ohio.</w:t>
      </w:r>
    </w:p>
    <w:p>
      <w:pPr>
        <w:spacing w:after="0" w:line="72" w:lineRule="exact"/>
        <w:rPr>
          <w:rFonts w:ascii="Arial" w:cs="Arial" w:eastAsia="Arial" w:hAnsi="Arial"/>
          <w:sz w:val="18"/>
          <w:szCs w:val="18"/>
          <w:color w:val="auto"/>
        </w:rPr>
      </w:pPr>
    </w:p>
    <w:p>
      <w:pPr>
        <w:ind w:right="20" w:firstLine="233"/>
        <w:spacing w:after="0" w:line="277" w:lineRule="auto"/>
        <w:tabs>
          <w:tab w:leader="none" w:pos="48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Reliance</w:t>
      </w:r>
      <w:r>
        <w:rPr>
          <w:rFonts w:ascii="Arial" w:cs="Arial" w:eastAsia="Arial" w:hAnsi="Arial"/>
          <w:sz w:val="18"/>
          <w:szCs w:val="18"/>
          <w:color w:val="auto"/>
        </w:rPr>
        <w:t>. Employee represents and warrants to the Company that no promise or inducement for this Agreement has been made to Employee except as set forth herein; and this Agreement is executed by Employee freely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1" w:name="page42"/>
    <w:bookmarkEnd w:id="41"/>
    <w:p>
      <w:pPr>
        <w:ind w:right="240"/>
        <w:spacing w:after="0" w:line="277" w:lineRule="auto"/>
        <w:rPr>
          <w:sz w:val="20"/>
          <w:szCs w:val="20"/>
          <w:color w:val="auto"/>
        </w:rPr>
      </w:pPr>
      <w:r>
        <w:rPr>
          <w:rFonts w:ascii="Arial" w:cs="Arial" w:eastAsia="Arial" w:hAnsi="Arial"/>
          <w:sz w:val="18"/>
          <w:szCs w:val="18"/>
          <w:color w:val="auto"/>
        </w:rPr>
        <w:t>voluntarily, and without reliance upon any statement or representation by the Company, or any of the Company’s attorneys, employees or agents except as expressly set forth herein.</w:t>
      </w:r>
    </w:p>
    <w:p>
      <w:pPr>
        <w:spacing w:after="0" w:line="62" w:lineRule="exact"/>
        <w:rPr>
          <w:sz w:val="20"/>
          <w:szCs w:val="20"/>
          <w:color w:val="auto"/>
        </w:rPr>
      </w:pPr>
    </w:p>
    <w:p>
      <w:pPr>
        <w:ind w:right="20" w:firstLine="233"/>
        <w:spacing w:after="0" w:line="264" w:lineRule="auto"/>
        <w:tabs>
          <w:tab w:leader="none" w:pos="49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The Company may assign, in whole or in part, its rights and obligations under this Agreement. The rights of the Company shall enure to the benefit of, and the obligations of the Company shall be binding upon, the Company’s successors and assigns. Employee shall not be entitled to assign any of Employee’s rights or obligations under this Agreement.</w:t>
      </w:r>
    </w:p>
    <w:p>
      <w:pPr>
        <w:spacing w:after="0" w:line="73" w:lineRule="exact"/>
        <w:rPr>
          <w:rFonts w:ascii="Arial" w:cs="Arial" w:eastAsia="Arial" w:hAnsi="Arial"/>
          <w:sz w:val="18"/>
          <w:szCs w:val="18"/>
          <w:color w:val="auto"/>
        </w:rPr>
      </w:pPr>
    </w:p>
    <w:p>
      <w:pPr>
        <w:jc w:val="both"/>
        <w:ind w:firstLine="233"/>
        <w:spacing w:after="0" w:line="264" w:lineRule="auto"/>
        <w:tabs>
          <w:tab w:leader="none" w:pos="49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Notification</w:t>
      </w:r>
      <w:r>
        <w:rPr>
          <w:rFonts w:ascii="Arial" w:cs="Arial" w:eastAsia="Arial" w:hAnsi="Arial"/>
          <w:sz w:val="18"/>
          <w:szCs w:val="18"/>
          <w:color w:val="auto"/>
        </w:rPr>
        <w:t>. Employee shall notify any person or entity employing Employee or intending to employ Employee of the existence and provisions of this Agreement. Employee agrees that the Company may also notify any person or entity employing Employee or intending to employ Employee of the existence and provisions of this Agreement.</w:t>
      </w:r>
    </w:p>
    <w:p>
      <w:pPr>
        <w:spacing w:after="0" w:line="73" w:lineRule="exact"/>
        <w:rPr>
          <w:rFonts w:ascii="Arial" w:cs="Arial" w:eastAsia="Arial" w:hAnsi="Arial"/>
          <w:sz w:val="18"/>
          <w:szCs w:val="18"/>
          <w:color w:val="auto"/>
        </w:rPr>
      </w:pPr>
    </w:p>
    <w:p>
      <w:pPr>
        <w:ind w:right="60" w:firstLine="233"/>
        <w:spacing w:after="0" w:line="264" w:lineRule="auto"/>
        <w:tabs>
          <w:tab w:leader="none" w:pos="49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This Agreement shall not be modified unless such modification is in writing and signed by the EVP, Human Resources for the Company. Further, the parties agree that the Company’s waiver of any provision of this Agreement shall not constitute a waiver of any other provision of this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EMPLOYEE:</w:t>
            </w:r>
          </w:p>
        </w:tc>
        <w:tc>
          <w:tcPr>
            <w:tcW w:w="78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THE SCOTTS COMPANY LLC</w:t>
            </w:r>
          </w:p>
        </w:tc>
      </w:tr>
      <w:tr>
        <w:trPr>
          <w:trHeight w:val="432"/>
        </w:trPr>
        <w:tc>
          <w:tcPr>
            <w:tcW w:w="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Signature</w:t>
            </w:r>
          </w:p>
        </w:tc>
        <w:tc>
          <w:tcPr>
            <w:tcW w:w="78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Signature</w:t>
            </w:r>
          </w:p>
        </w:tc>
      </w:tr>
      <w:tr>
        <w:trPr>
          <w:trHeight w:val="337"/>
        </w:trPr>
        <w:tc>
          <w:tcPr>
            <w:tcW w:w="4500" w:type="dxa"/>
            <w:vAlign w:val="bottom"/>
            <w:tcBorders>
              <w:bottom w:val="single" w:sz="8" w:color="auto"/>
            </w:tcBorders>
            <w:gridSpan w:val="2"/>
          </w:tcPr>
          <w:p>
            <w:pPr>
              <w:spacing w:after="0"/>
              <w:rPr>
                <w:sz w:val="24"/>
                <w:szCs w:val="24"/>
                <w:color w:val="auto"/>
              </w:rPr>
            </w:pPr>
          </w:p>
        </w:tc>
        <w:tc>
          <w:tcPr>
            <w:tcW w:w="780" w:type="dxa"/>
            <w:vAlign w:val="bottom"/>
          </w:tcPr>
          <w:p>
            <w:pPr>
              <w:spacing w:after="0"/>
              <w:rPr>
                <w:sz w:val="24"/>
                <w:szCs w:val="24"/>
                <w:color w:val="auto"/>
              </w:rPr>
            </w:pPr>
          </w:p>
        </w:tc>
        <w:tc>
          <w:tcPr>
            <w:tcW w:w="3780" w:type="dxa"/>
            <w:vAlign w:val="bottom"/>
            <w:tcBorders>
              <w:bottom w:val="single" w:sz="8" w:color="auto"/>
            </w:tcBorders>
            <w:gridSpan w:val="2"/>
          </w:tcPr>
          <w:p>
            <w:pPr>
              <w:spacing w:after="0"/>
              <w:rPr>
                <w:sz w:val="24"/>
                <w:szCs w:val="24"/>
                <w:color w:val="auto"/>
              </w:rPr>
            </w:pPr>
          </w:p>
        </w:tc>
      </w:tr>
      <w:tr>
        <w:trPr>
          <w:trHeight w:val="224"/>
        </w:trPr>
        <w:tc>
          <w:tcPr>
            <w:tcW w:w="4500" w:type="dxa"/>
            <w:vAlign w:val="bottom"/>
            <w:gridSpan w:val="2"/>
          </w:tcPr>
          <w:p>
            <w:pPr>
              <w:spacing w:after="0"/>
              <w:rPr>
                <w:sz w:val="20"/>
                <w:szCs w:val="20"/>
                <w:color w:val="auto"/>
              </w:rPr>
            </w:pPr>
            <w:r>
              <w:rPr>
                <w:rFonts w:ascii="Arial" w:cs="Arial" w:eastAsia="Arial" w:hAnsi="Arial"/>
                <w:sz w:val="18"/>
                <w:szCs w:val="18"/>
                <w:color w:val="auto"/>
              </w:rPr>
              <w:t>Printed Name</w:t>
            </w:r>
          </w:p>
        </w:tc>
        <w:tc>
          <w:tcPr>
            <w:tcW w:w="78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Printed Name</w:t>
            </w:r>
          </w:p>
        </w:tc>
      </w:tr>
      <w:tr>
        <w:trPr>
          <w:trHeight w:val="337"/>
        </w:trPr>
        <w:tc>
          <w:tcPr>
            <w:tcW w:w="4500" w:type="dxa"/>
            <w:vAlign w:val="bottom"/>
            <w:tcBorders>
              <w:bottom w:val="single" w:sz="8" w:color="auto"/>
            </w:tcBorders>
            <w:gridSpan w:val="2"/>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24"/>
        </w:trPr>
        <w:tc>
          <w:tcPr>
            <w:tcW w:w="4500" w:type="dxa"/>
            <w:vAlign w:val="bottom"/>
            <w:gridSpan w:val="2"/>
          </w:tcPr>
          <w:p>
            <w:pPr>
              <w:spacing w:after="0"/>
              <w:rPr>
                <w:sz w:val="20"/>
                <w:szCs w:val="20"/>
                <w:color w:val="auto"/>
              </w:rPr>
            </w:pPr>
            <w:r>
              <w:rPr>
                <w:rFonts w:ascii="Arial" w:cs="Arial" w:eastAsia="Arial" w:hAnsi="Arial"/>
                <w:sz w:val="18"/>
                <w:szCs w:val="18"/>
                <w:color w:val="auto"/>
              </w:rPr>
              <w:t>Date</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04"/>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560" w:type="dxa"/>
            <w:vAlign w:val="bottom"/>
            <w:gridSpan w:val="3"/>
          </w:tcPr>
          <w:p>
            <w:pPr>
              <w:jc w:val="right"/>
              <w:ind w:right="330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360"/>
          </w:cols>
          <w:pgMar w:left="240" w:top="935" w:right="2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10.2</w:t>
      </w:r>
    </w:p>
    <w:p>
      <w:pPr>
        <w:spacing w:after="0" w:line="33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Executive Officers of The</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Scotts Miracle-Gro Company</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who are parties to form of</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Employee Confidentiality, Noncompetition,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Nonsolicitation Agreement for employees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participating in The Scotts Company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Executive/Management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-19050</wp:posOffset>
            </wp:positionV>
            <wp:extent cx="20853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8534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20"/>
                <w:szCs w:val="20"/>
                <w:color w:val="auto"/>
              </w:rPr>
            </w:pPr>
            <w:r>
              <w:rPr>
                <w:rFonts w:ascii="Arial" w:cs="Arial" w:eastAsia="Arial" w:hAnsi="Arial"/>
                <w:sz w:val="14"/>
                <w:szCs w:val="14"/>
                <w:color w:val="auto"/>
              </w:rPr>
              <w:t>Name and Principal Position</w:t>
            </w:r>
          </w:p>
        </w:tc>
        <w:tc>
          <w:tcPr>
            <w:tcW w:w="56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Date of Employee Confidentiality,</w:t>
            </w:r>
          </w:p>
        </w:tc>
      </w:tr>
      <w:tr>
        <w:trPr>
          <w:trHeight w:val="167"/>
        </w:trPr>
        <w:tc>
          <w:tcPr>
            <w:tcW w:w="7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with The Scotts Miracle-Gro Company</w:t>
            </w:r>
          </w:p>
        </w:tc>
        <w:tc>
          <w:tcPr>
            <w:tcW w:w="560" w:type="dxa"/>
            <w:vAlign w:val="bottom"/>
          </w:tcPr>
          <w:p>
            <w:pPr>
              <w:spacing w:after="0"/>
              <w:rPr>
                <w:sz w:val="14"/>
                <w:szCs w:val="14"/>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Noncompetition, Nonsolicitation Agreement</w:t>
            </w:r>
          </w:p>
        </w:tc>
      </w:tr>
      <w:tr>
        <w:trPr>
          <w:trHeight w:val="426"/>
        </w:trPr>
        <w:tc>
          <w:tcPr>
            <w:tcW w:w="7440" w:type="dxa"/>
            <w:vAlign w:val="bottom"/>
          </w:tcPr>
          <w:p>
            <w:pPr>
              <w:spacing w:after="0"/>
              <w:rPr>
                <w:sz w:val="20"/>
                <w:szCs w:val="20"/>
                <w:color w:val="auto"/>
              </w:rPr>
            </w:pPr>
            <w:r>
              <w:rPr>
                <w:rFonts w:ascii="Arial" w:cs="Arial" w:eastAsia="Arial" w:hAnsi="Arial"/>
                <w:sz w:val="18"/>
                <w:szCs w:val="18"/>
                <w:color w:val="auto"/>
              </w:rPr>
              <w:t>Christopher L. Nagel, Executive Vice President and Chief Financial Officer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August 7, 2006</w:t>
            </w: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David M. Aronowitz, Executive Vice President, General Counsel and Corporate Secretary</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11, 2006</w:t>
            </w: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Denise S. Stump, Executive Vice President, Global Human Resources</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August 8, 2006</w:t>
            </w:r>
          </w:p>
        </w:tc>
      </w:tr>
    </w:tbl>
    <w:p>
      <w:pPr>
        <w:sectPr>
          <w:pgSz w:w="11900" w:h="16838" w:orient="portrait"/>
          <w:cols w:equalWidth="0" w:num="1">
            <w:col w:w="11420"/>
          </w:cols>
          <w:pgMar w:left="240" w:top="93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DOCUMENT CONSTITUTES PART OF A PROSPECTUS COVERING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HAVE BEEN REGISTERED UNDER THE SECURITIES ACT OF 1933.</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 FOR THIRD PARTY SERVICE PROVIDERS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AWARD] AWARDED TO [GRANTEE’S NAME] ON [GRANT DATE]</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Scotts Miracle-Gro Company (“Company”) and its shareholders believe that their business interests are best served by ensuring that you have an opportunity to share in the Company’s business success. To this end, the Company adopted and its shareholders approved The Scotts Miracle-Gro Company 2006 Long-Term Incentive Plan (“Plan”) through which key service providers, like you, may acquire (or share in the appreciation of) common shares of the Company.</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cannot guarantee that the value of your Award (or the value of the common shares you acquire through an Award) will increase. This is because the value of the Company’s common shares is affected by many factors. However, the Company believes that your efforts contribute to the value of the Company’s common shares and that the Plan (and the Awards made through the Plan) is an appropriate means of sharing with you the value of your contribution to the Company’s business success.</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Your participation in this plan does not alter your status as an independent contractor of the Company and does not create any rights to any employee benefits offered by the Company to its employees.</w:t>
      </w:r>
    </w:p>
    <w:p>
      <w:pPr>
        <w:spacing w:after="0" w:line="6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conditions that must be met before you may receive the value associated with your Award. To ensure you fully understand these terms and conditions, you should:</w:t>
      </w:r>
    </w:p>
    <w:p>
      <w:pPr>
        <w:spacing w:after="0" w:line="62" w:lineRule="exact"/>
        <w:rPr>
          <w:sz w:val="20"/>
          <w:szCs w:val="20"/>
          <w:color w:val="auto"/>
        </w:rPr>
      </w:pPr>
    </w:p>
    <w:p>
      <w:pPr>
        <w:ind w:left="660" w:hanging="436"/>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Read the Plan and the Plan’s Prospectus carefully to ensure you understand how the Plan works;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Read this Award Agreement carefully to ensure you understand the nature of your Award and what you must do to earn it; and</w:t>
      </w:r>
    </w:p>
    <w:p>
      <w:pPr>
        <w:spacing w:after="0" w:line="130"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Contact [Contact’s Name at Company], [Contact’s Title] at [Telephone Number] if you have any questions about your Award. Or, you may send a written inquiry to the address shown below:</w:t>
      </w:r>
    </w:p>
    <w:p>
      <w:pPr>
        <w:spacing w:after="0" w:line="6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[Contact’s Name at Company]</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[Contact’s Title]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[30 Days Post Grant Date], you must return a signed copy of this Award Agreement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If you do not do this, your Award will be forfeited and you will not be entitled to receive anything on account of this Award.</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Section 409A of the Internal Revenue Code (“Section 409A”) imposes substantial penalties on persons who receive some forms of deferred compensation (see the Plan’s Prospectus for more information about these penalties). Your Award has been designed to avoid these penalties. However, because the Internal Revenue Service (“IRS”) has not yet issued final rules fully defining the effect of Section 409A, it is possible that your Award Agreement must be revised after the IRS issues these rules if you are to avoid these penalties. As a condition of accepting this Award, you must agree to accept those revisions, without any further consideration, even if those revisions change the terms of your Award and reduce its value or potential value.</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Description of Your Restricted Stock Units</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 xml:space="preserve">You have been awarded [Number Granted] Restricted Stock Units (or “RSUs”). </w:t>
      </w:r>
      <w:r>
        <w:rPr>
          <w:rFonts w:ascii="Arial" w:cs="Arial" w:eastAsia="Arial" w:hAnsi="Arial"/>
          <w:sz w:val="16"/>
          <w:szCs w:val="16"/>
          <w:color w:val="auto"/>
        </w:rPr>
        <w:t>If you satisfy the conditions described in this Award Agreement, the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Prospectus, you will be issued [Number Granted] common shares of the Company. You also must arrange to pay any taxes due on settlement.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When Your RSUs Will Be Settled</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Normally, on [Vesting Date] (“Settlement Date”), the Company will ascertain if you have satisfied the conditions imposed on your RSUs. If you have not, your RSUs will be forfeited. If you have, as soon as administratively practicable after [Vesting Date], [Number Granted] common shares will be distributed to you.</w:t>
      </w:r>
    </w:p>
    <w:p>
      <w:pPr>
        <w:spacing w:after="0" w:line="7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restrictions imposed on your RSUs normally will be met if you are actively engaged to perform services for the Company or any Affiliate or Subsidiary (as defined in the Plan) on [Vesting Date] and all other conditions described in this Award Agreement, the Plan and the Prospectus are met.</w:t>
      </w:r>
    </w:p>
    <w:p>
      <w:pPr>
        <w:spacing w:after="0" w:line="228"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Tax Treatment of Your RSUs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federal income tax treatment of your RSUs is discussed in the Plan’s Prospectus.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33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General 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Forfeit Your RSUs If Your Engagement For Service Ends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Normally, your RSUs will be settled on the date shown earlier in this Award Agreement. However, the unvested portion of your RSUs will be forfeited if your engagement for service terminates before [Vesting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RSUs if You Engage in Conduct That is Harmful to the Company (or any Affiliate or Subsidiary)</w:t>
      </w:r>
    </w:p>
    <w:p>
      <w:pPr>
        <w:spacing w:after="0" w:line="12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You also will forfeit any outstanding RSUs and must return to the Company all common shares and other amounts you have received through the Plan if, without our consent, you do any of the following within 180 days before and 730 days after terminating your engagement for service:</w:t>
      </w:r>
    </w:p>
    <w:p>
      <w:pPr>
        <w:spacing w:after="0" w:line="38" w:lineRule="exact"/>
        <w:rPr>
          <w:sz w:val="20"/>
          <w:szCs w:val="20"/>
          <w:color w:val="auto"/>
        </w:rPr>
      </w:pPr>
    </w:p>
    <w:p>
      <w:pPr>
        <w:jc w:val="both"/>
        <w:ind w:left="360" w:right="100" w:hanging="10"/>
        <w:spacing w:after="0" w:line="276" w:lineRule="auto"/>
        <w:tabs>
          <w:tab w:leader="none" w:pos="605" w:val="left"/>
        </w:tabs>
        <w:numPr>
          <w:ilvl w:val="0"/>
          <w:numId w:val="23"/>
        </w:numPr>
        <w:rPr>
          <w:rFonts w:ascii="Arial" w:cs="Arial" w:eastAsia="Arial" w:hAnsi="Arial"/>
          <w:sz w:val="17"/>
          <w:szCs w:val="17"/>
          <w:color w:val="auto"/>
        </w:rPr>
      </w:pPr>
      <w:r>
        <w:rPr>
          <w:rFonts w:ascii="Arial" w:cs="Arial" w:eastAsia="Arial" w:hAnsi="Arial"/>
          <w:sz w:val="17"/>
          <w:szCs w:val="17"/>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 Subsidiary’s) business with which you have been involved any time within five years before termination of your engagement for service or render any service (including, without limitation, advertising or business consulting) to entities that compete with any portion of the Company’s (or any Affiliate’s or Subsidiary’s) business with which you have been involved any time within five years before termination of your engagement for service;</w:t>
      </w:r>
    </w:p>
    <w:p>
      <w:pPr>
        <w:spacing w:after="0" w:line="64" w:lineRule="exact"/>
        <w:rPr>
          <w:rFonts w:ascii="Arial" w:cs="Arial" w:eastAsia="Arial" w:hAnsi="Arial"/>
          <w:sz w:val="17"/>
          <w:szCs w:val="17"/>
          <w:color w:val="auto"/>
        </w:rPr>
      </w:pPr>
    </w:p>
    <w:p>
      <w:pPr>
        <w:ind w:left="360" w:right="260" w:hanging="10"/>
        <w:spacing w:after="0" w:line="277" w:lineRule="auto"/>
        <w:tabs>
          <w:tab w:leader="none" w:pos="6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46" w:name="page47"/>
    <w:bookmarkEnd w:id="46"/>
    <w:p>
      <w:pPr>
        <w:ind w:left="360" w:right="320" w:hanging="10"/>
        <w:spacing w:after="0" w:line="277" w:lineRule="auto"/>
        <w:tabs>
          <w:tab w:leader="none" w:pos="6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 including but not limited to a breach of the terms and conditions of your engagement with the Company;</w:t>
      </w:r>
    </w:p>
    <w:p>
      <w:pPr>
        <w:spacing w:after="0" w:line="62" w:lineRule="exact"/>
        <w:rPr>
          <w:rFonts w:ascii="Arial" w:cs="Arial" w:eastAsia="Arial" w:hAnsi="Arial"/>
          <w:sz w:val="18"/>
          <w:szCs w:val="18"/>
          <w:color w:val="auto"/>
        </w:rPr>
      </w:pPr>
    </w:p>
    <w:p>
      <w:pPr>
        <w:ind w:left="360" w:right="120" w:hanging="10"/>
        <w:spacing w:after="0" w:line="302" w:lineRule="auto"/>
        <w:tabs>
          <w:tab w:leader="none" w:pos="6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 service provider for the Company or any Affiliate or Subsidiary concerning the names and addresses of the Company’s and any Affiliate’s or Subsidiary’s employees;</w:t>
      </w:r>
    </w:p>
    <w:p>
      <w:pPr>
        <w:spacing w:after="0" w:line="46" w:lineRule="exact"/>
        <w:rPr>
          <w:rFonts w:ascii="Arial" w:cs="Arial" w:eastAsia="Arial" w:hAnsi="Arial"/>
          <w:sz w:val="16"/>
          <w:szCs w:val="16"/>
          <w:color w:val="auto"/>
        </w:rPr>
      </w:pPr>
    </w:p>
    <w:p>
      <w:pPr>
        <w:ind w:left="360" w:right="140" w:hanging="10"/>
        <w:spacing w:after="0" w:line="257" w:lineRule="auto"/>
        <w:tabs>
          <w:tab w:leader="none" w:pos="6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360" w:right="180" w:hanging="10"/>
        <w:spacing w:after="0" w:line="259" w:lineRule="auto"/>
        <w:tabs>
          <w:tab w:leader="none" w:pos="5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engagement with the Company or any Affiliate or Subsidiary; or</w:t>
      </w:r>
    </w:p>
    <w:p>
      <w:pPr>
        <w:spacing w:after="0" w:line="78" w:lineRule="exact"/>
        <w:rPr>
          <w:rFonts w:ascii="Arial" w:cs="Arial" w:eastAsia="Arial" w:hAnsi="Arial"/>
          <w:sz w:val="18"/>
          <w:szCs w:val="18"/>
          <w:color w:val="auto"/>
        </w:rPr>
      </w:pPr>
    </w:p>
    <w:p>
      <w:pPr>
        <w:ind w:left="360" w:right="60" w:hanging="10"/>
        <w:spacing w:after="0" w:line="342" w:lineRule="auto"/>
        <w:tabs>
          <w:tab w:leader="none" w:pos="6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You engaged in conduct that the Committee (as defined in the Plan) reasonably concludes would have given rise to a termination of your engagement for “cause” (as defined in the Plan) had it been discovered before you terminated service for the Company or any Affiliate or Subsidiary.</w:t>
      </w:r>
    </w:p>
    <w:p>
      <w:pPr>
        <w:spacing w:after="0" w:line="1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Your RSUs May Vest Earlier Than Described Above. </w:t>
      </w:r>
      <w:r>
        <w:rPr>
          <w:rFonts w:ascii="Arial" w:cs="Arial" w:eastAsia="Arial" w:hAnsi="Arial"/>
          <w:sz w:val="18"/>
          <w:szCs w:val="18"/>
          <w:color w:val="auto"/>
        </w:rPr>
        <w:t>Normally, your RSUs will vest only in the circumstances described above. However, if there is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(as defined in the Plan), your RSUs may vest earlier. You should read the Plan and the Prospectus carefully to ensure that you understand how this may happen.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Rights Before Your RSUs Vest: </w:t>
      </w:r>
      <w:r>
        <w:rPr>
          <w:rFonts w:ascii="Arial" w:cs="Arial" w:eastAsia="Arial" w:hAnsi="Arial"/>
          <w:sz w:val="18"/>
          <w:szCs w:val="18"/>
          <w:color w:val="auto"/>
        </w:rPr>
        <w:t>You may not vote, or receive any dividends associated with the common shares underlying your RSUs.</w:t>
      </w:r>
    </w:p>
    <w:p>
      <w:pPr>
        <w:spacing w:after="0" w:line="117"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You may name a beneficiary or beneficiaries to receive any RSUs that are settled after you die. This may be done only on the</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57"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b w:val="1"/>
          <w:bCs w:val="1"/>
          <w:color w:val="auto"/>
        </w:rPr>
        <w:t xml:space="preserve">Transferring Your RSUs: </w:t>
      </w:r>
      <w:r>
        <w:rPr>
          <w:rFonts w:ascii="Arial" w:cs="Arial" w:eastAsia="Arial" w:hAnsi="Arial"/>
          <w:sz w:val="16"/>
          <w:szCs w:val="16"/>
          <w:color w:val="auto"/>
        </w:rPr>
        <w:t>Normally your RSUs may not be transferred to another person. However, you may complete a Beneficiary Designation Form to</w:t>
      </w:r>
      <w:r>
        <w:rPr>
          <w:rFonts w:ascii="Arial" w:cs="Arial" w:eastAsia="Arial" w:hAnsi="Arial"/>
          <w:sz w:val="16"/>
          <w:szCs w:val="16"/>
          <w:b w:val="1"/>
          <w:bCs w:val="1"/>
          <w:color w:val="auto"/>
        </w:rPr>
        <w:t xml:space="preserve"> </w:t>
      </w:r>
      <w:r>
        <w:rPr>
          <w:rFonts w:ascii="Arial" w:cs="Arial" w:eastAsia="Arial" w:hAnsi="Arial"/>
          <w:sz w:val="16"/>
          <w:szCs w:val="16"/>
          <w:color w:val="auto"/>
        </w:rPr>
        <w:t>name the person to receive any RSUs that are settled after you die. Also, the Committee may allow you to place your RSUs into a trust established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t>your benefit or the benefit of your family. Contact [Third Party Administrator] at [TPA Telephone Number] or at the address given below if you are interested in doing this.</w:t>
      </w:r>
    </w:p>
    <w:p>
      <w:pPr>
        <w:spacing w:after="0" w:line="5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will be construed in accordance with and governed by the laws of the United States and of the State of Ohio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laws governing conflicts of laws).</w:t>
      </w:r>
    </w:p>
    <w:p>
      <w:pPr>
        <w:spacing w:after="0" w:line="54"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Also, your RSUs will be subject to the terms of any other written agreements between you and the Company or any Affiliate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to the extent that those other agreements do not directly conflict with the terms of the Plan or this Award Agreement. However, the parties hereby agree and acknowledge that the terms of this Award Agreement and the Plan regarding Noncompetition, Nonsolicitation and/or Confidentiality are intended to supplement and not conflict with any written agreement that they may have or that they may enter regarding the same matters.</w:t>
      </w:r>
    </w:p>
    <w:p>
      <w:pPr>
        <w:spacing w:after="0" w:line="5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Adjustments to Your RSUs: </w:t>
      </w:r>
      <w:r>
        <w:rPr>
          <w:rFonts w:ascii="Arial" w:cs="Arial" w:eastAsia="Arial" w:hAnsi="Arial"/>
          <w:sz w:val="18"/>
          <w:szCs w:val="18"/>
          <w:color w:val="auto"/>
        </w:rPr>
        <w:t>Your RSUs will be adjusted, if appropriate, to reflect any change to the Company’s capital structure (e.g., the number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RSUs will be adjusted to reflect a stock split).</w:t>
      </w:r>
    </w:p>
    <w:p>
      <w:pPr>
        <w:spacing w:after="0" w:line="54"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 xml:space="preserve">Your Status as an Independent Contractor: </w:t>
      </w:r>
      <w:r>
        <w:rPr>
          <w:rFonts w:ascii="Arial" w:cs="Arial" w:eastAsia="Arial" w:hAnsi="Arial"/>
          <w:sz w:val="18"/>
          <w:szCs w:val="18"/>
          <w:color w:val="auto"/>
        </w:rPr>
        <w:t>This Award Agreement is not intended by either party to alter your status as an independent contractor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you acknowledge and agree that this Award Agreement shall in no way be interpreted as entitling you to any of the employee benefits offered by the Company to its employees.</w:t>
      </w:r>
    </w:p>
    <w:p>
      <w:pPr>
        <w:spacing w:after="0" w:line="68"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Other Rules: </w:t>
      </w:r>
      <w:r>
        <w:rPr>
          <w:rFonts w:ascii="Arial" w:cs="Arial" w:eastAsia="Arial" w:hAnsi="Arial"/>
          <w:sz w:val="17"/>
          <w:szCs w:val="17"/>
          <w:color w:val="auto"/>
        </w:rPr>
        <w:t>Your RSUs also are subject to more rules described in the Plan and in the Plan’s Prospectus. You should read both of these documents carefully</w:t>
      </w:r>
      <w:r>
        <w:rPr>
          <w:rFonts w:ascii="Arial" w:cs="Arial" w:eastAsia="Arial" w:hAnsi="Arial"/>
          <w:sz w:val="17"/>
          <w:szCs w:val="17"/>
          <w:b w:val="1"/>
          <w:bCs w:val="1"/>
          <w:color w:val="auto"/>
        </w:rPr>
        <w:t xml:space="preserve"> </w:t>
      </w:r>
      <w:r>
        <w:rPr>
          <w:rFonts w:ascii="Arial" w:cs="Arial" w:eastAsia="Arial" w:hAnsi="Arial"/>
          <w:sz w:val="17"/>
          <w:szCs w:val="17"/>
          <w:color w:val="auto"/>
        </w:rPr>
        <w:t>to ensure you fully understand all the terms and conditions of the grant of RSUs made to you under this Award Agreement.</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You may contact [Third Party Administrator] at [TPA Telephone Number] or at the address given below if you have any questions about your Award or this Award Agreement.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8" w:name="page49"/>
    <w:bookmarkEnd w:id="48"/>
    <w:p>
      <w:pPr>
        <w:jc w:val="center"/>
        <w:ind w:right="-99"/>
        <w:spacing w:after="0"/>
        <w:rPr>
          <w:sz w:val="20"/>
          <w:szCs w:val="20"/>
          <w:color w:val="auto"/>
        </w:rPr>
      </w:pPr>
      <w:r>
        <w:rPr>
          <w:rFonts w:ascii="Arial" w:cs="Arial" w:eastAsia="Arial" w:hAnsi="Arial"/>
          <w:sz w:val="18"/>
          <w:szCs w:val="18"/>
          <w:b w:val="1"/>
          <w:bCs w:val="1"/>
          <w:color w:val="auto"/>
        </w:rPr>
        <w:t>Your Acknowledgement of Award Conditions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Note: You must sign and return a copy of this Award Agreement to [Third Party Administrator] at the address given below no later than [30 Days Post Grant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660" w:hanging="436"/>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I understand and accept the conditions placed on my RSUs and understand what I must do to earn my RSUs;</w:t>
      </w:r>
    </w:p>
    <w:p>
      <w:pPr>
        <w:spacing w:after="0" w:line="130"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I understand that my Award and the terms and conditions of my Award do not alter my status as an independent contractor of the Company and do not entitle me to any employee benefits that the Company may offer its employees;</w:t>
      </w:r>
    </w:p>
    <w:p>
      <w:pPr>
        <w:spacing w:after="0" w:line="75" w:lineRule="exact"/>
        <w:rPr>
          <w:rFonts w:ascii="Arial" w:cs="Arial" w:eastAsia="Arial" w:hAnsi="Arial"/>
          <w:sz w:val="18"/>
          <w:szCs w:val="18"/>
          <w:b w:val="1"/>
          <w:bCs w:val="1"/>
          <w:color w:val="auto"/>
        </w:rPr>
      </w:pPr>
    </w:p>
    <w:p>
      <w:pPr>
        <w:ind w:left="660" w:right="100" w:hanging="436"/>
        <w:spacing w:after="0" w:line="264"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I will consent (on my own behalf and on behalf of my beneficiaries and without any further consideration) to any necessary change to my RSUs or this Award Agreement to comply with any law and to avoid paying penalties under Section 409A of the Internal Revenue Code, even if those changes affect the terms of my RSUs and reduce their value or potential value; and</w:t>
      </w:r>
    </w:p>
    <w:p>
      <w:pPr>
        <w:spacing w:after="0" w:line="86"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If I do not return a signed copy of this Award Agreement to the address shown below on or before [30 Days Post Grant Date], my RSUs will be forfeited and I will not be entitled to receive anything on account of this Award.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[Grantee’s Name]</w:t>
            </w:r>
          </w:p>
        </w:tc>
        <w:tc>
          <w:tcPr>
            <w:tcW w:w="5740" w:type="dxa"/>
            <w:vAlign w:val="bottom"/>
            <w:gridSpan w:val="3"/>
          </w:tcPr>
          <w:p>
            <w:pPr>
              <w:ind w:left="74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gridSpan w:val="2"/>
          </w:tcPr>
          <w:p>
            <w:pPr>
              <w:spacing w:after="0"/>
              <w:rPr>
                <w:sz w:val="24"/>
                <w:szCs w:val="24"/>
                <w:color w:val="auto"/>
              </w:rPr>
            </w:pPr>
          </w:p>
        </w:tc>
        <w:tc>
          <w:tcPr>
            <w:tcW w:w="1040" w:type="dxa"/>
            <w:vAlign w:val="bottom"/>
          </w:tcPr>
          <w:p>
            <w:pPr>
              <w:ind w:left="7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4"/>
                <w:szCs w:val="24"/>
                <w:color w:val="auto"/>
              </w:rPr>
            </w:pPr>
          </w:p>
        </w:tc>
      </w:tr>
      <w:tr>
        <w:trPr>
          <w:trHeight w:val="439"/>
        </w:trPr>
        <w:tc>
          <w:tcPr>
            <w:tcW w:w="1060" w:type="dxa"/>
            <w:vAlign w:val="bottom"/>
            <w:gridSpan w:val="2"/>
          </w:tcPr>
          <w:p>
            <w:pPr>
              <w:spacing w:after="0"/>
              <w:rPr>
                <w:sz w:val="20"/>
                <w:szCs w:val="20"/>
                <w:color w:val="auto"/>
              </w:rPr>
            </w:pPr>
            <w:r>
              <w:rPr>
                <w:rFonts w:ascii="Arial" w:cs="Arial" w:eastAsia="Arial" w:hAnsi="Arial"/>
                <w:sz w:val="18"/>
                <w:szCs w:val="18"/>
                <w:color w:val="auto"/>
              </w:rPr>
              <w:t>Date signed:</w:t>
            </w:r>
          </w:p>
        </w:tc>
        <w:tc>
          <w:tcPr>
            <w:tcW w:w="3680" w:type="dxa"/>
            <w:vAlign w:val="bottom"/>
            <w:tcBorders>
              <w:bottom w:val="single" w:sz="8" w:color="auto"/>
            </w:tcBorders>
          </w:tcPr>
          <w:p>
            <w:pPr>
              <w:spacing w:after="0"/>
              <w:rPr>
                <w:sz w:val="24"/>
                <w:szCs w:val="24"/>
                <w:color w:val="auto"/>
              </w:rPr>
            </w:pP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w w:val="94"/>
              </w:rPr>
              <w:t>Name:</w:t>
            </w:r>
          </w:p>
        </w:tc>
        <w:tc>
          <w:tcPr>
            <w:tcW w:w="4480" w:type="dxa"/>
            <w:vAlign w:val="bottom"/>
            <w:tcBorders>
              <w:bottom w:val="single" w:sz="8" w:color="auto"/>
            </w:tcBorders>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Title:</w:t>
            </w:r>
          </w:p>
        </w:tc>
        <w:tc>
          <w:tcPr>
            <w:tcW w:w="4480" w:type="dxa"/>
            <w:vAlign w:val="bottom"/>
            <w:tcBorders>
              <w:bottom w:val="single" w:sz="8" w:color="auto"/>
            </w:tcBorders>
          </w:tcPr>
          <w:p>
            <w:pPr>
              <w:spacing w:after="0"/>
              <w:rPr>
                <w:sz w:val="24"/>
                <w:szCs w:val="24"/>
                <w:color w:val="auto"/>
              </w:rPr>
            </w:pPr>
          </w:p>
        </w:tc>
      </w:tr>
    </w:tbl>
    <w:p>
      <w:pPr>
        <w:spacing w:after="0" w:line="21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14605</wp:posOffset>
            </wp:positionV>
            <wp:extent cx="25469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Award Agreement must be sent to the following address no later than [30 Days Post Grant Date]:</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9" w:right="31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Description of Your Performance Shares</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 xml:space="preserve">You have been awarded [Number Granted] Performance Shares. </w:t>
      </w:r>
      <w:r>
        <w:rPr>
          <w:rFonts w:ascii="Arial" w:cs="Arial" w:eastAsia="Arial" w:hAnsi="Arial"/>
          <w:sz w:val="18"/>
          <w:szCs w:val="18"/>
          <w:color w:val="auto"/>
        </w:rPr>
        <w:t>If you satisfy the conditions described in this Award Agreement, the Plan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you will be issued [Number Granted] common shares of the Company. Federal income tax rules apply to Performance Shares. You also must arrange to pay any taxes due on settlement.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When Your Performance Shares Will Be Settled</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Normally, on [Vesting Date], the Committee (as defined in the Plan) will ascertain if you have satisfied the conditions imposed on your Performance Shares. If you have not, your Performance Shares will be forfeited. If you have, as soon as administratively practicable after [Vesting Date], these common shares will be distributed to you.</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imposed on your Performance Shares normally will be met only if you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description of performance conditions based on the Performance Criteria enumerated in the Plan.</w:t>
      </w: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Tax Treatment of Your Award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federal income tax treatment of your Award is discussed in the Plan’s Prospectus.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33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General 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Forfeit Your Performance Shares If Your Engagement For Service Ends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Normally, your Performance Shares will be settled on the date shown earlier in this Award Agreement. However, the unvested portion of your Award will be forfeited if your engagement for services terminates before [Vesting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Performance Shares if You Engage in Conduct That is Harmful to the Company (or any Affiliate or Subsidiary)</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You also will forfeit any outstanding Performance Shares and must return to the Company all common shares and other amounts you have received through the Plan if, without our consent, you do any of the following within 180 days before and 730 days after terminating service:</w:t>
      </w:r>
    </w:p>
    <w:p>
      <w:pPr>
        <w:spacing w:after="0" w:line="62" w:lineRule="exact"/>
        <w:rPr>
          <w:sz w:val="20"/>
          <w:szCs w:val="20"/>
          <w:color w:val="auto"/>
        </w:rPr>
      </w:pPr>
    </w:p>
    <w:p>
      <w:pPr>
        <w:jc w:val="both"/>
        <w:ind w:left="360" w:right="120" w:hanging="10"/>
        <w:spacing w:after="0" w:line="276" w:lineRule="auto"/>
        <w:tabs>
          <w:tab w:leader="none" w:pos="605" w:val="left"/>
        </w:tabs>
        <w:numPr>
          <w:ilvl w:val="0"/>
          <w:numId w:val="26"/>
        </w:numPr>
        <w:rPr>
          <w:rFonts w:ascii="Arial" w:cs="Arial" w:eastAsia="Arial" w:hAnsi="Arial"/>
          <w:sz w:val="17"/>
          <w:szCs w:val="17"/>
          <w:color w:val="auto"/>
        </w:rPr>
      </w:pPr>
      <w:r>
        <w:rPr>
          <w:rFonts w:ascii="Arial" w:cs="Arial" w:eastAsia="Arial" w:hAnsi="Arial"/>
          <w:sz w:val="17"/>
          <w:szCs w:val="17"/>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 Subsidiary’s) business with which you have been involved any time within five years before termination of your engagement for service or render any service (including, without limitation, advertising or business consulting) to entities that compete with any portion of the Company’s (or any Affiliate’s or Subsidiary’s) business with which you have been involved any time within five years before termination of the engagement of service;</w:t>
      </w:r>
    </w:p>
    <w:p>
      <w:pPr>
        <w:spacing w:after="0" w:line="64" w:lineRule="exact"/>
        <w:rPr>
          <w:rFonts w:ascii="Arial" w:cs="Arial" w:eastAsia="Arial" w:hAnsi="Arial"/>
          <w:sz w:val="17"/>
          <w:szCs w:val="17"/>
          <w:color w:val="auto"/>
        </w:rPr>
      </w:pPr>
    </w:p>
    <w:p>
      <w:pPr>
        <w:ind w:left="360" w:right="280" w:hanging="10"/>
        <w:spacing w:after="0" w:line="277" w:lineRule="auto"/>
        <w:tabs>
          <w:tab w:leader="none" w:pos="6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0" w:name="page51"/>
    <w:bookmarkEnd w:id="50"/>
    <w:p>
      <w:pPr>
        <w:ind w:left="360" w:right="260" w:hanging="10"/>
        <w:spacing w:after="0" w:line="277" w:lineRule="auto"/>
        <w:tabs>
          <w:tab w:leader="none" w:pos="6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 including but not limited to a breach of the terms and conditions of your engagement with the Company;</w:t>
      </w:r>
    </w:p>
    <w:p>
      <w:pPr>
        <w:spacing w:after="0" w:line="62" w:lineRule="exact"/>
        <w:rPr>
          <w:rFonts w:ascii="Arial" w:cs="Arial" w:eastAsia="Arial" w:hAnsi="Arial"/>
          <w:sz w:val="18"/>
          <w:szCs w:val="18"/>
          <w:color w:val="auto"/>
        </w:rPr>
      </w:pPr>
    </w:p>
    <w:p>
      <w:pPr>
        <w:ind w:left="360" w:right="20" w:hanging="10"/>
        <w:spacing w:after="0" w:line="279" w:lineRule="auto"/>
        <w:tabs>
          <w:tab w:leader="none" w:pos="6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your own behalf or on behalf of any other person, partnership, association, corporation or other entity, you solicit or in any manner attempt to influence or induce any employee of the Company or any Affiliate or Subsidiary to leave the Company’s or Subsidiary’s employment or use or disclose to any person, partnership, association, corporation or other entity any information obtained while a service provider for the Company or any Affiliate or Subsidiary concerning the names and addresses of the Company’s and any Affiliate’s or Subsidiary’s employees;</w:t>
      </w:r>
    </w:p>
    <w:p>
      <w:pPr>
        <w:spacing w:after="0" w:line="63" w:lineRule="exact"/>
        <w:rPr>
          <w:rFonts w:ascii="Arial" w:cs="Arial" w:eastAsia="Arial" w:hAnsi="Arial"/>
          <w:sz w:val="17"/>
          <w:szCs w:val="17"/>
          <w:color w:val="auto"/>
        </w:rPr>
      </w:pPr>
    </w:p>
    <w:p>
      <w:pPr>
        <w:ind w:left="360" w:right="80" w:hanging="10"/>
        <w:spacing w:after="0" w:line="257" w:lineRule="auto"/>
        <w:tabs>
          <w:tab w:leader="none" w:pos="6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360" w:right="120" w:hanging="10"/>
        <w:spacing w:after="0" w:line="259" w:lineRule="auto"/>
        <w:tabs>
          <w:tab w:leader="none" w:pos="5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engagement with the Company or any Affiliate or Subsidiary; or</w:t>
      </w:r>
    </w:p>
    <w:p>
      <w:pPr>
        <w:spacing w:after="0" w:line="78" w:lineRule="exact"/>
        <w:rPr>
          <w:rFonts w:ascii="Arial" w:cs="Arial" w:eastAsia="Arial" w:hAnsi="Arial"/>
          <w:sz w:val="18"/>
          <w:szCs w:val="18"/>
          <w:color w:val="auto"/>
        </w:rPr>
      </w:pPr>
    </w:p>
    <w:p>
      <w:pPr>
        <w:ind w:left="360" w:hanging="10"/>
        <w:spacing w:after="0" w:line="277" w:lineRule="auto"/>
        <w:tabs>
          <w:tab w:leader="none" w:pos="6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 engaged in conduct that the Committee reasonably concludes would have given rise to a termination of your engagement for “cause” (as defined in the Plan) had it been discovered before you terminated service for the Company or any Affiliate or Subsidiary.</w:t>
      </w:r>
    </w:p>
    <w:p>
      <w:pPr>
        <w:spacing w:after="0" w:line="5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Your Performance Shares May Vest Earlier Than Described Above. </w:t>
      </w:r>
      <w:r>
        <w:rPr>
          <w:rFonts w:ascii="Arial" w:cs="Arial" w:eastAsia="Arial" w:hAnsi="Arial"/>
          <w:sz w:val="18"/>
          <w:szCs w:val="18"/>
          <w:color w:val="auto"/>
        </w:rPr>
        <w:t>Normally, your Performance Shares will vest only in the circumstances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above. However, if there is a “Change in Control” (as defined in the Plan), your Performance Shares may vest earlier. You should read the Plan and the Prospectus carefully to ensure that you understand how this may happen.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Rights Before Your Performance Shares Vest: </w:t>
      </w:r>
      <w:r>
        <w:rPr>
          <w:rFonts w:ascii="Arial" w:cs="Arial" w:eastAsia="Arial" w:hAnsi="Arial"/>
          <w:sz w:val="18"/>
          <w:szCs w:val="18"/>
          <w:color w:val="auto"/>
        </w:rPr>
        <w:t>You may not vote, or receive any dividends associated with, your Performance Shares.</w:t>
      </w:r>
    </w:p>
    <w:p>
      <w:pPr>
        <w:spacing w:after="0" w:line="117"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You may name a beneficiary or beneficiaries to receive any Performance Shares that are settled after you die. This may be done</w:t>
      </w:r>
      <w:r>
        <w:rPr>
          <w:rFonts w:ascii="Arial" w:cs="Arial" w:eastAsia="Arial" w:hAnsi="Arial"/>
          <w:sz w:val="17"/>
          <w:szCs w:val="17"/>
          <w:b w:val="1"/>
          <w:bCs w:val="1"/>
          <w:color w:val="auto"/>
        </w:rPr>
        <w:t xml:space="preserve"> </w:t>
      </w:r>
      <w:r>
        <w:rPr>
          <w:rFonts w:ascii="Arial" w:cs="Arial" w:eastAsia="Arial" w:hAnsi="Arial"/>
          <w:sz w:val="17"/>
          <w:szCs w:val="17"/>
          <w:color w:val="auto"/>
        </w:rPr>
        <w:t>only on 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57"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Transferring Your Performance Shares: </w:t>
      </w:r>
      <w:r>
        <w:rPr>
          <w:rFonts w:ascii="Arial" w:cs="Arial" w:eastAsia="Arial" w:hAnsi="Arial"/>
          <w:sz w:val="18"/>
          <w:szCs w:val="18"/>
          <w:color w:val="auto"/>
        </w:rPr>
        <w:t>Normally your Performance Shares may not be transferred to another person. However, you may complete a</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Beneficiary Designation Form to name the person to receive any Performance Shares that are settled after you die. Also, the Committee may allow you to place your Performance Shares into a trust established for your benefit or the benefit of your family.</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Contact [Third Party Administrator] at [TPA Telephone Number] or at the address given below if you are interested in doing this.</w:t>
      </w:r>
    </w:p>
    <w:p>
      <w:pPr>
        <w:spacing w:after="0" w:line="11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will be construed in accordance with and governed by the laws of the United States and of the State of Ohio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laws governing conflicts of laws).</w:t>
      </w:r>
    </w:p>
    <w:p>
      <w:pPr>
        <w:spacing w:after="0" w:line="54"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 xml:space="preserve">Other Agreements: </w:t>
      </w:r>
      <w:r>
        <w:rPr>
          <w:rFonts w:ascii="Arial" w:cs="Arial" w:eastAsia="Arial" w:hAnsi="Arial"/>
          <w:sz w:val="16"/>
          <w:szCs w:val="16"/>
          <w:color w:val="auto"/>
        </w:rPr>
        <w:t>Also, your Performance Shares will be subject to the terms of any other written agreements between you and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or Subsidiary to the extent that those other agreements do not directly conflict with the terms of the Plan or this Award Agreement. However, the parties hereby agree and acknowledge that the terms of this Award Agreement and the Plan regarding Noncompetition, Nonsolicitation and/or Confidentiality are intended to supplement and not conflict with any written agreement that they may have or that they may enter regarding the same matters.</w:t>
      </w:r>
    </w:p>
    <w:p>
      <w:pPr>
        <w:spacing w:after="0" w:line="43"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Adjustments to Your Performance Shares: </w:t>
      </w:r>
      <w:r>
        <w:rPr>
          <w:rFonts w:ascii="Arial" w:cs="Arial" w:eastAsia="Arial" w:hAnsi="Arial"/>
          <w:sz w:val="18"/>
          <w:szCs w:val="18"/>
          <w:color w:val="auto"/>
        </w:rPr>
        <w:t>Your Performance Shares will be adjusted, if appropriate, to reflect any change to the Company’s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(e.g., the number of your Performance Shares will be adjusted to reflect a stock split).</w:t>
      </w:r>
    </w:p>
    <w:p>
      <w:pPr>
        <w:spacing w:after="0" w:line="54"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 xml:space="preserve">Your Status as an Independent Contractor: </w:t>
      </w:r>
      <w:r>
        <w:rPr>
          <w:rFonts w:ascii="Arial" w:cs="Arial" w:eastAsia="Arial" w:hAnsi="Arial"/>
          <w:sz w:val="18"/>
          <w:szCs w:val="18"/>
          <w:color w:val="auto"/>
        </w:rPr>
        <w:t>This Award Agreement is not intended by either party to alter your status as an independent contractor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you acknowledge and agree that this Award Agreement shall in no way be interpreted as entitling you to any of the employee benefits offered by the Company to its employees.</w:t>
      </w:r>
    </w:p>
    <w:p>
      <w:pPr>
        <w:spacing w:after="0" w:line="68"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 xml:space="preserve">Other Rules: </w:t>
      </w:r>
      <w:r>
        <w:rPr>
          <w:rFonts w:ascii="Arial" w:cs="Arial" w:eastAsia="Arial" w:hAnsi="Arial"/>
          <w:sz w:val="16"/>
          <w:szCs w:val="16"/>
          <w:color w:val="auto"/>
        </w:rPr>
        <w:t>Your Performance Shares also are subject to more rules described in the Plan and in the Plan’s Prospectus. You should read both of these</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carefully to ensure you fully understand all the terms and conditions of the grant of Performance Shares made to you under this Award.</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You may contact [Third Party Administrator] at [TPA Telephone Number] or at the address given below if you have any questions about your Award or this Award Agreement.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52" w:name="page53"/>
    <w:bookmarkEnd w:id="52"/>
    <w:p>
      <w:pPr>
        <w:jc w:val="center"/>
        <w:ind w:right="-99"/>
        <w:spacing w:after="0"/>
        <w:rPr>
          <w:sz w:val="20"/>
          <w:szCs w:val="20"/>
          <w:color w:val="auto"/>
        </w:rPr>
      </w:pPr>
      <w:r>
        <w:rPr>
          <w:rFonts w:ascii="Arial" w:cs="Arial" w:eastAsia="Arial" w:hAnsi="Arial"/>
          <w:sz w:val="18"/>
          <w:szCs w:val="18"/>
          <w:b w:val="1"/>
          <w:bCs w:val="1"/>
          <w:color w:val="auto"/>
        </w:rPr>
        <w:t>Your Acknowledgement of Award Conditions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Note: You must sign and return a copy of this Award Agreement to [Third Party Administrator] at the address given below no later than [30 Days Post Grant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660" w:hanging="436"/>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I understand and accept the conditions placed on my Performance Shares and understand what I must do to earn my Performance Shares;</w:t>
      </w:r>
    </w:p>
    <w:p>
      <w:pPr>
        <w:spacing w:after="0" w:line="142" w:lineRule="exact"/>
        <w:rPr>
          <w:rFonts w:ascii="Arial" w:cs="Arial" w:eastAsia="Arial" w:hAnsi="Arial"/>
          <w:sz w:val="17"/>
          <w:szCs w:val="17"/>
          <w:b w:val="1"/>
          <w:bCs w:val="1"/>
          <w:color w:val="auto"/>
        </w:rPr>
      </w:pPr>
    </w:p>
    <w:p>
      <w:pPr>
        <w:ind w:left="660" w:right="120" w:hanging="436"/>
        <w:spacing w:after="0" w:line="277"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 understand that my Award and the terms and conditions of my Award do not alter my status as an independent contractor of the Company and do not entitle me to any employee benefits that the Company may offer its employees;</w:t>
      </w:r>
    </w:p>
    <w:p>
      <w:pPr>
        <w:spacing w:after="0" w:line="75" w:lineRule="exact"/>
        <w:rPr>
          <w:rFonts w:ascii="Arial" w:cs="Arial" w:eastAsia="Arial" w:hAnsi="Arial"/>
          <w:sz w:val="18"/>
          <w:szCs w:val="18"/>
          <w:b w:val="1"/>
          <w:bCs w:val="1"/>
          <w:color w:val="auto"/>
        </w:rPr>
      </w:pPr>
    </w:p>
    <w:p>
      <w:pPr>
        <w:ind w:left="660" w:right="240" w:hanging="436"/>
        <w:spacing w:after="0" w:line="286" w:lineRule="auto"/>
        <w:tabs>
          <w:tab w:leader="none" w:pos="66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I will consent (on my own behalf and on behalf of my beneficiaries and without any further consideration) to any necessary change to my Performance Shares or this Award Agreement to comply with any law and to avoid paying penalties under Section 409A of the Internal Revenue Code, even if those changes affect the terms of my Performance Shares and reduce their value or potential value; and</w:t>
      </w:r>
    </w:p>
    <w:p>
      <w:pPr>
        <w:spacing w:after="0" w:line="70" w:lineRule="exact"/>
        <w:rPr>
          <w:rFonts w:ascii="Arial" w:cs="Arial" w:eastAsia="Arial" w:hAnsi="Arial"/>
          <w:sz w:val="17"/>
          <w:szCs w:val="17"/>
          <w:b w:val="1"/>
          <w:bCs w:val="1"/>
          <w:color w:val="auto"/>
        </w:rPr>
      </w:pPr>
    </w:p>
    <w:p>
      <w:pPr>
        <w:ind w:left="660" w:right="380" w:hanging="436"/>
        <w:spacing w:after="0" w:line="277"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If I do not return a signed copy of this Award Agreement to the address shown below on or before [30 Days Post Grant Date], my Performance Shares will be forfeited and I will not be entitled to receive anything on account of this Award.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[Grantee’s Name]</w:t>
            </w:r>
          </w:p>
        </w:tc>
        <w:tc>
          <w:tcPr>
            <w:tcW w:w="5740" w:type="dxa"/>
            <w:vAlign w:val="bottom"/>
            <w:gridSpan w:val="3"/>
          </w:tcPr>
          <w:p>
            <w:pPr>
              <w:ind w:left="74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gridSpan w:val="2"/>
          </w:tcPr>
          <w:p>
            <w:pPr>
              <w:spacing w:after="0"/>
              <w:rPr>
                <w:sz w:val="24"/>
                <w:szCs w:val="24"/>
                <w:color w:val="auto"/>
              </w:rPr>
            </w:pPr>
          </w:p>
        </w:tc>
        <w:tc>
          <w:tcPr>
            <w:tcW w:w="1080" w:type="dxa"/>
            <w:vAlign w:val="bottom"/>
          </w:tcPr>
          <w:p>
            <w:pPr>
              <w:ind w:left="74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gridSpan w:val="2"/>
          </w:tcPr>
          <w:p>
            <w:pPr>
              <w:spacing w:after="0"/>
              <w:rPr>
                <w:sz w:val="24"/>
                <w:szCs w:val="24"/>
                <w:color w:val="auto"/>
              </w:rPr>
            </w:pPr>
          </w:p>
        </w:tc>
      </w:tr>
      <w:tr>
        <w:trPr>
          <w:trHeight w:val="439"/>
        </w:trPr>
        <w:tc>
          <w:tcPr>
            <w:tcW w:w="1060" w:type="dxa"/>
            <w:vAlign w:val="bottom"/>
            <w:gridSpan w:val="2"/>
          </w:tcPr>
          <w:p>
            <w:pPr>
              <w:spacing w:after="0"/>
              <w:rPr>
                <w:sz w:val="20"/>
                <w:szCs w:val="20"/>
                <w:color w:val="auto"/>
              </w:rPr>
            </w:pPr>
            <w:r>
              <w:rPr>
                <w:rFonts w:ascii="Arial" w:cs="Arial" w:eastAsia="Arial" w:hAnsi="Arial"/>
                <w:sz w:val="18"/>
                <w:szCs w:val="18"/>
                <w:color w:val="auto"/>
              </w:rPr>
              <w:t>Date signed:</w:t>
            </w:r>
          </w:p>
        </w:tc>
        <w:tc>
          <w:tcPr>
            <w:tcW w:w="3680" w:type="dxa"/>
            <w:vAlign w:val="bottom"/>
            <w:tcBorders>
              <w:bottom w:val="single" w:sz="8" w:color="auto"/>
            </w:tcBorders>
          </w:tcPr>
          <w:p>
            <w:pPr>
              <w:spacing w:after="0"/>
              <w:rPr>
                <w:sz w:val="24"/>
                <w:szCs w:val="24"/>
                <w:color w:val="auto"/>
              </w:rPr>
            </w:pP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w w:val="94"/>
              </w:rPr>
              <w:t>Name:</w:t>
            </w:r>
          </w:p>
        </w:tc>
        <w:tc>
          <w:tcPr>
            <w:tcW w:w="4480" w:type="dxa"/>
            <w:vAlign w:val="bottom"/>
            <w:tcBorders>
              <w:bottom w:val="single" w:sz="8" w:color="auto"/>
            </w:tcBorders>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Title:</w:t>
            </w:r>
          </w:p>
        </w:tc>
        <w:tc>
          <w:tcPr>
            <w:tcW w:w="4480" w:type="dxa"/>
            <w:vAlign w:val="bottom"/>
            <w:tcBorders>
              <w:bottom w:val="single" w:sz="8" w:color="auto"/>
            </w:tcBorders>
          </w:tcPr>
          <w:p>
            <w:pPr>
              <w:spacing w:after="0"/>
              <w:rPr>
                <w:sz w:val="24"/>
                <w:szCs w:val="24"/>
                <w:color w:val="auto"/>
              </w:rPr>
            </w:pPr>
          </w:p>
        </w:tc>
      </w:tr>
    </w:tbl>
    <w:p>
      <w:pPr>
        <w:spacing w:after="0" w:line="21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25387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Award Agreement must be sent to the following address no later than [30 Days Post Grant Date]:</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9" w:right="31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Description of Your Nonqualified Stock Options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You have been awarded Nonqualified Stock Options (or “NSOs”) to purchase [Number Granted] common shares of the Company. </w:t>
      </w:r>
      <w:r>
        <w:rPr>
          <w:rFonts w:ascii="Arial" w:cs="Arial" w:eastAsia="Arial" w:hAnsi="Arial"/>
          <w:sz w:val="16"/>
          <w:szCs w:val="16"/>
          <w:color w:val="auto"/>
        </w:rPr>
        <w:t>You may purchase 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Company’s common shares for each NSO, but only if you pay $[Price] (“Exercise Price”) for each common share you purchase, you exercise the NSOs on or before [Expiration Date] (“Expiration Date”) and you meet the terms and conditions described in this Award Agreement, the Plan and the Prospectus. You also must arrange to pay any taxes due on exercise using one of the procedures described later in this Award Agreement.</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Limits on Exercising Your NSOs</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Normally, your NSOs will vest (and become exercisable) on [Vesting Date] but only if you are actively engaged to perform services for the Company or any Subsidiary or Affiliate (as defined in the Plan) on [Vesting Date] and all other conditions described in this Award Agreement, the Plan and the Prospectus are met.</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This does not mean that you must exercise your NSOs on this date; this is merely the first date that you may do so. However, your NSOs will expire unless they are exercised on or before the Expiration Date ([Expiration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There are some special situations in which your NSOs may vest earlier. These are described later in this Award Agreement.</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At any one time, you may not exercise NSOs to buy fewer than 100 common shares of the Company (or, if smaller, the number of your outstanding vested NSOs). Also, you may never exercise an NSO to purchase a fractional common share of the Company; NSOs for fractional common shares will always be redeemed for cash.</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Exercising Your NSOs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After they vest, you may exercise your NSOs by completing an Exercise Notice. A copy of this Exercise Notice is attached to this Award Agreement. Also, a copy of this Exercise Notice and a description of the procedures that you must follow to exercise your NSOs are available from [Third Party Administrator] at [TPA Telephone Number] or at the address shown below.</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You may use one of three methods to exercise your NSOs and to pay any taxes related to that exercise. You will decide on the method at the time of exercise.</w:t>
      </w:r>
    </w:p>
    <w:p>
      <w:pPr>
        <w:spacing w:after="0" w:line="140" w:lineRule="exact"/>
        <w:rPr>
          <w:sz w:val="20"/>
          <w:szCs w:val="20"/>
          <w:color w:val="auto"/>
        </w:rPr>
      </w:pPr>
    </w:p>
    <w:p>
      <w:pPr>
        <w:ind w:left="360" w:right="140"/>
        <w:spacing w:after="0" w:line="259" w:lineRule="auto"/>
        <w:rPr>
          <w:sz w:val="20"/>
          <w:szCs w:val="20"/>
          <w:color w:val="auto"/>
        </w:rPr>
      </w:pPr>
      <w:r>
        <w:rPr>
          <w:rFonts w:ascii="Arial" w:cs="Arial" w:eastAsia="Arial" w:hAnsi="Arial"/>
          <w:sz w:val="18"/>
          <w:szCs w:val="18"/>
          <w:b w:val="1"/>
          <w:bCs w:val="1"/>
          <w:i w:val="1"/>
          <w:iCs w:val="1"/>
          <w:color w:val="auto"/>
        </w:rPr>
        <w:t xml:space="preserve">Cashless Exercise and Sell: </w:t>
      </w:r>
      <w:r>
        <w:rPr>
          <w:rFonts w:ascii="Arial" w:cs="Arial" w:eastAsia="Arial" w:hAnsi="Arial"/>
          <w:sz w:val="18"/>
          <w:szCs w:val="18"/>
          <w:color w:val="auto"/>
        </w:rPr>
        <w:t>If you elect this alternative, you will be deemed to have simultaneously exercised the NSOs and to have sold the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shares underlying those NSOs. When the transaction is complete, you will receive cash (but no common shares of the Company) equal to the difference between the aggregate value of the common shares deemed to have been acquired through the exercise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NSOs’ aggregate exercise price and related taxes.</w:t>
      </w:r>
    </w:p>
    <w:p>
      <w:pPr>
        <w:spacing w:after="0" w:line="79" w:lineRule="exact"/>
        <w:rPr>
          <w:sz w:val="20"/>
          <w:szCs w:val="20"/>
          <w:color w:val="auto"/>
        </w:rPr>
      </w:pPr>
    </w:p>
    <w:p>
      <w:pPr>
        <w:ind w:left="360" w:right="40"/>
        <w:spacing w:after="0" w:line="264" w:lineRule="auto"/>
        <w:rPr>
          <w:sz w:val="20"/>
          <w:szCs w:val="20"/>
          <w:color w:val="auto"/>
        </w:rPr>
      </w:pPr>
      <w:r>
        <w:rPr>
          <w:rFonts w:ascii="Arial" w:cs="Arial" w:eastAsia="Arial" w:hAnsi="Arial"/>
          <w:sz w:val="18"/>
          <w:szCs w:val="18"/>
          <w:b w:val="1"/>
          <w:bCs w:val="1"/>
          <w:i w:val="1"/>
          <w:iCs w:val="1"/>
          <w:color w:val="auto"/>
        </w:rPr>
        <w:t xml:space="preserve">Combination Exercise: </w:t>
      </w:r>
      <w:r>
        <w:rPr>
          <w:rFonts w:ascii="Arial" w:cs="Arial" w:eastAsia="Arial" w:hAnsi="Arial"/>
          <w:sz w:val="18"/>
          <w:szCs w:val="18"/>
          <w:color w:val="auto"/>
        </w:rPr>
        <w:t>If you elect this alternative, you will be deemed to have simultaneously exercised the NSOs and to have sold a number of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shares with a value equal to the NSOs’ aggregate exercise price and related taxes. When the transaction is complete, the balance of the common shares subject to the NSOs you exercised will be transferred to you.</w:t>
      </w:r>
    </w:p>
    <w:p>
      <w:pPr>
        <w:spacing w:after="0" w:line="73" w:lineRule="exact"/>
        <w:rPr>
          <w:sz w:val="20"/>
          <w:szCs w:val="20"/>
          <w:color w:val="auto"/>
        </w:rPr>
      </w:pPr>
    </w:p>
    <w:p>
      <w:pPr>
        <w:ind w:left="360" w:right="20"/>
        <w:spacing w:after="0" w:line="277" w:lineRule="auto"/>
        <w:rPr>
          <w:sz w:val="20"/>
          <w:szCs w:val="20"/>
          <w:color w:val="auto"/>
        </w:rPr>
      </w:pPr>
      <w:r>
        <w:rPr>
          <w:rFonts w:ascii="Arial" w:cs="Arial" w:eastAsia="Arial" w:hAnsi="Arial"/>
          <w:sz w:val="18"/>
          <w:szCs w:val="18"/>
          <w:b w:val="1"/>
          <w:bCs w:val="1"/>
          <w:i w:val="1"/>
          <w:iCs w:val="1"/>
          <w:color w:val="auto"/>
        </w:rPr>
        <w:t xml:space="preserve">Exercise and Hold: </w:t>
      </w:r>
      <w:r>
        <w:rPr>
          <w:rFonts w:ascii="Arial" w:cs="Arial" w:eastAsia="Arial" w:hAnsi="Arial"/>
          <w:sz w:val="18"/>
          <w:szCs w:val="18"/>
          <w:color w:val="auto"/>
        </w:rPr>
        <w:t>If you elect this alternative, you must pay the full exercise price plus related taxes (in cash, a cash equivalent or in common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having a value equal to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54" w:name="page55"/>
    <w:bookmarkEnd w:id="54"/>
    <w:p>
      <w:pPr>
        <w:ind w:left="360" w:right="500"/>
        <w:spacing w:after="0" w:line="277" w:lineRule="auto"/>
        <w:rPr>
          <w:sz w:val="20"/>
          <w:szCs w:val="20"/>
          <w:color w:val="auto"/>
        </w:rPr>
      </w:pPr>
      <w:r>
        <w:rPr>
          <w:rFonts w:ascii="Arial" w:cs="Arial" w:eastAsia="Arial" w:hAnsi="Arial"/>
          <w:sz w:val="18"/>
          <w:szCs w:val="18"/>
          <w:color w:val="auto"/>
        </w:rPr>
        <w:t>exercise price and which you have owned for at least six months before the exercise date). When the transaction is complete, you will receive one common share for each NSO exercised.</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Before choosing an exercise method, you should read the “Federal Income Tax” section of the Prospectus to ensure you understand the federal income tax effect of exercising your NSOs and of the exercise method you choose.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If you do not elect one of these methods, we will apply the Cashless Exercise and Sell method described above.</w:t>
      </w:r>
    </w:p>
    <w:p>
      <w:pPr>
        <w:spacing w:after="0" w:line="32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Tax Treatment of Your NSOs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federal income tax treatment of your NSOs is discussed in the Plan’s Prospectus.</w:t>
      </w: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General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NSOs If Your Engagement For Service Ends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Normally, you may exercise your NSOs after they vest and before the Expiration Date ([Expiration Date]). However, your NSOs may be cancelled earlier than the Expiration Date if your engagement for service terminates before [Vesting Date].</w:t>
      </w:r>
    </w:p>
    <w:p>
      <w:pPr>
        <w:spacing w:after="0" w:line="62" w:lineRule="exact"/>
        <w:rPr>
          <w:sz w:val="20"/>
          <w:szCs w:val="20"/>
          <w:color w:val="auto"/>
        </w:rPr>
      </w:pPr>
    </w:p>
    <w:p>
      <w:pPr>
        <w:ind w:left="600" w:hanging="250"/>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your engagement for service is terminated for “cause” (as defined in the Plan), the NSOs will expire on the date your engagement for service ends;</w:t>
      </w:r>
    </w:p>
    <w:p>
      <w:pPr>
        <w:spacing w:after="0" w:line="46"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02" w:lineRule="exact"/>
        <w:rPr>
          <w:rFonts w:ascii="Arial" w:cs="Arial" w:eastAsia="Arial" w:hAnsi="Arial"/>
          <w:sz w:val="16"/>
          <w:szCs w:val="16"/>
          <w:color w:val="auto"/>
        </w:rPr>
      </w:pPr>
    </w:p>
    <w:p>
      <w:pPr>
        <w:ind w:left="360" w:right="100" w:hanging="10"/>
        <w:spacing w:after="0" w:line="277" w:lineRule="auto"/>
        <w:tabs>
          <w:tab w:leader="none" w:pos="6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your engagement for service terminates because you [i] die or [ii] become disabled (as defined in the Plan), the NSOs will expire on the earlier of the Expiration Date or 12 months after you terminate; or</w:t>
      </w:r>
    </w:p>
    <w:p>
      <w:pPr>
        <w:spacing w:after="0" w:line="62" w:lineRule="exact"/>
        <w:rPr>
          <w:rFonts w:ascii="Arial" w:cs="Arial" w:eastAsia="Arial" w:hAnsi="Arial"/>
          <w:sz w:val="18"/>
          <w:szCs w:val="18"/>
          <w:color w:val="auto"/>
        </w:rPr>
      </w:pPr>
    </w:p>
    <w:p>
      <w:pPr>
        <w:ind w:left="360" w:right="60" w:hanging="10"/>
        <w:spacing w:after="0" w:line="277" w:lineRule="auto"/>
        <w:tabs>
          <w:tab w:leader="none" w:pos="6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your engagement for service terminates after reaching either [i] age 55 and completing at least 10 years of service or [ii] age 62 regardless of your years of service, the NSOs will expire on the earlier of the Expiration Date or 12 months after you terminate; or</w:t>
      </w:r>
    </w:p>
    <w:p>
      <w:pPr>
        <w:spacing w:after="0" w:line="62" w:lineRule="exact"/>
        <w:rPr>
          <w:rFonts w:ascii="Arial" w:cs="Arial" w:eastAsia="Arial" w:hAnsi="Arial"/>
          <w:sz w:val="18"/>
          <w:szCs w:val="18"/>
          <w:color w:val="auto"/>
        </w:rPr>
      </w:pPr>
    </w:p>
    <w:p>
      <w:pPr>
        <w:ind w:left="360" w:right="380" w:hanging="10"/>
        <w:spacing w:after="0" w:line="277" w:lineRule="auto"/>
        <w:tabs>
          <w:tab w:leader="none" w:pos="6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your engagement for service terminates for any other reason, your NSOs will expire on the earlier of the Expiration Date or 90 days after you terminate.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it is your responsibility to keep track of when your NSOs expire.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NSOs if You Engage in Conduct That is Harmful to the Company (or any Affiliate or Subsidiary)</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You also will forfeit any outstanding NSOs and must return to the Company all common shares and other amounts you have received through the Plan if, without our consent, you do any of the following within 180 days before and 730 days after terminating service (as defined in the Plan) with the Company or any Affiliate or Subsidiary:</w:t>
      </w:r>
    </w:p>
    <w:p>
      <w:pPr>
        <w:spacing w:after="0" w:line="73" w:lineRule="exact"/>
        <w:rPr>
          <w:sz w:val="20"/>
          <w:szCs w:val="20"/>
          <w:color w:val="auto"/>
        </w:rPr>
      </w:pPr>
    </w:p>
    <w:p>
      <w:pPr>
        <w:jc w:val="both"/>
        <w:ind w:left="360" w:right="40" w:hanging="10"/>
        <w:spacing w:after="0" w:line="264" w:lineRule="auto"/>
        <w:tabs>
          <w:tab w:leader="none" w:pos="6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 Subsidiary’s) business with which you have been involved any time within five years before</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55" w:name="page56"/>
    <w:bookmarkEnd w:id="55"/>
    <w:p>
      <w:pPr>
        <w:ind w:left="360" w:right="140"/>
        <w:spacing w:after="0" w:line="264" w:lineRule="auto"/>
        <w:rPr>
          <w:sz w:val="20"/>
          <w:szCs w:val="20"/>
          <w:color w:val="auto"/>
        </w:rPr>
      </w:pPr>
      <w:r>
        <w:rPr>
          <w:rFonts w:ascii="Arial" w:cs="Arial" w:eastAsia="Arial" w:hAnsi="Arial"/>
          <w:sz w:val="18"/>
          <w:szCs w:val="18"/>
          <w:color w:val="auto"/>
        </w:rPr>
        <w:t>termination of your engagement for service or render any service (including, without limitation, advertising or business consulting) to entities that compete with any portion of the Company’s (or any Affiliate’s or Subsidiary’s) business with which you have been involved any time within five years before termination of your engagement for service;</w:t>
      </w:r>
    </w:p>
    <w:p>
      <w:pPr>
        <w:spacing w:after="0" w:line="73" w:lineRule="exact"/>
        <w:rPr>
          <w:sz w:val="20"/>
          <w:szCs w:val="20"/>
          <w:color w:val="auto"/>
        </w:rPr>
      </w:pPr>
    </w:p>
    <w:p>
      <w:pPr>
        <w:ind w:left="360" w:right="220" w:hanging="10"/>
        <w:spacing w:after="0" w:line="277" w:lineRule="auto"/>
        <w:tabs>
          <w:tab w:leader="none" w:pos="6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color w:val="auto"/>
        </w:rPr>
      </w:pPr>
    </w:p>
    <w:p>
      <w:pPr>
        <w:ind w:left="360" w:right="260" w:hanging="10"/>
        <w:spacing w:after="0" w:line="277" w:lineRule="auto"/>
        <w:tabs>
          <w:tab w:leader="none" w:pos="6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 including but not limited to a breach of the terms and conditions of your engagement with the Company;</w:t>
      </w:r>
    </w:p>
    <w:p>
      <w:pPr>
        <w:spacing w:after="0" w:line="62" w:lineRule="exact"/>
        <w:rPr>
          <w:rFonts w:ascii="Arial" w:cs="Arial" w:eastAsia="Arial" w:hAnsi="Arial"/>
          <w:sz w:val="18"/>
          <w:szCs w:val="18"/>
          <w:color w:val="auto"/>
        </w:rPr>
      </w:pPr>
    </w:p>
    <w:p>
      <w:pPr>
        <w:ind w:left="360" w:right="60" w:hanging="10"/>
        <w:spacing w:after="0" w:line="302" w:lineRule="auto"/>
        <w:tabs>
          <w:tab w:leader="none" w:pos="6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 service provider for the Company or any Affiliate or Subsidiary concerning the names and addresses of the Company’s or any Affiliate’s or Subsidiary’s employees;</w:t>
      </w:r>
    </w:p>
    <w:p>
      <w:pPr>
        <w:spacing w:after="0" w:line="46" w:lineRule="exact"/>
        <w:rPr>
          <w:rFonts w:ascii="Arial" w:cs="Arial" w:eastAsia="Arial" w:hAnsi="Arial"/>
          <w:sz w:val="16"/>
          <w:szCs w:val="16"/>
          <w:color w:val="auto"/>
        </w:rPr>
      </w:pPr>
    </w:p>
    <w:p>
      <w:pPr>
        <w:ind w:left="360" w:right="80" w:hanging="10"/>
        <w:spacing w:after="0" w:line="257" w:lineRule="auto"/>
        <w:tabs>
          <w:tab w:leader="none" w:pos="6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360" w:right="120" w:hanging="10"/>
        <w:spacing w:after="0" w:line="259" w:lineRule="auto"/>
        <w:tabs>
          <w:tab w:leader="none" w:pos="5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engagement with the Company or any Affiliate or Subsidiary; or</w:t>
      </w:r>
    </w:p>
    <w:p>
      <w:pPr>
        <w:spacing w:after="0" w:line="78" w:lineRule="exact"/>
        <w:rPr>
          <w:rFonts w:ascii="Arial" w:cs="Arial" w:eastAsia="Arial" w:hAnsi="Arial"/>
          <w:sz w:val="18"/>
          <w:szCs w:val="18"/>
          <w:color w:val="auto"/>
        </w:rPr>
      </w:pPr>
    </w:p>
    <w:p>
      <w:pPr>
        <w:ind w:left="360" w:hanging="10"/>
        <w:spacing w:after="0" w:line="277" w:lineRule="auto"/>
        <w:tabs>
          <w:tab w:leader="none" w:pos="6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engaged in conduct that the Committee (as defined in the Plan) reasonably concludes would have given rise to a termination of your engagement for “cause” had it been discovered before you terminated service for the Company or any Affiliate or Subsidiary.</w:t>
      </w:r>
    </w:p>
    <w:p>
      <w:pPr>
        <w:spacing w:after="0" w:line="58"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Your NSOs May Vest Earlier Than Described Above. </w:t>
      </w:r>
      <w:r>
        <w:rPr>
          <w:rFonts w:ascii="Arial" w:cs="Arial" w:eastAsia="Arial" w:hAnsi="Arial"/>
          <w:sz w:val="18"/>
          <w:szCs w:val="18"/>
          <w:color w:val="auto"/>
        </w:rPr>
        <w:t>Normally, your NSOs will vest only in the circumstances described above. However, if there is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(as defined in the Plan), your NSOs may vest earlier. You should read the Plan and the Prospectus carefully to ensure that you understand how this may happen.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Rights Before Your NSOs Are Exercised: </w:t>
      </w:r>
      <w:r>
        <w:rPr>
          <w:rFonts w:ascii="Arial" w:cs="Arial" w:eastAsia="Arial" w:hAnsi="Arial"/>
          <w:sz w:val="17"/>
          <w:szCs w:val="17"/>
          <w:color w:val="auto"/>
        </w:rPr>
        <w:t>You may not vote, or receive any dividends associated with, the common shares underlying your NSOs.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56" w:name="page57"/>
    <w:bookmarkEnd w:id="56"/>
    <w:p>
      <w:pPr>
        <w:ind w:right="80"/>
        <w:spacing w:after="0" w:line="303" w:lineRule="auto"/>
        <w:rPr>
          <w:sz w:val="20"/>
          <w:szCs w:val="20"/>
          <w:color w:val="auto"/>
        </w:rPr>
      </w:pPr>
      <w:r>
        <w:rPr>
          <w:rFonts w:ascii="Arial" w:cs="Arial" w:eastAsia="Arial" w:hAnsi="Arial"/>
          <w:sz w:val="16"/>
          <w:szCs w:val="16"/>
          <w:b w:val="1"/>
          <w:bCs w:val="1"/>
          <w:color w:val="auto"/>
        </w:rPr>
        <w:t xml:space="preserve">Beneficiary Designation: </w:t>
      </w:r>
      <w:r>
        <w:rPr>
          <w:rFonts w:ascii="Arial" w:cs="Arial" w:eastAsia="Arial" w:hAnsi="Arial"/>
          <w:sz w:val="16"/>
          <w:szCs w:val="16"/>
          <w:color w:val="auto"/>
        </w:rPr>
        <w:t>You may name a beneficiary or beneficiaries to receive or to exercise any vested NSOs that are unexercised when you die. This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done only on 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4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Transferring Your NSOs: </w:t>
      </w:r>
      <w:r>
        <w:rPr>
          <w:rFonts w:ascii="Arial" w:cs="Arial" w:eastAsia="Arial" w:hAnsi="Arial"/>
          <w:sz w:val="18"/>
          <w:szCs w:val="18"/>
          <w:color w:val="auto"/>
        </w:rPr>
        <w:t>Normally your NSOs may not be transferred to another person. However, you may complete a Beneficiary Designation Form to</w:t>
      </w:r>
      <w:r>
        <w:rPr>
          <w:rFonts w:ascii="Arial" w:cs="Arial" w:eastAsia="Arial" w:hAnsi="Arial"/>
          <w:sz w:val="18"/>
          <w:szCs w:val="18"/>
          <w:b w:val="1"/>
          <w:bCs w:val="1"/>
          <w:color w:val="auto"/>
        </w:rPr>
        <w:t xml:space="preserve"> </w:t>
      </w:r>
      <w:r>
        <w:rPr>
          <w:rFonts w:ascii="Arial" w:cs="Arial" w:eastAsia="Arial" w:hAnsi="Arial"/>
          <w:sz w:val="18"/>
          <w:szCs w:val="18"/>
          <w:color w:val="auto"/>
        </w:rPr>
        <w:t>name the person who may exercise your NSOs if you die before their Expiration Date. Also, the Committee may allow you to place your NSOs into a trust established for your benefit or for the benefit of your family. Contact [Third Party Administrator] at [TPA Telephone Number] or at the address given below if you are interested in doing this.</w:t>
      </w:r>
    </w:p>
    <w:p>
      <w:pPr>
        <w:spacing w:after="0" w:line="7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will be construed in accordance with and governed by the laws of the United States and of the State of Ohio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laws governing conflicts of laws).</w:t>
      </w:r>
    </w:p>
    <w:p>
      <w:pPr>
        <w:spacing w:after="0" w:line="54"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Also, your NSOs will be subject to the terms of any other written agreements between you and the Company or any Affiliate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to the extent that those other agreements do not directly conflict with the terms of the Plan or this Award Agreement. However, the parties hereby agree and acknowledge that the terms of this Award Agreement and the Plan regarding Noncompetition, Nonsolicitation and/or Confidentiality are intended to supplement and not conflict with any written agreement that they may have or that they may enter regarding the same matters.</w:t>
      </w:r>
    </w:p>
    <w:p>
      <w:pPr>
        <w:spacing w:after="0" w:line="5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Adjustments to NSOs: </w:t>
      </w:r>
      <w:r>
        <w:rPr>
          <w:rFonts w:ascii="Arial" w:cs="Arial" w:eastAsia="Arial" w:hAnsi="Arial"/>
          <w:sz w:val="18"/>
          <w:szCs w:val="18"/>
          <w:color w:val="auto"/>
        </w:rPr>
        <w:t>Your NSOs will be adjusted, if appropriate, to reflect any change to the Company’s capital structure (e.g., the number of your NSOs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Exercise Price will be adjusted to reflect a stock split).</w:t>
      </w:r>
    </w:p>
    <w:p>
      <w:pPr>
        <w:spacing w:after="0" w:line="54"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Your Status as an Independent Contractor: </w:t>
      </w:r>
      <w:r>
        <w:rPr>
          <w:rFonts w:ascii="Arial" w:cs="Arial" w:eastAsia="Arial" w:hAnsi="Arial"/>
          <w:sz w:val="18"/>
          <w:szCs w:val="18"/>
          <w:color w:val="auto"/>
        </w:rPr>
        <w:t>This Award Agreement is not intended by either party to alter your status as an independent contractor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you acknowledge and agree that this Award Agreement shall in no way be interpreted as entitling you to any of the employee benefits offered by the Company to its employees.</w:t>
      </w:r>
    </w:p>
    <w:p>
      <w:pPr>
        <w:spacing w:after="0" w:line="68"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 xml:space="preserve">Other Rules: </w:t>
      </w:r>
      <w:r>
        <w:rPr>
          <w:rFonts w:ascii="Arial" w:cs="Arial" w:eastAsia="Arial" w:hAnsi="Arial"/>
          <w:sz w:val="17"/>
          <w:szCs w:val="17"/>
          <w:color w:val="auto"/>
        </w:rPr>
        <w:t>Your NSOs also are subject to more rules described in the Plan and in the Plan’s Prospectus. You should read both of these documents carefully</w:t>
      </w:r>
      <w:r>
        <w:rPr>
          <w:rFonts w:ascii="Arial" w:cs="Arial" w:eastAsia="Arial" w:hAnsi="Arial"/>
          <w:sz w:val="17"/>
          <w:szCs w:val="17"/>
          <w:b w:val="1"/>
          <w:bCs w:val="1"/>
          <w:color w:val="auto"/>
        </w:rPr>
        <w:t xml:space="preserve"> </w:t>
      </w:r>
      <w:r>
        <w:rPr>
          <w:rFonts w:ascii="Arial" w:cs="Arial" w:eastAsia="Arial" w:hAnsi="Arial"/>
          <w:sz w:val="17"/>
          <w:szCs w:val="17"/>
          <w:color w:val="auto"/>
        </w:rPr>
        <w:t>to ensure you fully understand all the terms and conditions of the grant of NSOs made to you under this Award Agreement.</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You may contact [Third Party Administrator] at [TPA Telephone Number] or at the address given below if you have any questions about your Award or this Award Agreement.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57" w:name="page58"/>
    <w:bookmarkEnd w:id="57"/>
    <w:p>
      <w:pPr>
        <w:jc w:val="center"/>
        <w:ind w:right="-99"/>
        <w:spacing w:after="0"/>
        <w:rPr>
          <w:sz w:val="20"/>
          <w:szCs w:val="20"/>
          <w:color w:val="auto"/>
        </w:rPr>
      </w:pPr>
      <w:r>
        <w:rPr>
          <w:rFonts w:ascii="Arial" w:cs="Arial" w:eastAsia="Arial" w:hAnsi="Arial"/>
          <w:sz w:val="18"/>
          <w:szCs w:val="18"/>
          <w:b w:val="1"/>
          <w:bCs w:val="1"/>
          <w:color w:val="auto"/>
        </w:rPr>
        <w:t>Your Acknowledgement of Award Conditions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Note: You must sign and return a copy of this Award Agreement to [Third Party Administrator] at the address given below no later than [30 Days Post Grant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I understand and accept the conditions placed on my NSOs and understand what I must do to earn and exercise my NSOs;</w:t>
      </w:r>
    </w:p>
    <w:p>
      <w:pPr>
        <w:spacing w:after="0" w:line="130" w:lineRule="exact"/>
        <w:rPr>
          <w:rFonts w:ascii="Arial" w:cs="Arial" w:eastAsia="Arial" w:hAnsi="Arial"/>
          <w:sz w:val="18"/>
          <w:szCs w:val="18"/>
          <w:b w:val="1"/>
          <w:bCs w:val="1"/>
          <w:color w:val="auto"/>
        </w:rPr>
      </w:pPr>
    </w:p>
    <w:p>
      <w:pPr>
        <w:ind w:left="900" w:right="120" w:hanging="446"/>
        <w:spacing w:after="0" w:line="277" w:lineRule="auto"/>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I understand that my Award and the terms and conditions of my Award do not alter my status as an independent contractor of the Company and do not entitle me to any employee benefits that the Company may offer its employees;</w:t>
      </w:r>
    </w:p>
    <w:p>
      <w:pPr>
        <w:spacing w:after="0" w:line="75" w:lineRule="exact"/>
        <w:rPr>
          <w:rFonts w:ascii="Arial" w:cs="Arial" w:eastAsia="Arial" w:hAnsi="Arial"/>
          <w:sz w:val="18"/>
          <w:szCs w:val="18"/>
          <w:b w:val="1"/>
          <w:bCs w:val="1"/>
          <w:color w:val="auto"/>
        </w:rPr>
      </w:pPr>
    </w:p>
    <w:p>
      <w:pPr>
        <w:jc w:val="both"/>
        <w:ind w:left="900" w:right="60" w:hanging="446"/>
        <w:spacing w:after="0" w:line="264" w:lineRule="auto"/>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I will consent (on my own behalf and on behalf of my beneficiaries and without any further consideration) to any necessary change to my NSOs or this Award Agreement to comply with any law and to avoid paying penalties under Section 409A of the Internal Revenue Code, even if those changes affect the terms of my NSOs and reduce their value or potential value; and</w:t>
      </w:r>
    </w:p>
    <w:p>
      <w:pPr>
        <w:spacing w:after="0" w:line="86" w:lineRule="exact"/>
        <w:rPr>
          <w:rFonts w:ascii="Arial" w:cs="Arial" w:eastAsia="Arial" w:hAnsi="Arial"/>
          <w:sz w:val="18"/>
          <w:szCs w:val="18"/>
          <w:b w:val="1"/>
          <w:bCs w:val="1"/>
          <w:color w:val="auto"/>
        </w:rPr>
      </w:pPr>
    </w:p>
    <w:p>
      <w:pPr>
        <w:ind w:left="900" w:right="100" w:hanging="446"/>
        <w:spacing w:after="0" w:line="277" w:lineRule="auto"/>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If I do not return a signed copy of this Award Agreement to the address shown below on or before [30 Days Post Grant Date], my NSOs will be forfeited and I will not be entitled to receive anything on account of this Award.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3"/>
          </w:tcPr>
          <w:p>
            <w:pPr>
              <w:spacing w:after="0"/>
              <w:rPr>
                <w:sz w:val="20"/>
                <w:szCs w:val="20"/>
                <w:color w:val="auto"/>
              </w:rPr>
            </w:pPr>
            <w:r>
              <w:rPr>
                <w:rFonts w:ascii="Arial" w:cs="Arial" w:eastAsia="Arial" w:hAnsi="Arial"/>
                <w:sz w:val="18"/>
                <w:szCs w:val="18"/>
                <w:color w:val="auto"/>
              </w:rPr>
              <w:t>[Grantee’s Name]</w:t>
            </w:r>
          </w:p>
        </w:tc>
        <w:tc>
          <w:tcPr>
            <w:tcW w:w="5600" w:type="dxa"/>
            <w:vAlign w:val="bottom"/>
            <w:gridSpan w:val="4"/>
          </w:tcPr>
          <w:p>
            <w:pPr>
              <w:ind w:left="24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4"/>
                <w:szCs w:val="24"/>
                <w:color w:val="auto"/>
              </w:rPr>
            </w:pPr>
          </w:p>
        </w:tc>
        <w:tc>
          <w:tcPr>
            <w:tcW w:w="580" w:type="dxa"/>
            <w:vAlign w:val="bottom"/>
          </w:tcPr>
          <w:p>
            <w:pPr>
              <w:ind w:left="2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3"/>
          </w:tcPr>
          <w:p>
            <w:pPr>
              <w:spacing w:after="0"/>
              <w:rPr>
                <w:sz w:val="24"/>
                <w:szCs w:val="24"/>
                <w:color w:val="auto"/>
              </w:rPr>
            </w:pPr>
          </w:p>
        </w:tc>
      </w:tr>
      <w:tr>
        <w:trPr>
          <w:trHeight w:val="439"/>
        </w:trPr>
        <w:tc>
          <w:tcPr>
            <w:tcW w:w="1160" w:type="dxa"/>
            <w:vAlign w:val="bottom"/>
            <w:gridSpan w:val="2"/>
          </w:tcPr>
          <w:p>
            <w:pPr>
              <w:spacing w:after="0"/>
              <w:rPr>
                <w:sz w:val="20"/>
                <w:szCs w:val="20"/>
                <w:color w:val="auto"/>
              </w:rPr>
            </w:pPr>
            <w:r>
              <w:rPr>
                <w:rFonts w:ascii="Arial" w:cs="Arial" w:eastAsia="Arial" w:hAnsi="Arial"/>
                <w:sz w:val="18"/>
                <w:szCs w:val="18"/>
                <w:color w:val="auto"/>
              </w:rPr>
              <w:t>Date signed:</w:t>
            </w:r>
          </w:p>
        </w:tc>
        <w:tc>
          <w:tcPr>
            <w:tcW w:w="4220" w:type="dxa"/>
            <w:vAlign w:val="bottom"/>
            <w:tcBorders>
              <w:bottom w:val="single" w:sz="8" w:color="auto"/>
            </w:tcBorders>
          </w:tcPr>
          <w:p>
            <w:pPr>
              <w:spacing w:after="0"/>
              <w:rPr>
                <w:sz w:val="24"/>
                <w:szCs w:val="24"/>
                <w:color w:val="auto"/>
              </w:rPr>
            </w:pPr>
          </w:p>
        </w:tc>
        <w:tc>
          <w:tcPr>
            <w:tcW w:w="820" w:type="dxa"/>
            <w:vAlign w:val="bottom"/>
            <w:gridSpan w:val="3"/>
          </w:tcPr>
          <w:p>
            <w:pPr>
              <w:ind w:left="24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4"/>
                <w:szCs w:val="24"/>
                <w:color w:val="auto"/>
              </w:rPr>
            </w:pPr>
          </w:p>
        </w:tc>
      </w:tr>
      <w:tr>
        <w:trPr>
          <w:trHeight w:val="439"/>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Title:</w:t>
            </w:r>
          </w:p>
        </w:tc>
        <w:tc>
          <w:tcPr>
            <w:tcW w:w="4900" w:type="dxa"/>
            <w:vAlign w:val="bottom"/>
            <w:tcBorders>
              <w:bottom w:val="single" w:sz="8" w:color="auto"/>
            </w:tcBorders>
            <w:gridSpan w:val="2"/>
          </w:tcPr>
          <w:p>
            <w:pPr>
              <w:spacing w:after="0"/>
              <w:rPr>
                <w:sz w:val="24"/>
                <w:szCs w:val="24"/>
                <w:color w:val="auto"/>
              </w:rPr>
            </w:pPr>
          </w:p>
        </w:tc>
      </w:tr>
    </w:tbl>
    <w:p>
      <w:pPr>
        <w:spacing w:after="0" w:line="2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14605</wp:posOffset>
            </wp:positionV>
            <wp:extent cx="2675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Award Agreement must be sent to the following address no later than [30 Days Post Grant Date]:</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9" w:right="31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NONQUALIFIED STOCK OPTION EXERCISE NOTICE</w:t>
      </w:r>
    </w:p>
    <w:p>
      <w:pPr>
        <w:spacing w:after="0" w:line="117"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AFFECTING [NUMBER GRANTED] NONQUALIFIED STOCK OPTIONS GRANTED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[GRANTEE’S NAME] ON [GRANT DATE]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 copies of this Nonqualified Stock Option Exercise Notice (and any further information you may need about this Exercise Notice or exercising your NSOs) are available from [Third Party Administrator] at the address given below.</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By completing this Exercise Notice and returning it to [Third Party Administrator] at the address given below, I elect to exercise the NSOs described below:</w:t>
      </w:r>
    </w:p>
    <w:p>
      <w:pPr>
        <w:spacing w:after="0" w:line="14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NOTE: You must complete a separate Nonqualified Stock Option Exercise Notice each time you exercise NSOs granted under each Award Agreement (e.g., if you are exercising 200 NSOs granted January 1, 2007 and 100 NSOs granted January 1, 2008 under a separate award agreement, you must complete two Nonqualified Stock Option Exercise Notices, one for each set of NSOs being exercised).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AFFECTED NSOS: This exercise relates to the following NSOs (fill in the blanks):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GRANT DATE: [GRANT DATE]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NUMBER OF NSOS BEING EXERCISED WITH THIS EXERCISE NOTICE (AT LEAST 100 COMMON SHARES OF THE COMPANY (OR,</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SMALLER, THE NUMBER OF YOUR OUTSTANDING VESTED NSOs)):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254635</wp:posOffset>
            </wp:positionV>
            <wp:extent cx="11430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The Exercise Price due is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2211070</wp:posOffset>
            </wp:positionH>
            <wp:positionV relativeFrom="paragraph">
              <wp:posOffset>-10160</wp:posOffset>
            </wp:positionV>
            <wp:extent cx="28003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00350" cy="8890"/>
                    </a:xfrm>
                    <a:prstGeom prst="rect">
                      <a:avLst/>
                    </a:prstGeom>
                    <a:noFill/>
                  </pic:spPr>
                </pic:pic>
              </a:graphicData>
            </a:graphic>
          </wp:anchor>
        </w:drawing>
      </w:r>
    </w:p>
    <w:p>
      <w:pPr>
        <w:spacing w:after="0" w:line="97" w:lineRule="exact"/>
        <w:rPr>
          <w:sz w:val="20"/>
          <w:szCs w:val="20"/>
          <w:color w:val="auto"/>
        </w:rPr>
      </w:pPr>
    </w:p>
    <w:p>
      <w:pPr>
        <w:ind w:left="700" w:right="3980"/>
        <w:spacing w:after="0" w:line="277" w:lineRule="auto"/>
        <w:rPr>
          <w:sz w:val="20"/>
          <w:szCs w:val="20"/>
          <w:color w:val="auto"/>
        </w:rPr>
      </w:pPr>
      <w:r>
        <w:rPr>
          <w:rFonts w:ascii="Arial" w:cs="Arial" w:eastAsia="Arial" w:hAnsi="Arial"/>
          <w:sz w:val="18"/>
          <w:szCs w:val="18"/>
          <w:color w:val="auto"/>
        </w:rPr>
        <w:t>NOTE: This amount must be the product of $[Price] multiplied by the number of NSOs being exercised.</w:t>
      </w:r>
    </w:p>
    <w:p>
      <w:pPr>
        <w:spacing w:after="0" w:line="62" w:lineRule="exact"/>
        <w:rPr>
          <w:sz w:val="20"/>
          <w:szCs w:val="20"/>
          <w:color w:val="auto"/>
        </w:rPr>
      </w:pPr>
    </w:p>
    <w:p>
      <w:pPr>
        <w:ind w:right="5260"/>
        <w:spacing w:after="0" w:line="277" w:lineRule="auto"/>
        <w:rPr>
          <w:sz w:val="20"/>
          <w:szCs w:val="20"/>
          <w:color w:val="auto"/>
        </w:rPr>
      </w:pPr>
      <w:r>
        <w:rPr>
          <w:rFonts w:ascii="Arial" w:cs="Arial" w:eastAsia="Arial" w:hAnsi="Arial"/>
          <w:sz w:val="18"/>
          <w:szCs w:val="18"/>
          <w:color w:val="auto"/>
        </w:rPr>
        <w:t>PAYMENT OF EXERCISE PRICE: I have decided to pay the Exercise Price and any related taxes by (check one):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These methods are described in the Award Agreement.</w:t>
      </w:r>
    </w:p>
    <w:p>
      <w:pPr>
        <w:spacing w:after="0" w:line="225"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Cashless Exercise and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4546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23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Combination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4546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23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Exercise and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4546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17" w:lineRule="exact"/>
        <w:rPr>
          <w:sz w:val="20"/>
          <w:szCs w:val="20"/>
          <w:color w:val="auto"/>
        </w:rPr>
      </w:pPr>
    </w:p>
    <w:p>
      <w:pPr>
        <w:ind w:left="900" w:right="320" w:hanging="446"/>
        <w:spacing w:after="0" w:line="264" w:lineRule="auto"/>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If you select the Exercise and Hold method of exercise, you must also follow the procedures described in the Award Agreement to pay the Exercise Price and the taxes related to this exercise. You should contact [Third Party Administrator] at the address given below to find out the amount of the taxes due.</w:t>
      </w:r>
    </w:p>
    <w:p>
      <w:pPr>
        <w:spacing w:after="0" w:line="86" w:lineRule="exact"/>
        <w:rPr>
          <w:rFonts w:ascii="Arial" w:cs="Arial" w:eastAsia="Arial" w:hAnsi="Arial"/>
          <w:sz w:val="18"/>
          <w:szCs w:val="18"/>
          <w:b w:val="1"/>
          <w:bCs w:val="1"/>
          <w:color w:val="auto"/>
        </w:rPr>
      </w:pPr>
    </w:p>
    <w:p>
      <w:pPr>
        <w:ind w:left="900" w:hanging="446"/>
        <w:spacing w:after="0"/>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If you select either the Cashless Exercise and Sell or the Combination Exercise methods of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59" w:name="page60"/>
    <w:bookmarkEnd w:id="59"/>
    <w:p>
      <w:pPr>
        <w:spacing w:after="0" w:line="277" w:lineRule="auto"/>
        <w:rPr>
          <w:sz w:val="20"/>
          <w:szCs w:val="20"/>
          <w:color w:val="auto"/>
        </w:rPr>
      </w:pPr>
      <w:r>
        <w:rPr>
          <w:rFonts w:ascii="Arial" w:cs="Arial" w:eastAsia="Arial" w:hAnsi="Arial"/>
          <w:sz w:val="18"/>
          <w:szCs w:val="18"/>
          <w:color w:val="auto"/>
        </w:rPr>
        <w:t>paying the Exercise Price, you should contact [Third Party Administrator] at the address given below to be sure you understand how your choice of payment will affect the number of common shares of the Company you will receive.</w:t>
      </w:r>
    </w:p>
    <w:p>
      <w:pPr>
        <w:spacing w:after="0" w:line="14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20"/>
          </w:cols>
          <w:pgMar w:left="1140" w:top="1044" w:right="339" w:bottom="1440" w:gutter="0" w:footer="0" w:header="0"/>
        </w:sectPr>
      </w:pPr>
    </w:p>
    <w:bookmarkStart w:id="60" w:name="page61"/>
    <w:bookmarkEnd w:id="60"/>
    <w:p>
      <w:pPr>
        <w:ind w:left="3260"/>
        <w:spacing w:after="0"/>
        <w:rPr>
          <w:sz w:val="20"/>
          <w:szCs w:val="20"/>
          <w:color w:val="auto"/>
        </w:rPr>
      </w:pPr>
      <w:r>
        <w:rPr>
          <w:rFonts w:ascii="Arial" w:cs="Arial" w:eastAsia="Arial" w:hAnsi="Arial"/>
          <w:sz w:val="18"/>
          <w:szCs w:val="18"/>
          <w:b w:val="1"/>
          <w:bCs w:val="1"/>
          <w:color w:val="auto"/>
        </w:rPr>
        <w:t>YOUR ACKNOWLEDGEMENT OF EFFECT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900" w:hanging="446"/>
        <w:spacing w:after="0" w:line="277" w:lineRule="auto"/>
        <w:tabs>
          <w:tab w:leader="none" w:pos="9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I fully understand the effect (including the investment effect) of exercising my NSOs and buying common shares of the Company and understand that there is no guarantee that the value of these common shares will appreciate or will not depreciate;</w:t>
      </w:r>
    </w:p>
    <w:p>
      <w:pPr>
        <w:spacing w:after="0" w:line="75" w:lineRule="exact"/>
        <w:rPr>
          <w:rFonts w:ascii="Arial" w:cs="Arial" w:eastAsia="Arial" w:hAnsi="Arial"/>
          <w:sz w:val="18"/>
          <w:szCs w:val="18"/>
          <w:b w:val="1"/>
          <w:bCs w:val="1"/>
          <w:color w:val="auto"/>
        </w:rPr>
      </w:pPr>
    </w:p>
    <w:p>
      <w:pPr>
        <w:ind w:left="900" w:right="60" w:hanging="446"/>
        <w:spacing w:after="0" w:line="277" w:lineRule="auto"/>
        <w:tabs>
          <w:tab w:leader="none" w:pos="9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This Exercise Notice will have no effect if it is not returned to [Third Party Administrator] at the address given below before the Expiration Date specified in the Award Agreement under which these NSOs were granted; and</w:t>
      </w:r>
    </w:p>
    <w:p>
      <w:pPr>
        <w:spacing w:after="0" w:line="75" w:lineRule="exact"/>
        <w:rPr>
          <w:rFonts w:ascii="Arial" w:cs="Arial" w:eastAsia="Arial" w:hAnsi="Arial"/>
          <w:sz w:val="18"/>
          <w:szCs w:val="18"/>
          <w:b w:val="1"/>
          <w:bCs w:val="1"/>
          <w:color w:val="auto"/>
        </w:rPr>
      </w:pPr>
    </w:p>
    <w:p>
      <w:pPr>
        <w:ind w:left="900" w:right="1060" w:hanging="446"/>
        <w:spacing w:after="0" w:line="277" w:lineRule="auto"/>
        <w:tabs>
          <w:tab w:leader="none" w:pos="9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common shares of the Company I am buying by completing and returning this Exercise Notice will be issued to me as soon as administratively practicable.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7903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14605</wp:posOffset>
            </wp:positionV>
            <wp:extent cx="31045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Nonqualified Stock Option Exercise Notice must be sent to the following address no later than the Expiration Date: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[Contact’s Address]</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[TPA Telephone Number]</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6" w:right="279" w:bottom="1440" w:gutter="0" w:footer="0" w:header="0"/>
        </w:sectPr>
      </w:pPr>
    </w:p>
    <w:bookmarkStart w:id="61" w:name="page62"/>
    <w:bookmarkEnd w:id="61"/>
    <w:p>
      <w:pPr>
        <w:ind w:left="4140"/>
        <w:spacing w:after="0"/>
        <w:rPr>
          <w:sz w:val="20"/>
          <w:szCs w:val="20"/>
          <w:color w:val="auto"/>
        </w:rPr>
      </w:pPr>
      <w:r>
        <w:rPr>
          <w:rFonts w:ascii="Arial" w:cs="Arial" w:eastAsia="Arial" w:hAnsi="Arial"/>
          <w:sz w:val="18"/>
          <w:szCs w:val="18"/>
          <w:b w:val="1"/>
          <w:bCs w:val="1"/>
          <w:color w:val="auto"/>
        </w:rPr>
        <w:t>ACKNOWLEDGEMENT OF RECEIPT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Nonqualified Stock Option Exercise Notice was received on:</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1430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Has effectively exercised the NSOs described in this Notice;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22225</wp:posOffset>
            </wp:positionV>
            <wp:extent cx="8318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44"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Has not effectively exercised the NSOs described in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29210</wp:posOffset>
            </wp:positionV>
            <wp:extent cx="8318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14605</wp:posOffset>
            </wp:positionV>
            <wp:extent cx="33191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6" w:lineRule="exact"/>
        <w:rPr>
          <w:sz w:val="20"/>
          <w:szCs w:val="20"/>
          <w:color w:val="auto"/>
        </w:rPr>
      </w:pPr>
    </w:p>
    <w:p>
      <w:pPr>
        <w:ind w:left="3480"/>
        <w:spacing w:after="0"/>
        <w:rPr>
          <w:sz w:val="20"/>
          <w:szCs w:val="20"/>
          <w:color w:val="auto"/>
        </w:rPr>
      </w:pPr>
      <w:r>
        <w:rPr>
          <w:rFonts w:ascii="Arial" w:cs="Arial" w:eastAsia="Arial" w:hAnsi="Arial"/>
          <w:sz w:val="18"/>
          <w:szCs w:val="18"/>
          <w:i w:val="1"/>
          <w:iCs w:val="1"/>
          <w:color w:val="auto"/>
        </w:rPr>
        <w:t>describe deficiency</w:t>
      </w:r>
    </w:p>
    <w:p>
      <w:pPr>
        <w:spacing w:after="0" w:line="225" w:lineRule="exact"/>
        <w:rPr>
          <w:sz w:val="20"/>
          <w:szCs w:val="20"/>
          <w:color w:val="auto"/>
        </w:rPr>
      </w:pPr>
    </w:p>
    <w:p>
      <w:pPr>
        <w:ind w:right="4559"/>
        <w:spacing w:after="0" w:line="516" w:lineRule="auto"/>
        <w:rPr>
          <w:sz w:val="20"/>
          <w:szCs w:val="20"/>
          <w:color w:val="auto"/>
        </w:rPr>
      </w:pPr>
      <w:r>
        <w:rPr>
          <w:rFonts w:ascii="Arial" w:cs="Arial" w:eastAsia="Arial" w:hAnsi="Arial"/>
          <w:sz w:val="18"/>
          <w:szCs w:val="18"/>
          <w:color w:val="auto"/>
        </w:rPr>
        <w:t>The Scotts Miracle-Gro Company 2006 Long-Term Incentive Plan Committee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-143510</wp:posOffset>
            </wp:positionV>
            <wp:extent cx="30956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0956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Note: Keep a copy of this Exercise Notice as part of the Plan’s permanent records.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9" w:right="1440"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Description of Your Restricted Stock</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You have been awarded [Number Granted] shares of Restricted Stock. </w:t>
      </w:r>
      <w:r>
        <w:rPr>
          <w:rFonts w:ascii="Arial" w:cs="Arial" w:eastAsia="Arial" w:hAnsi="Arial"/>
          <w:sz w:val="18"/>
          <w:szCs w:val="18"/>
          <w:color w:val="auto"/>
        </w:rPr>
        <w:t>If you satisfy the conditions described in this Award Agreement, the Plan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the restrictions imposed on your Restricted Stock will be removed and you will own the underlying common shares. You also must arrange to pay any taxes due on settlement.</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When Your Restricted Stock Will Be Settled</w:t>
      </w:r>
    </w:p>
    <w:p>
      <w:pPr>
        <w:spacing w:after="0" w:line="12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Normally, on [Vesting Date], the Committee (as defined in the Plan) will ascertain if you have satisfied the conditions imposed on your Restricted Stock. If you have not, your Restricted Stock will be forfeited. If you have, as soon as administratively practicable after [Vesting Date], these common shares will be distributed to you, free of any restrictions. Your Restricted Stock will be held in escrow until it is settled or forfeited.</w:t>
      </w:r>
    </w:p>
    <w:p>
      <w:pPr>
        <w:spacing w:after="0" w:line="57"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The restrictions imposed on your Restricted Stock normally will be met if you are actively engaged to perform services for the Company or any Affiliate or Subsidiary (as defined in the Plan) on [Vesting Date] and all other conditions described in this Award Agreement, the Plan and the Prospectus are met.</w:t>
      </w:r>
    </w:p>
    <w:p>
      <w:pPr>
        <w:spacing w:after="0" w:line="22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Tax Treatment of Your Restricted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federal income tax treatment of your Restricted Stock is discussed in the Plan’s Prospectus.</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Forfeit Your Restricted Stock If Your Engagement For Service Ends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Normally, your Restricted Stock will be settled on [Vesting Date]. However, the unvested portion of your Restricted Stock will be forfeited if your service terminates before [Vesting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Restricted Stock if You Engage in Conduct That is Harmful to the Company (or any Affiliate or Subsidiary)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You also will forfeit any outstanding Restricted Stock and must return to the Company all common shares and other amounts you have received through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if, without our consent, you do any of the following within 180 days before and 730 days after terminating your engagement for services:</w:t>
      </w:r>
    </w:p>
    <w:p>
      <w:pPr>
        <w:spacing w:after="0" w:line="103" w:lineRule="exact"/>
        <w:rPr>
          <w:sz w:val="20"/>
          <w:szCs w:val="20"/>
          <w:color w:val="auto"/>
        </w:rPr>
      </w:pPr>
    </w:p>
    <w:p>
      <w:pPr>
        <w:jc w:val="both"/>
        <w:ind w:left="360" w:right="80" w:hanging="10"/>
        <w:spacing w:after="0" w:line="276" w:lineRule="auto"/>
        <w:tabs>
          <w:tab w:leader="none" w:pos="605" w:val="left"/>
        </w:tabs>
        <w:numPr>
          <w:ilvl w:val="0"/>
          <w:numId w:val="35"/>
        </w:numPr>
        <w:rPr>
          <w:rFonts w:ascii="Arial" w:cs="Arial" w:eastAsia="Arial" w:hAnsi="Arial"/>
          <w:sz w:val="17"/>
          <w:szCs w:val="17"/>
          <w:color w:val="auto"/>
        </w:rPr>
      </w:pPr>
      <w:r>
        <w:rPr>
          <w:rFonts w:ascii="Arial" w:cs="Arial" w:eastAsia="Arial" w:hAnsi="Arial"/>
          <w:sz w:val="17"/>
          <w:szCs w:val="17"/>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 Subsidiary’s) business with which you have been involved any time within five years before termination of your engagement for service or render any service (including, without limitation, advertising or business consulting) to entities that compete with any portion of the Company’s (or any Affiliate’s or Subsidiary’s) business with which you have been involved any time within five years before termination of your engagement for service;</w:t>
      </w:r>
    </w:p>
    <w:p>
      <w:pPr>
        <w:spacing w:after="0" w:line="64" w:lineRule="exact"/>
        <w:rPr>
          <w:rFonts w:ascii="Arial" w:cs="Arial" w:eastAsia="Arial" w:hAnsi="Arial"/>
          <w:sz w:val="17"/>
          <w:szCs w:val="17"/>
          <w:color w:val="auto"/>
        </w:rPr>
      </w:pPr>
    </w:p>
    <w:p>
      <w:pPr>
        <w:ind w:left="360" w:right="240" w:hanging="10"/>
        <w:spacing w:after="0" w:line="277" w:lineRule="auto"/>
        <w:tabs>
          <w:tab w:leader="none" w:pos="6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63" w:name="page64"/>
    <w:bookmarkEnd w:id="63"/>
    <w:p>
      <w:pPr>
        <w:ind w:left="360" w:right="320" w:hanging="10"/>
        <w:spacing w:after="0" w:line="277" w:lineRule="auto"/>
        <w:tabs>
          <w:tab w:leader="none" w:pos="6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 including but not limited to a breach of the terms and conditions of your engagement with the Company;</w:t>
      </w:r>
    </w:p>
    <w:p>
      <w:pPr>
        <w:spacing w:after="0" w:line="62" w:lineRule="exact"/>
        <w:rPr>
          <w:rFonts w:ascii="Arial" w:cs="Arial" w:eastAsia="Arial" w:hAnsi="Arial"/>
          <w:sz w:val="18"/>
          <w:szCs w:val="18"/>
          <w:color w:val="auto"/>
        </w:rPr>
      </w:pPr>
    </w:p>
    <w:p>
      <w:pPr>
        <w:ind w:left="360" w:right="120" w:hanging="10"/>
        <w:spacing w:after="0" w:line="302" w:lineRule="auto"/>
        <w:tabs>
          <w:tab w:leader="none" w:pos="615"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 service provider for the Company or any Affiliate or Subsidiary concerning the names and addresses of the Company’s or any Affiliate’s or Subsidiary’s employees;</w:t>
      </w:r>
    </w:p>
    <w:p>
      <w:pPr>
        <w:spacing w:after="0" w:line="46" w:lineRule="exact"/>
        <w:rPr>
          <w:rFonts w:ascii="Arial" w:cs="Arial" w:eastAsia="Arial" w:hAnsi="Arial"/>
          <w:sz w:val="16"/>
          <w:szCs w:val="16"/>
          <w:color w:val="auto"/>
        </w:rPr>
      </w:pPr>
    </w:p>
    <w:p>
      <w:pPr>
        <w:ind w:left="360" w:right="140" w:hanging="10"/>
        <w:spacing w:after="0" w:line="257" w:lineRule="auto"/>
        <w:tabs>
          <w:tab w:leader="none" w:pos="6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360" w:right="180" w:hanging="10"/>
        <w:spacing w:after="0" w:line="259" w:lineRule="auto"/>
        <w:tabs>
          <w:tab w:leader="none" w:pos="5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engagement with the Company or any Affiliate or Subsidiary; or</w:t>
      </w:r>
    </w:p>
    <w:p>
      <w:pPr>
        <w:spacing w:after="0" w:line="78" w:lineRule="exact"/>
        <w:rPr>
          <w:rFonts w:ascii="Arial" w:cs="Arial" w:eastAsia="Arial" w:hAnsi="Arial"/>
          <w:sz w:val="18"/>
          <w:szCs w:val="18"/>
          <w:color w:val="auto"/>
        </w:rPr>
      </w:pPr>
    </w:p>
    <w:p>
      <w:pPr>
        <w:ind w:left="360" w:right="60" w:hanging="10"/>
        <w:spacing w:after="0" w:line="277" w:lineRule="auto"/>
        <w:tabs>
          <w:tab w:leader="none" w:pos="6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engaged in conduct that the Committee reasonably concludes would have given rise to a termination of your engagement for “cause” (as defined in the Plan) had it been discovered before you terminated service for the Company or any Affiliate or Subsidiary.</w:t>
      </w:r>
    </w:p>
    <w:p>
      <w:pPr>
        <w:spacing w:after="0" w:line="58"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 xml:space="preserve">Your Restricted Stock May Vest Earlier Than Described Above. </w:t>
      </w:r>
      <w:r>
        <w:rPr>
          <w:rFonts w:ascii="Arial" w:cs="Arial" w:eastAsia="Arial" w:hAnsi="Arial"/>
          <w:sz w:val="18"/>
          <w:szCs w:val="18"/>
          <w:color w:val="auto"/>
        </w:rPr>
        <w:t>Normally, your Restricted Stock will vest only in the circumstances described above.</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if there is a “Change in Control” (as defined in the Plan), your Restricted Stock may vest earlier. You should read the Plan and the Prospectus carefully to ensure that you understand how this may happen.</w:t>
      </w:r>
    </w:p>
    <w:p>
      <w:pPr>
        <w:spacing w:after="0" w:line="68"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Rights Before Your Restricted Stock Vests: </w:t>
      </w:r>
      <w:r>
        <w:rPr>
          <w:rFonts w:ascii="Arial" w:cs="Arial" w:eastAsia="Arial" w:hAnsi="Arial"/>
          <w:sz w:val="16"/>
          <w:szCs w:val="16"/>
          <w:color w:val="auto"/>
        </w:rPr>
        <w:t>Even though your Restricted Stock is held in escrow until it is settled or forfeited, you may exercise any voting</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associated with the common shares underlying your Restricted Stock while it is held in escrow. You also will be entitled to receive any dividends paid on these common shares during this period, although these dividends also will be held in escrow until the Restricted Stock is settled and distributed to you (or forfeited) depending on whether or not you have met the conditions described in this Award Agreement and in the Plan and the Prospectus.</w:t>
      </w:r>
    </w:p>
    <w:p>
      <w:pPr>
        <w:spacing w:after="0" w:line="4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You may name a beneficiary or beneficiaries to receive any Restricted Stock that is settled after you die. This may be done only on</w:t>
      </w:r>
      <w:r>
        <w:rPr>
          <w:rFonts w:ascii="Arial" w:cs="Arial" w:eastAsia="Arial" w:hAnsi="Arial"/>
          <w:sz w:val="17"/>
          <w:szCs w:val="17"/>
          <w:b w:val="1"/>
          <w:bCs w:val="1"/>
          <w:color w:val="auto"/>
        </w:rPr>
        <w:t xml:space="preserve"> </w:t>
      </w:r>
      <w:r>
        <w:rPr>
          <w:rFonts w:ascii="Arial" w:cs="Arial" w:eastAsia="Arial" w:hAnsi="Arial"/>
          <w:sz w:val="17"/>
          <w:szCs w:val="17"/>
          <w:color w:val="auto"/>
        </w:rPr>
        <w:t>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4" w:name="page65"/>
    <w:bookmarkEnd w:id="64"/>
    <w:p>
      <w:pPr>
        <w:spacing w:after="0" w:line="261" w:lineRule="auto"/>
        <w:rPr>
          <w:sz w:val="20"/>
          <w:szCs w:val="20"/>
          <w:color w:val="auto"/>
        </w:rPr>
      </w:pPr>
      <w:r>
        <w:rPr>
          <w:rFonts w:ascii="Arial" w:cs="Arial" w:eastAsia="Arial" w:hAnsi="Arial"/>
          <w:sz w:val="18"/>
          <w:szCs w:val="18"/>
          <w:b w:val="1"/>
          <w:bCs w:val="1"/>
          <w:color w:val="auto"/>
        </w:rPr>
        <w:t xml:space="preserve">Transferring Your Restricted Stock: </w:t>
      </w:r>
      <w:r>
        <w:rPr>
          <w:rFonts w:ascii="Arial" w:cs="Arial" w:eastAsia="Arial" w:hAnsi="Arial"/>
          <w:sz w:val="18"/>
          <w:szCs w:val="18"/>
          <w:color w:val="auto"/>
        </w:rPr>
        <w:t>Normally your Restricted Stock may not be transferred to another person. However, you may complete a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Form to name the person to receive any Restricted Stock that is settled after you die. Also, the Committee may allow you to place your Restricted Stock into a trust established for your benefit or the benefit of your family. Contact [Third Party Administrator] at [TPA Telephone Number] or the address given below if you are interested in doing this.</w:t>
      </w:r>
    </w:p>
    <w:p>
      <w:pPr>
        <w:spacing w:after="0" w:line="7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will be construed in accordance with and governed by the laws of the United States and of the State of Ohio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laws governing conflicts of laws).</w:t>
      </w:r>
    </w:p>
    <w:p>
      <w:pPr>
        <w:spacing w:after="0" w:line="54"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b w:val="1"/>
          <w:bCs w:val="1"/>
          <w:color w:val="auto"/>
        </w:rPr>
        <w:t xml:space="preserve">Other Agreements: </w:t>
      </w:r>
      <w:r>
        <w:rPr>
          <w:rFonts w:ascii="Arial" w:cs="Arial" w:eastAsia="Arial" w:hAnsi="Arial"/>
          <w:sz w:val="16"/>
          <w:szCs w:val="16"/>
          <w:color w:val="auto"/>
        </w:rPr>
        <w:t>Also, your Restricted Stock will be subject to the terms of any other written agreements between you and the Company or any Affiliate</w:t>
      </w:r>
      <w:r>
        <w:rPr>
          <w:rFonts w:ascii="Arial" w:cs="Arial" w:eastAsia="Arial" w:hAnsi="Arial"/>
          <w:sz w:val="16"/>
          <w:szCs w:val="16"/>
          <w:b w:val="1"/>
          <w:bCs w:val="1"/>
          <w:color w:val="auto"/>
        </w:rPr>
        <w:t xml:space="preserve"> </w:t>
      </w:r>
      <w:r>
        <w:rPr>
          <w:rFonts w:ascii="Arial" w:cs="Arial" w:eastAsia="Arial" w:hAnsi="Arial"/>
          <w:sz w:val="16"/>
          <w:szCs w:val="16"/>
          <w:color w:val="auto"/>
        </w:rPr>
        <w:t>or Subsidiary to the extent that those other agreements do not directly conflict with the terms of the Plan or this Award Agreement. However, the parties hereby agree and acknowledge that the terms of this Award Agreement and the Plan regarding Noncompetition, Nonsolicitation and/or Confidentiality are intended to supplement and not conflict with any written agreement that they may have or that they may enter regarding the same matters.</w:t>
      </w:r>
    </w:p>
    <w:p>
      <w:pPr>
        <w:spacing w:after="0" w:line="4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Adjustments to Your Restricted Stock: </w:t>
      </w:r>
      <w:r>
        <w:rPr>
          <w:rFonts w:ascii="Arial" w:cs="Arial" w:eastAsia="Arial" w:hAnsi="Arial"/>
          <w:sz w:val="18"/>
          <w:szCs w:val="18"/>
          <w:color w:val="auto"/>
        </w:rPr>
        <w:t>Your Restricted Stock will be adjusted, if appropriate, to reflect any change to the Company’s capital structure (e.g.,</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common shares underlying your Restricted Stock will be adjusted to reflect a stock split).</w:t>
      </w:r>
    </w:p>
    <w:p>
      <w:pPr>
        <w:spacing w:after="0" w:line="54"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Your Status as an Independent Contractor: </w:t>
      </w:r>
      <w:r>
        <w:rPr>
          <w:rFonts w:ascii="Arial" w:cs="Arial" w:eastAsia="Arial" w:hAnsi="Arial"/>
          <w:sz w:val="18"/>
          <w:szCs w:val="18"/>
          <w:color w:val="auto"/>
        </w:rPr>
        <w:t>This Award Agreement is not intended by either party to alter your status as an independent contractor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you acknowledge and agree that this Award Agreement shall in no way be interpreted as entitling you to any of the employee benefits offered by the Company to its employees.</w:t>
      </w:r>
    </w:p>
    <w:p>
      <w:pPr>
        <w:spacing w:after="0" w:line="68"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 xml:space="preserve">Other Rules: </w:t>
      </w:r>
      <w:r>
        <w:rPr>
          <w:rFonts w:ascii="Arial" w:cs="Arial" w:eastAsia="Arial" w:hAnsi="Arial"/>
          <w:sz w:val="17"/>
          <w:szCs w:val="17"/>
          <w:color w:val="auto"/>
        </w:rPr>
        <w:t>Your Restricted Stock also is subject to more rules described in the Plan and in the Plan’s Prospectus. You should read both of these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carefully to ensure you fully understand all the terms and conditions of the grant of Restricted Stock under this Award Agreement.</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You may contact [Third Party Administrator] at [TPA Telephone Number] or at the address given below if you have any questions about your Award or this Award Agreement.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5" w:name="page66"/>
    <w:bookmarkEnd w:id="65"/>
    <w:p>
      <w:pPr>
        <w:jc w:val="center"/>
        <w:ind w:right="-99"/>
        <w:spacing w:after="0"/>
        <w:rPr>
          <w:sz w:val="20"/>
          <w:szCs w:val="20"/>
          <w:color w:val="auto"/>
        </w:rPr>
      </w:pPr>
      <w:r>
        <w:rPr>
          <w:rFonts w:ascii="Arial" w:cs="Arial" w:eastAsia="Arial" w:hAnsi="Arial"/>
          <w:sz w:val="18"/>
          <w:szCs w:val="18"/>
          <w:b w:val="1"/>
          <w:bCs w:val="1"/>
          <w:color w:val="auto"/>
        </w:rPr>
        <w:t>Your Acknowledgement of Award Conditions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Note: You must sign and return a copy of this Award Agreement to [Third Party Administrator] at the address given below no later than [30 Days Post Grant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I understand and accept the conditions placed on my Restricted Stock and understand what I must do to earn my Restricted Stock;</w:t>
      </w:r>
    </w:p>
    <w:p>
      <w:pPr>
        <w:spacing w:after="0" w:line="130" w:lineRule="exact"/>
        <w:rPr>
          <w:rFonts w:ascii="Arial" w:cs="Arial" w:eastAsia="Arial" w:hAnsi="Arial"/>
          <w:sz w:val="18"/>
          <w:szCs w:val="18"/>
          <w:b w:val="1"/>
          <w:bCs w:val="1"/>
          <w:color w:val="auto"/>
        </w:rPr>
      </w:pPr>
    </w:p>
    <w:p>
      <w:pPr>
        <w:ind w:left="900" w:right="120" w:hanging="446"/>
        <w:spacing w:after="0" w:line="277" w:lineRule="auto"/>
        <w:tabs>
          <w:tab w:leader="none" w:pos="90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I understand that my Award and the terms and conditions of my Award do not alter my status as an independent contractor of the Company and do not entitle me to any employee benefits that the Company may offer its employees;</w:t>
      </w:r>
    </w:p>
    <w:p>
      <w:pPr>
        <w:spacing w:after="0" w:line="75" w:lineRule="exact"/>
        <w:rPr>
          <w:rFonts w:ascii="Arial" w:cs="Arial" w:eastAsia="Arial" w:hAnsi="Arial"/>
          <w:sz w:val="18"/>
          <w:szCs w:val="18"/>
          <w:b w:val="1"/>
          <w:bCs w:val="1"/>
          <w:color w:val="auto"/>
        </w:rPr>
      </w:pPr>
    </w:p>
    <w:p>
      <w:pPr>
        <w:ind w:left="900" w:right="280" w:hanging="446"/>
        <w:spacing w:after="0" w:line="286" w:lineRule="auto"/>
        <w:tabs>
          <w:tab w:leader="none" w:pos="900" w:val="left"/>
        </w:tabs>
        <w:numPr>
          <w:ilvl w:val="0"/>
          <w:numId w:val="37"/>
        </w:numPr>
        <w:rPr>
          <w:rFonts w:ascii="Arial" w:cs="Arial" w:eastAsia="Arial" w:hAnsi="Arial"/>
          <w:sz w:val="17"/>
          <w:szCs w:val="17"/>
          <w:b w:val="1"/>
          <w:bCs w:val="1"/>
          <w:color w:val="auto"/>
        </w:rPr>
      </w:pPr>
      <w:r>
        <w:rPr>
          <w:rFonts w:ascii="Arial" w:cs="Arial" w:eastAsia="Arial" w:hAnsi="Arial"/>
          <w:sz w:val="17"/>
          <w:szCs w:val="17"/>
          <w:color w:val="auto"/>
        </w:rPr>
        <w:t>I will consent (on my own behalf and on behalf of my beneficiaries and without any further consideration) to any necessary change to my Restricted Stock or this Award Agreement to comply with any law and to avoid paying penalties under Section 409A of the Internal Revenue Code, even if those changes affect the terms of my Restricted Stock and reduce their value or potential value; and</w:t>
      </w:r>
    </w:p>
    <w:p>
      <w:pPr>
        <w:spacing w:after="0" w:line="70" w:lineRule="exact"/>
        <w:rPr>
          <w:rFonts w:ascii="Arial" w:cs="Arial" w:eastAsia="Arial" w:hAnsi="Arial"/>
          <w:sz w:val="17"/>
          <w:szCs w:val="17"/>
          <w:b w:val="1"/>
          <w:bCs w:val="1"/>
          <w:color w:val="auto"/>
        </w:rPr>
      </w:pPr>
    </w:p>
    <w:p>
      <w:pPr>
        <w:ind w:left="900" w:right="340" w:hanging="446"/>
        <w:spacing w:after="0" w:line="277" w:lineRule="auto"/>
        <w:tabs>
          <w:tab w:leader="none" w:pos="90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If I do not return a signed copy of this Award Agreement to the address shown below on or before [30 Days Post Grant Date], my Restricted Stock will be forfeited and I will not be entitled to receive anything on account of this Award.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3"/>
          </w:tcPr>
          <w:p>
            <w:pPr>
              <w:spacing w:after="0"/>
              <w:rPr>
                <w:sz w:val="20"/>
                <w:szCs w:val="20"/>
                <w:color w:val="auto"/>
              </w:rPr>
            </w:pPr>
            <w:r>
              <w:rPr>
                <w:rFonts w:ascii="Arial" w:cs="Arial" w:eastAsia="Arial" w:hAnsi="Arial"/>
                <w:sz w:val="18"/>
                <w:szCs w:val="18"/>
                <w:color w:val="auto"/>
              </w:rPr>
              <w:t>[Grantee’s Name]</w:t>
            </w:r>
          </w:p>
        </w:tc>
        <w:tc>
          <w:tcPr>
            <w:tcW w:w="5600" w:type="dxa"/>
            <w:vAlign w:val="bottom"/>
            <w:gridSpan w:val="4"/>
          </w:tcPr>
          <w:p>
            <w:pPr>
              <w:ind w:left="24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4"/>
                <w:szCs w:val="24"/>
                <w:color w:val="auto"/>
              </w:rPr>
            </w:pPr>
          </w:p>
        </w:tc>
        <w:tc>
          <w:tcPr>
            <w:tcW w:w="580" w:type="dxa"/>
            <w:vAlign w:val="bottom"/>
          </w:tcPr>
          <w:p>
            <w:pPr>
              <w:ind w:left="2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3"/>
          </w:tcPr>
          <w:p>
            <w:pPr>
              <w:spacing w:after="0"/>
              <w:rPr>
                <w:sz w:val="24"/>
                <w:szCs w:val="24"/>
                <w:color w:val="auto"/>
              </w:rPr>
            </w:pPr>
          </w:p>
        </w:tc>
      </w:tr>
      <w:tr>
        <w:trPr>
          <w:trHeight w:val="439"/>
        </w:trPr>
        <w:tc>
          <w:tcPr>
            <w:tcW w:w="1160" w:type="dxa"/>
            <w:vAlign w:val="bottom"/>
            <w:gridSpan w:val="2"/>
          </w:tcPr>
          <w:p>
            <w:pPr>
              <w:spacing w:after="0"/>
              <w:rPr>
                <w:sz w:val="20"/>
                <w:szCs w:val="20"/>
                <w:color w:val="auto"/>
              </w:rPr>
            </w:pPr>
            <w:r>
              <w:rPr>
                <w:rFonts w:ascii="Arial" w:cs="Arial" w:eastAsia="Arial" w:hAnsi="Arial"/>
                <w:sz w:val="18"/>
                <w:szCs w:val="18"/>
                <w:color w:val="auto"/>
              </w:rPr>
              <w:t>Date signed:</w:t>
            </w:r>
          </w:p>
        </w:tc>
        <w:tc>
          <w:tcPr>
            <w:tcW w:w="4220" w:type="dxa"/>
            <w:vAlign w:val="bottom"/>
            <w:tcBorders>
              <w:bottom w:val="single" w:sz="8" w:color="auto"/>
            </w:tcBorders>
          </w:tcPr>
          <w:p>
            <w:pPr>
              <w:spacing w:after="0"/>
              <w:rPr>
                <w:sz w:val="24"/>
                <w:szCs w:val="24"/>
                <w:color w:val="auto"/>
              </w:rPr>
            </w:pPr>
          </w:p>
        </w:tc>
        <w:tc>
          <w:tcPr>
            <w:tcW w:w="820" w:type="dxa"/>
            <w:vAlign w:val="bottom"/>
            <w:gridSpan w:val="3"/>
          </w:tcPr>
          <w:p>
            <w:pPr>
              <w:ind w:left="24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4"/>
                <w:szCs w:val="24"/>
                <w:color w:val="auto"/>
              </w:rPr>
            </w:pPr>
          </w:p>
        </w:tc>
      </w:tr>
      <w:tr>
        <w:trPr>
          <w:trHeight w:val="439"/>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gridSpan w:val="2"/>
          </w:tcPr>
          <w:p>
            <w:pPr>
              <w:spacing w:after="0"/>
              <w:rPr>
                <w:sz w:val="24"/>
                <w:szCs w:val="24"/>
                <w:color w:val="auto"/>
              </w:rPr>
            </w:pPr>
          </w:p>
        </w:tc>
      </w:tr>
    </w:tbl>
    <w:p>
      <w:pPr>
        <w:spacing w:after="0" w:line="2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14605</wp:posOffset>
            </wp:positionV>
            <wp:extent cx="2675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Award Agreement must be sent to the following address no later than [30 Days Post Grant Date]: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[Contact’s Address]</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[TPA Telephone Number]</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8" w:right="319" w:bottom="1440" w:gutter="0" w:footer="0" w:header="0"/>
        </w:sectPr>
      </w:pPr>
    </w:p>
    <w:bookmarkStart w:id="66" w:name="page67"/>
    <w:bookmarkEnd w:id="66"/>
    <w:p>
      <w:pPr>
        <w:jc w:val="center"/>
        <w:ind w:right="-59"/>
        <w:spacing w:after="0"/>
        <w:rPr>
          <w:sz w:val="20"/>
          <w:szCs w:val="20"/>
          <w:color w:val="auto"/>
        </w:rPr>
      </w:pPr>
      <w:r>
        <w:rPr>
          <w:rFonts w:ascii="Arial" w:cs="Arial" w:eastAsia="Arial" w:hAnsi="Arial"/>
          <w:sz w:val="18"/>
          <w:szCs w:val="18"/>
          <w:color w:val="auto"/>
        </w:rPr>
        <w:t>ELECTION UNDER SECTION 83(b)</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 THE INTERNAL REVENUE CODE OF 1986</w:t>
      </w:r>
    </w:p>
    <w:p>
      <w:pPr>
        <w:spacing w:after="0" w:line="10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undersigned taxpayer hereby elects, pursuant to Section 83(b) of the Internal Revenue Code, to include in taxpayer’s gross income for the current taxable year, the amount of any income that may be taxable to taxpayer in connection with taxpayer’s receipt of the property described below:</w:t>
      </w:r>
    </w:p>
    <w:p>
      <w:pPr>
        <w:spacing w:after="0" w:line="38"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 address, taxpayer identification number and taxable year of the undersigned are as follows:</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NAME OF TAXPAYER:   [GRANTEE’S NAME]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14605</wp:posOffset>
            </wp:positionV>
            <wp:extent cx="33020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0200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246380</wp:posOffset>
            </wp:positionV>
            <wp:extent cx="33020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0200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478155</wp:posOffset>
            </wp:positionV>
            <wp:extent cx="33020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IDENTIFICATION NUMBER OF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14605</wp:posOffset>
            </wp:positionV>
            <wp:extent cx="14147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TAXABLE YEAR: Calendar year</w:t>
      </w:r>
    </w:p>
    <w:p>
      <w:pPr>
        <w:spacing w:after="0" w:line="117"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property with respect to which the election is made is:</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[NUMBER GRANTED] common shares of The Scotts Miracle-Gro Company, an Ohio corporation (“Company”).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on which the property was transferred is: [GRANT DATE]</w:t>
      </w:r>
    </w:p>
    <w:p>
      <w:pPr>
        <w:spacing w:after="0" w:line="130" w:lineRule="exact"/>
        <w:rPr>
          <w:rFonts w:ascii="Arial" w:cs="Arial" w:eastAsia="Arial" w:hAnsi="Arial"/>
          <w:sz w:val="18"/>
          <w:szCs w:val="18"/>
          <w:color w:val="auto"/>
        </w:rPr>
      </w:pPr>
    </w:p>
    <w:p>
      <w:pPr>
        <w:ind w:left="460" w:right="7160" w:hanging="452"/>
        <w:spacing w:after="0" w:line="391"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property is subject to the following restrictions: Forfeiture of:</w:t>
      </w:r>
    </w:p>
    <w:p>
      <w:pPr>
        <w:ind w:left="460"/>
        <w:spacing w:after="0"/>
        <w:rPr>
          <w:rFonts w:ascii="Arial" w:cs="Arial" w:eastAsia="Arial" w:hAnsi="Arial"/>
          <w:sz w:val="18"/>
          <w:szCs w:val="18"/>
          <w:color w:val="auto"/>
        </w:rPr>
      </w:pPr>
      <w:r>
        <w:rPr>
          <w:rFonts w:ascii="Arial" w:cs="Arial" w:eastAsia="Arial" w:hAnsi="Arial"/>
          <w:sz w:val="18"/>
          <w:szCs w:val="18"/>
          <w:color w:val="auto"/>
        </w:rPr>
        <w:t>[NUMBER GRANTED] common shares in favor of the Company if your engagement for service terminates before [Vesting Date].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fair market value at the time of transfer, determined without regard to any restriction other than a restriction which by its terms will never lapse, of</w:t>
      </w:r>
    </w:p>
    <w:p>
      <w:pPr>
        <w:spacing w:after="0" w:line="46" w:lineRule="exact"/>
        <w:rPr>
          <w:sz w:val="20"/>
          <w:szCs w:val="20"/>
          <w:color w:val="auto"/>
        </w:rPr>
      </w:pPr>
    </w:p>
    <w:p>
      <w:pPr>
        <w:ind w:left="460"/>
        <w:spacing w:after="0"/>
        <w:tabs>
          <w:tab w:leader="none" w:pos="2660" w:val="left"/>
        </w:tabs>
        <w:rPr>
          <w:sz w:val="20"/>
          <w:szCs w:val="20"/>
          <w:color w:val="auto"/>
        </w:rPr>
      </w:pPr>
      <w:r>
        <w:rPr>
          <w:rFonts w:ascii="Arial" w:cs="Arial" w:eastAsia="Arial" w:hAnsi="Arial"/>
          <w:sz w:val="18"/>
          <w:szCs w:val="18"/>
          <w:color w:val="auto"/>
        </w:rPr>
        <w:t>such property is: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1135380</wp:posOffset>
            </wp:positionH>
            <wp:positionV relativeFrom="paragraph">
              <wp:posOffset>-19050</wp:posOffset>
            </wp:positionV>
            <wp:extent cx="571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6"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(if any) paid for such property: $00.00</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undersigned has submitted a copy of this statement to [Third Party Administrator]. The transferee of such property is the person performing the services in connection with the transfer of said property.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understands that the foregoing election may not be revoked except with the consent of the Commissioner of the Internal Revenue Service.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14490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14605</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[GRANTEE’S NAME]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63" w:right="29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Description of Your Cash Settled Stock Appreciation Rights</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b w:val="1"/>
          <w:bCs w:val="1"/>
          <w:i w:val="1"/>
          <w:iCs w:val="1"/>
          <w:color w:val="auto"/>
        </w:rPr>
        <w:t xml:space="preserve">You have been awarded [Number Granted] Stock Appreciation Rights (or “SARs”). </w:t>
      </w:r>
      <w:r>
        <w:rPr>
          <w:rFonts w:ascii="Arial" w:cs="Arial" w:eastAsia="Arial" w:hAnsi="Arial"/>
          <w:sz w:val="18"/>
          <w:szCs w:val="18"/>
          <w:color w:val="auto"/>
        </w:rPr>
        <w:t>If you satisfy the conditions described in this Award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and the Prospectus, you may exercise your SARs on or before [Expiration Date] (“Expiration Date”). If you do this, you will receive cash equal to the fair market value of one common share of the Company on the exercise date minus $[Price] (“Exercise Price”), multiplied by the number of SARs you are exercising and minus any related taxes. You also must arrange to pay any taxes due on exercise using one of the procedures described later in this Award Agreement.</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Limits on Exercising Your SARs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Normally, your SARs will vest (and become exercisable) on [Vesting Date] but only if you are actively engaged to perform services for the Company or any Subsidiary or Affiliate (as defined in the Plan) on [Vesting Date] and all other conditions described in this Award Agreement, the Plan and the Prospectus are met.</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This does not mean that you must exercise your SARs on this date; this is merely the first date that you may do so. However, your SARs will expire unless they are exercised on or before the Expiration Date ([Expiration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There are some special situations in which your SARs may vest earlier. These are described later in this Award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any one time, you may not exercise fewer than 100 SARs (or, if smaller, the number of your outstanding vested SARs).</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Exercising Your SARs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After they vest, you may exercise your SARs by completing an Exercise Notice. A copy of this Exercise Notice is attached to this Award Agreement. Also, a copy of this form and a description of the procedures that you must follow to exercise your SARs, are available from [Third Party Administrator] at [TPA Telephone Number] or at the address shown below.</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When you exercise your SARs, you will receive cash equal to the fair market value of one common share of the Company on the exercise date minus $[Price] (“Exercise Price”), multiplied by the number of SARs you are exercising and minus any related taxes.</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Before exercising your SARs, you should read the “Federal Income Tax” section of the Prospectus to ensure you understand the federal income tax effect of exercising your SARs.</w:t>
      </w:r>
    </w:p>
    <w:p>
      <w:pPr>
        <w:spacing w:after="0" w:line="27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Tax Treatment of Your SARs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federal income tax treatment of your SARs is discussed in the Plan’s Prospectus.</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9" w:right="279" w:bottom="1440" w:gutter="0" w:footer="0" w:header="0"/>
        </w:sectPr>
      </w:pPr>
    </w:p>
    <w:bookmarkStart w:id="68" w:name="page69"/>
    <w:bookmarkEnd w:id="68"/>
    <w:p>
      <w:pPr>
        <w:ind w:left="4520"/>
        <w:spacing w:after="0"/>
        <w:rPr>
          <w:sz w:val="20"/>
          <w:szCs w:val="20"/>
          <w:color w:val="auto"/>
        </w:rPr>
      </w:pPr>
      <w:r>
        <w:rPr>
          <w:rFonts w:ascii="Arial" w:cs="Arial" w:eastAsia="Arial" w:hAnsi="Arial"/>
          <w:sz w:val="18"/>
          <w:szCs w:val="18"/>
          <w:b w:val="1"/>
          <w:bCs w:val="1"/>
          <w:color w:val="auto"/>
        </w:rPr>
        <w:t>General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SARs If Your Engagement For Service Ends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Normally, you may exercise your SARs after they vest and before the Expiration Date ([Expiration Date]). However, your SARs may be cancelled earlier than the Expiration Date if your engagement for service terminates before [Vesting Date].</w:t>
      </w:r>
    </w:p>
    <w:p>
      <w:pPr>
        <w:spacing w:after="0" w:line="62" w:lineRule="exact"/>
        <w:rPr>
          <w:sz w:val="20"/>
          <w:szCs w:val="20"/>
          <w:color w:val="auto"/>
        </w:rPr>
      </w:pPr>
    </w:p>
    <w:p>
      <w:pPr>
        <w:ind w:left="600" w:hanging="250"/>
        <w:spacing w:after="0"/>
        <w:tabs>
          <w:tab w:leader="none" w:pos="6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your engagement for service is terminated for “cause” (as defined in the Plan), the SARs will expire on the date your engagement for service ends;</w:t>
      </w:r>
    </w:p>
    <w:p>
      <w:pPr>
        <w:spacing w:after="0" w:line="46"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02" w:lineRule="exact"/>
        <w:rPr>
          <w:rFonts w:ascii="Arial" w:cs="Arial" w:eastAsia="Arial" w:hAnsi="Arial"/>
          <w:sz w:val="16"/>
          <w:szCs w:val="16"/>
          <w:color w:val="auto"/>
        </w:rPr>
      </w:pPr>
    </w:p>
    <w:p>
      <w:pPr>
        <w:ind w:left="360" w:right="340" w:hanging="10"/>
        <w:spacing w:after="0" w:line="277" w:lineRule="auto"/>
        <w:tabs>
          <w:tab w:leader="none" w:pos="6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your engagement for service terminates because you [i] die or [ii] become disabled (as defined in the Company’s long-term disability plan), the SARs will expire on the earlier of the Expiration Date or 12 months after you terminate; or</w:t>
      </w:r>
    </w:p>
    <w:p>
      <w:pPr>
        <w:spacing w:after="0" w:line="62" w:lineRule="exact"/>
        <w:rPr>
          <w:rFonts w:ascii="Arial" w:cs="Arial" w:eastAsia="Arial" w:hAnsi="Arial"/>
          <w:sz w:val="18"/>
          <w:szCs w:val="18"/>
          <w:color w:val="auto"/>
        </w:rPr>
      </w:pPr>
    </w:p>
    <w:p>
      <w:pPr>
        <w:ind w:left="360" w:right="140" w:hanging="10"/>
        <w:spacing w:after="0" w:line="277" w:lineRule="auto"/>
        <w:tabs>
          <w:tab w:leader="none" w:pos="6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your engagement for service terminates after reaching either [i] age 55 and completing at least 10 years of service or [ii] age 62 regardless of your years of service, the SARs will expire on the earlier of the Expiration Date or 12 months after you terminate; or</w:t>
      </w:r>
    </w:p>
    <w:p>
      <w:pPr>
        <w:spacing w:after="0" w:line="62" w:lineRule="exact"/>
        <w:rPr>
          <w:rFonts w:ascii="Arial" w:cs="Arial" w:eastAsia="Arial" w:hAnsi="Arial"/>
          <w:sz w:val="18"/>
          <w:szCs w:val="18"/>
          <w:color w:val="auto"/>
        </w:rPr>
      </w:pPr>
    </w:p>
    <w:p>
      <w:pPr>
        <w:ind w:left="360" w:right="480" w:hanging="10"/>
        <w:spacing w:after="0" w:line="277" w:lineRule="auto"/>
        <w:tabs>
          <w:tab w:leader="none" w:pos="6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your engagement for service terminates for any other reason, your SARs will expire on the earlier of the Expiration Date or 90 days after you terminate.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it is your responsibility to keep track of when your SARs expire.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SARs if You Engage in Conduct That is Harmful to the Company (or any Affiliate or Subsidiary)</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You also will forfeit any outstanding SARs and must return to the Company all amounts you have received through the Plan if, without our consent, you do any of the following within 180 days before and 730 days after your engagement for service terminates:</w:t>
      </w:r>
    </w:p>
    <w:p>
      <w:pPr>
        <w:spacing w:after="0" w:line="62" w:lineRule="exact"/>
        <w:rPr>
          <w:sz w:val="20"/>
          <w:szCs w:val="20"/>
          <w:color w:val="auto"/>
        </w:rPr>
      </w:pPr>
    </w:p>
    <w:p>
      <w:pPr>
        <w:ind w:left="360" w:right="160" w:hanging="10"/>
        <w:spacing w:after="0" w:line="297" w:lineRule="auto"/>
        <w:tabs>
          <w:tab w:leader="none" w:pos="605" w:val="left"/>
        </w:tabs>
        <w:numPr>
          <w:ilvl w:val="0"/>
          <w:numId w:val="42"/>
        </w:numPr>
        <w:rPr>
          <w:rFonts w:ascii="Arial" w:cs="Arial" w:eastAsia="Arial" w:hAnsi="Arial"/>
          <w:sz w:val="16"/>
          <w:szCs w:val="16"/>
          <w:color w:val="auto"/>
        </w:rPr>
      </w:pPr>
      <w:r>
        <w:rPr>
          <w:rFonts w:ascii="Arial" w:cs="Arial" w:eastAsia="Arial" w:hAnsi="Arial"/>
          <w:sz w:val="16"/>
          <w:szCs w:val="16"/>
          <w:color w:val="auto"/>
        </w:rPr>
        <w:t>You serve (or agree to serve) as an officer, director, consultant or employee of any proprietorship, partnership, corporation or other entity or become the owner of a business or any member of a partnership that competes with any portion of the Company’s (or any Affiliate’s or Subsidiary’s) business with which you have been involved any time within five years before termination of your engagement for service or render any service (including, without limitation, advertising or business consulting) to entities that compete with any portion of the Company’s (or any Affiliate’s or Subsidiary’s) business with which you have been involved any time within five years before termination of your engagement for service;</w:t>
      </w:r>
    </w:p>
    <w:p>
      <w:pPr>
        <w:spacing w:after="0" w:line="50" w:lineRule="exact"/>
        <w:rPr>
          <w:rFonts w:ascii="Arial" w:cs="Arial" w:eastAsia="Arial" w:hAnsi="Arial"/>
          <w:sz w:val="16"/>
          <w:szCs w:val="16"/>
          <w:color w:val="auto"/>
        </w:rPr>
      </w:pPr>
    </w:p>
    <w:p>
      <w:pPr>
        <w:ind w:left="360" w:right="280" w:hanging="10"/>
        <w:spacing w:after="0" w:line="277" w:lineRule="auto"/>
        <w:tabs>
          <w:tab w:leader="none" w:pos="6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color w:val="auto"/>
        </w:rPr>
      </w:pPr>
    </w:p>
    <w:p>
      <w:pPr>
        <w:ind w:left="360" w:right="320" w:hanging="10"/>
        <w:spacing w:after="0" w:line="277" w:lineRule="auto"/>
        <w:tabs>
          <w:tab w:leader="none" w:pos="6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 including but not limited to a breach of the terms and conditions of your engagement with the Company;</w:t>
      </w:r>
    </w:p>
    <w:p>
      <w:pPr>
        <w:spacing w:after="0" w:line="62" w:lineRule="exact"/>
        <w:rPr>
          <w:rFonts w:ascii="Arial" w:cs="Arial" w:eastAsia="Arial" w:hAnsi="Arial"/>
          <w:sz w:val="18"/>
          <w:szCs w:val="18"/>
          <w:color w:val="auto"/>
        </w:rPr>
      </w:pPr>
    </w:p>
    <w:p>
      <w:pPr>
        <w:ind w:left="360" w:right="180" w:hanging="10"/>
        <w:spacing w:after="0" w:line="264" w:lineRule="auto"/>
        <w:tabs>
          <w:tab w:leader="none" w:pos="6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69" w:name="page70"/>
    <w:bookmarkEnd w:id="69"/>
    <w:p>
      <w:pPr>
        <w:ind w:left="360" w:right="180"/>
        <w:spacing w:after="0" w:line="277" w:lineRule="auto"/>
        <w:rPr>
          <w:sz w:val="20"/>
          <w:szCs w:val="20"/>
          <w:color w:val="auto"/>
        </w:rPr>
      </w:pPr>
      <w:r>
        <w:rPr>
          <w:rFonts w:ascii="Arial" w:cs="Arial" w:eastAsia="Arial" w:hAnsi="Arial"/>
          <w:sz w:val="18"/>
          <w:szCs w:val="18"/>
          <w:color w:val="auto"/>
        </w:rPr>
        <w:t>corporation or other entity any information obtained while a service provider for the Company or any Affiliate or Subsidiary concerning the names and addresses of the Company’s or any Affiliate’s or Subsidiary’s employees;</w:t>
      </w:r>
    </w:p>
    <w:p>
      <w:pPr>
        <w:spacing w:after="0" w:line="62" w:lineRule="exact"/>
        <w:rPr>
          <w:sz w:val="20"/>
          <w:szCs w:val="20"/>
          <w:color w:val="auto"/>
        </w:rPr>
      </w:pPr>
    </w:p>
    <w:p>
      <w:pPr>
        <w:ind w:left="360" w:right="140" w:hanging="10"/>
        <w:spacing w:after="0" w:line="257" w:lineRule="auto"/>
        <w:tabs>
          <w:tab w:leader="none" w:pos="6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360" w:right="180" w:hanging="10"/>
        <w:spacing w:after="0" w:line="259" w:lineRule="auto"/>
        <w:tabs>
          <w:tab w:leader="none" w:pos="585" w:val="left"/>
        </w:tabs>
        <w:numPr>
          <w:ilvl w:val="0"/>
          <w:numId w:val="43"/>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engagement with the Company or any Affiliate or Subsidiary;</w:t>
      </w:r>
    </w:p>
    <w:p>
      <w:pPr>
        <w:spacing w:after="0" w:line="78" w:lineRule="exact"/>
        <w:rPr>
          <w:rFonts w:ascii="Arial" w:cs="Arial" w:eastAsia="Arial" w:hAnsi="Arial"/>
          <w:sz w:val="18"/>
          <w:szCs w:val="18"/>
          <w:color w:val="auto"/>
        </w:rPr>
      </w:pPr>
    </w:p>
    <w:p>
      <w:pPr>
        <w:ind w:left="360" w:right="60" w:hanging="10"/>
        <w:spacing w:after="0" w:line="342" w:lineRule="auto"/>
        <w:tabs>
          <w:tab w:leader="none" w:pos="615" w:val="left"/>
        </w:tabs>
        <w:numPr>
          <w:ilvl w:val="0"/>
          <w:numId w:val="43"/>
        </w:numPr>
        <w:rPr>
          <w:rFonts w:ascii="Arial" w:cs="Arial" w:eastAsia="Arial" w:hAnsi="Arial"/>
          <w:sz w:val="16"/>
          <w:szCs w:val="16"/>
          <w:color w:val="auto"/>
        </w:rPr>
      </w:pPr>
      <w:r>
        <w:rPr>
          <w:rFonts w:ascii="Arial" w:cs="Arial" w:eastAsia="Arial" w:hAnsi="Arial"/>
          <w:sz w:val="16"/>
          <w:szCs w:val="16"/>
          <w:color w:val="auto"/>
        </w:rPr>
        <w:t>You engaged in conduct that the Committee (as defined in the Plan) reasonably concludes would have given rise to a termination of your engagement for cause (as defined in the Plan) had it been discovered before you terminated service for the Company or any Affiliate or Subsidiary.</w:t>
      </w:r>
    </w:p>
    <w:p>
      <w:pPr>
        <w:spacing w:after="0" w:line="1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Your SARs May Vest Earlier Than Described Above. </w:t>
      </w:r>
      <w:r>
        <w:rPr>
          <w:rFonts w:ascii="Arial" w:cs="Arial" w:eastAsia="Arial" w:hAnsi="Arial"/>
          <w:sz w:val="18"/>
          <w:szCs w:val="18"/>
          <w:color w:val="auto"/>
        </w:rPr>
        <w:t>Normally, your SARs will vest only in the circumstances described above. However, if there is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(as defined in the Plan), your SARs may vest earlier. You should read the Plan and the Prospectus carefully to ensure that you understand how this may happen.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Rights Before Your SARs Are Exercised: </w:t>
      </w:r>
      <w:r>
        <w:rPr>
          <w:rFonts w:ascii="Arial" w:cs="Arial" w:eastAsia="Arial" w:hAnsi="Arial"/>
          <w:sz w:val="17"/>
          <w:szCs w:val="17"/>
          <w:color w:val="auto"/>
        </w:rPr>
        <w:t>You may not vote, or receive any dividends associated with, the common shares underlying your SARs.</w:t>
      </w:r>
    </w:p>
    <w:p>
      <w:pPr>
        <w:spacing w:after="0" w:line="129"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You may name a beneficiary or beneficiaries to receive or to exercise any vested SARs that are unexercised when you die. This</w:t>
      </w:r>
      <w:r>
        <w:rPr>
          <w:rFonts w:ascii="Arial" w:cs="Arial" w:eastAsia="Arial" w:hAnsi="Arial"/>
          <w:sz w:val="17"/>
          <w:szCs w:val="17"/>
          <w:b w:val="1"/>
          <w:bCs w:val="1"/>
          <w:color w:val="auto"/>
        </w:rPr>
        <w:t xml:space="preserve"> </w:t>
      </w:r>
      <w:r>
        <w:rPr>
          <w:rFonts w:ascii="Arial" w:cs="Arial" w:eastAsia="Arial" w:hAnsi="Arial"/>
          <w:sz w:val="17"/>
          <w:szCs w:val="17"/>
          <w:color w:val="auto"/>
        </w:rPr>
        <w:t>may be done only on the attached Beneficiary Designation Form and by following the rules described in that Form. This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5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Transferring Your SARs: </w:t>
      </w:r>
      <w:r>
        <w:rPr>
          <w:rFonts w:ascii="Arial" w:cs="Arial" w:eastAsia="Arial" w:hAnsi="Arial"/>
          <w:sz w:val="18"/>
          <w:szCs w:val="18"/>
          <w:color w:val="auto"/>
        </w:rPr>
        <w:t>Normally your SARs may not be transferred to another person. However, you may complete a Beneficiary Designation Form to</w:t>
      </w:r>
      <w:r>
        <w:rPr>
          <w:rFonts w:ascii="Arial" w:cs="Arial" w:eastAsia="Arial" w:hAnsi="Arial"/>
          <w:sz w:val="18"/>
          <w:szCs w:val="18"/>
          <w:b w:val="1"/>
          <w:bCs w:val="1"/>
          <w:color w:val="auto"/>
        </w:rPr>
        <w:t xml:space="preserve"> </w:t>
      </w:r>
      <w:r>
        <w:rPr>
          <w:rFonts w:ascii="Arial" w:cs="Arial" w:eastAsia="Arial" w:hAnsi="Arial"/>
          <w:sz w:val="18"/>
          <w:szCs w:val="18"/>
          <w:color w:val="auto"/>
        </w:rPr>
        <w:t>name the person who may exercise your SARs if you die before their Expiration Date. Also, the Committee may allow you to place your SARs into a trust established for your benefit or for the benefit of your family. Contact [Third Party Administrator] at [TPA Telephone Number] or at the address given below if you are interested in doing this.</w:t>
      </w:r>
    </w:p>
    <w:p>
      <w:pPr>
        <w:spacing w:after="0" w:line="7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will be construed in accordance with and governed by the laws of the United States and of the State of Ohio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laws governing conflicts of laws).</w:t>
      </w:r>
    </w:p>
    <w:p>
      <w:pPr>
        <w:spacing w:after="0" w:line="54"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Other Agreements: </w:t>
      </w:r>
      <w:r>
        <w:rPr>
          <w:rFonts w:ascii="Arial" w:cs="Arial" w:eastAsia="Arial" w:hAnsi="Arial"/>
          <w:sz w:val="18"/>
          <w:szCs w:val="18"/>
          <w:color w:val="auto"/>
        </w:rPr>
        <w:t>Also, your SARs will be subject to the terms of any other written agreements between you and the Company or any Affiliate or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to the extent that those other agreements do not directly conflict with the terms of the Plan or this Award Agreement. However, the parties hereby agree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0" w:name="page71"/>
    <w:bookmarkEnd w:id="70"/>
    <w:p>
      <w:pPr>
        <w:ind w:right="400"/>
        <w:spacing w:after="0" w:line="308" w:lineRule="auto"/>
        <w:rPr>
          <w:sz w:val="20"/>
          <w:szCs w:val="20"/>
          <w:color w:val="auto"/>
        </w:rPr>
      </w:pPr>
      <w:r>
        <w:rPr>
          <w:rFonts w:ascii="Arial" w:cs="Arial" w:eastAsia="Arial" w:hAnsi="Arial"/>
          <w:sz w:val="17"/>
          <w:szCs w:val="17"/>
          <w:color w:val="auto"/>
        </w:rPr>
        <w:t>and acknowledge that the terms of this Award Agreement and the Plan regarding Noncompetition, Nonsolicitation and/or Confidentiality are intended to supplement and not conflict with any written agreement that they may have or that they may enter regarding the same matters.</w:t>
      </w:r>
    </w:p>
    <w:p>
      <w:pPr>
        <w:spacing w:after="0" w:line="34" w:lineRule="exact"/>
        <w:rPr>
          <w:sz w:val="20"/>
          <w:szCs w:val="20"/>
          <w:color w:val="auto"/>
        </w:rPr>
      </w:pPr>
    </w:p>
    <w:p>
      <w:pPr>
        <w:jc w:val="both"/>
        <w:ind w:right="140"/>
        <w:spacing w:after="0" w:line="282" w:lineRule="auto"/>
        <w:rPr>
          <w:sz w:val="20"/>
          <w:szCs w:val="20"/>
          <w:color w:val="auto"/>
        </w:rPr>
      </w:pPr>
      <w:r>
        <w:rPr>
          <w:rFonts w:ascii="Arial" w:cs="Arial" w:eastAsia="Arial" w:hAnsi="Arial"/>
          <w:sz w:val="18"/>
          <w:szCs w:val="18"/>
          <w:b w:val="1"/>
          <w:bCs w:val="1"/>
          <w:color w:val="auto"/>
        </w:rPr>
        <w:t xml:space="preserve">Adjustments to SARs: </w:t>
      </w:r>
      <w:r>
        <w:rPr>
          <w:rFonts w:ascii="Arial" w:cs="Arial" w:eastAsia="Arial" w:hAnsi="Arial"/>
          <w:sz w:val="18"/>
          <w:szCs w:val="18"/>
          <w:color w:val="auto"/>
        </w:rPr>
        <w:t>Your SARs will be adjusted, if appropriate, to reflect any change to the Company’s capital structure (e.g., the number of your SARs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Exercise Price will be adjusted to reflect a stock split).</w:t>
      </w:r>
    </w:p>
    <w:p>
      <w:pPr>
        <w:spacing w:after="0" w:line="54"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 xml:space="preserve">Your Status as an Independent Contractor: </w:t>
      </w:r>
      <w:r>
        <w:rPr>
          <w:rFonts w:ascii="Arial" w:cs="Arial" w:eastAsia="Arial" w:hAnsi="Arial"/>
          <w:sz w:val="18"/>
          <w:szCs w:val="18"/>
          <w:color w:val="auto"/>
        </w:rPr>
        <w:t>This Award Agreement is not intended by either party to alter your status as an independent contractor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you acknowledge and agree that this Award Agreement shall in no way be interpreted as entitling you to any of the employee benefits offered by the Company to its employees.</w:t>
      </w:r>
    </w:p>
    <w:p>
      <w:pPr>
        <w:spacing w:after="0" w:line="68"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Other Rules: </w:t>
      </w:r>
      <w:r>
        <w:rPr>
          <w:rFonts w:ascii="Arial" w:cs="Arial" w:eastAsia="Arial" w:hAnsi="Arial"/>
          <w:sz w:val="17"/>
          <w:szCs w:val="17"/>
          <w:color w:val="auto"/>
        </w:rPr>
        <w:t>Your SARs also are subject to more rules described in the Plan and in the Plan’s Prospectus. You should read both of these documents carefully</w:t>
      </w:r>
      <w:r>
        <w:rPr>
          <w:rFonts w:ascii="Arial" w:cs="Arial" w:eastAsia="Arial" w:hAnsi="Arial"/>
          <w:sz w:val="17"/>
          <w:szCs w:val="17"/>
          <w:b w:val="1"/>
          <w:bCs w:val="1"/>
          <w:color w:val="auto"/>
        </w:rPr>
        <w:t xml:space="preserve"> </w:t>
      </w:r>
      <w:r>
        <w:rPr>
          <w:rFonts w:ascii="Arial" w:cs="Arial" w:eastAsia="Arial" w:hAnsi="Arial"/>
          <w:sz w:val="17"/>
          <w:szCs w:val="17"/>
          <w:color w:val="auto"/>
        </w:rPr>
        <w:t>to ensure you fully understand all the terms and conditions on the grant of SARs made to you under this Award Agreement.</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You may contact [Third Party Administrator] at [TPA Telephone Number] or at the address given below if you have any questions about your Award or this Award Agreement.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71" w:name="page72"/>
    <w:bookmarkEnd w:id="71"/>
    <w:p>
      <w:pPr>
        <w:jc w:val="center"/>
        <w:ind w:right="-99"/>
        <w:spacing w:after="0"/>
        <w:rPr>
          <w:sz w:val="20"/>
          <w:szCs w:val="20"/>
          <w:color w:val="auto"/>
        </w:rPr>
      </w:pPr>
      <w:r>
        <w:rPr>
          <w:rFonts w:ascii="Arial" w:cs="Arial" w:eastAsia="Arial" w:hAnsi="Arial"/>
          <w:sz w:val="18"/>
          <w:szCs w:val="18"/>
          <w:b w:val="1"/>
          <w:bCs w:val="1"/>
          <w:color w:val="auto"/>
        </w:rPr>
        <w:t>Your Acknowledgement of Award Conditions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Note: You must sign and return a copy of this Award Agreement to [Third Party Administrator] at the address given below no later than [30 Days Post Grant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I understand and accept the conditions placed on my SARs and understand what I must do to earn my SARs;</w:t>
      </w:r>
    </w:p>
    <w:p>
      <w:pPr>
        <w:spacing w:after="0" w:line="130" w:lineRule="exact"/>
        <w:rPr>
          <w:rFonts w:ascii="Arial" w:cs="Arial" w:eastAsia="Arial" w:hAnsi="Arial"/>
          <w:sz w:val="18"/>
          <w:szCs w:val="18"/>
          <w:b w:val="1"/>
          <w:bCs w:val="1"/>
          <w:color w:val="auto"/>
        </w:rPr>
      </w:pPr>
    </w:p>
    <w:p>
      <w:pPr>
        <w:ind w:left="900" w:right="120" w:hanging="446"/>
        <w:spacing w:after="0" w:line="277" w:lineRule="auto"/>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I understand that my Award and the terms and conditions of my Award do not alter my status as an independent contractor of the Company and do not entitle me to any employee benefits that the Company may offer its employees;</w:t>
      </w:r>
    </w:p>
    <w:p>
      <w:pPr>
        <w:spacing w:after="0" w:line="75" w:lineRule="exact"/>
        <w:rPr>
          <w:rFonts w:ascii="Arial" w:cs="Arial" w:eastAsia="Arial" w:hAnsi="Arial"/>
          <w:sz w:val="18"/>
          <w:szCs w:val="18"/>
          <w:b w:val="1"/>
          <w:bCs w:val="1"/>
          <w:color w:val="auto"/>
        </w:rPr>
      </w:pPr>
    </w:p>
    <w:p>
      <w:pPr>
        <w:jc w:val="both"/>
        <w:ind w:left="900" w:right="60" w:hanging="446"/>
        <w:spacing w:after="0" w:line="264" w:lineRule="auto"/>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I will consent (on my own behalf and on behalf of my beneficiaries and without any further consideration) to any necessary change to my SARs or this Award Agreement to comply with any law and to avoid paying penalties under Section 409A of the Internal Revenue Code, even if those changes affect the terms of my SARs and reduce their value or potential value; and</w:t>
      </w:r>
    </w:p>
    <w:p>
      <w:pPr>
        <w:spacing w:after="0" w:line="86" w:lineRule="exact"/>
        <w:rPr>
          <w:rFonts w:ascii="Arial" w:cs="Arial" w:eastAsia="Arial" w:hAnsi="Arial"/>
          <w:sz w:val="18"/>
          <w:szCs w:val="18"/>
          <w:b w:val="1"/>
          <w:bCs w:val="1"/>
          <w:color w:val="auto"/>
        </w:rPr>
      </w:pPr>
    </w:p>
    <w:p>
      <w:pPr>
        <w:ind w:left="900" w:right="100" w:hanging="446"/>
        <w:spacing w:after="0" w:line="277" w:lineRule="auto"/>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If I do not return a signed copy of this Award Agreement to the address shown below on or before [30 Days Post Grant Date], my SARs will be forfeited and I will not be entitled to receive anything on account of this Award.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3"/>
          </w:tcPr>
          <w:p>
            <w:pPr>
              <w:spacing w:after="0"/>
              <w:rPr>
                <w:sz w:val="20"/>
                <w:szCs w:val="20"/>
                <w:color w:val="auto"/>
              </w:rPr>
            </w:pPr>
            <w:r>
              <w:rPr>
                <w:rFonts w:ascii="Arial" w:cs="Arial" w:eastAsia="Arial" w:hAnsi="Arial"/>
                <w:sz w:val="18"/>
                <w:szCs w:val="18"/>
                <w:color w:val="auto"/>
              </w:rPr>
              <w:t>[Grantee’s Name]</w:t>
            </w:r>
          </w:p>
        </w:tc>
        <w:tc>
          <w:tcPr>
            <w:tcW w:w="5600" w:type="dxa"/>
            <w:vAlign w:val="bottom"/>
            <w:gridSpan w:val="4"/>
          </w:tcPr>
          <w:p>
            <w:pPr>
              <w:ind w:left="24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4"/>
                <w:szCs w:val="24"/>
                <w:color w:val="auto"/>
              </w:rPr>
            </w:pPr>
          </w:p>
        </w:tc>
        <w:tc>
          <w:tcPr>
            <w:tcW w:w="580" w:type="dxa"/>
            <w:vAlign w:val="bottom"/>
          </w:tcPr>
          <w:p>
            <w:pPr>
              <w:ind w:left="2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3"/>
          </w:tcPr>
          <w:p>
            <w:pPr>
              <w:spacing w:after="0"/>
              <w:rPr>
                <w:sz w:val="24"/>
                <w:szCs w:val="24"/>
                <w:color w:val="auto"/>
              </w:rPr>
            </w:pPr>
          </w:p>
        </w:tc>
      </w:tr>
      <w:tr>
        <w:trPr>
          <w:trHeight w:val="439"/>
        </w:trPr>
        <w:tc>
          <w:tcPr>
            <w:tcW w:w="1160" w:type="dxa"/>
            <w:vAlign w:val="bottom"/>
            <w:gridSpan w:val="2"/>
          </w:tcPr>
          <w:p>
            <w:pPr>
              <w:spacing w:after="0"/>
              <w:rPr>
                <w:sz w:val="20"/>
                <w:szCs w:val="20"/>
                <w:color w:val="auto"/>
              </w:rPr>
            </w:pPr>
            <w:r>
              <w:rPr>
                <w:rFonts w:ascii="Arial" w:cs="Arial" w:eastAsia="Arial" w:hAnsi="Arial"/>
                <w:sz w:val="18"/>
                <w:szCs w:val="18"/>
                <w:color w:val="auto"/>
              </w:rPr>
              <w:t>Date signed:</w:t>
            </w:r>
          </w:p>
        </w:tc>
        <w:tc>
          <w:tcPr>
            <w:tcW w:w="4220" w:type="dxa"/>
            <w:vAlign w:val="bottom"/>
            <w:tcBorders>
              <w:bottom w:val="single" w:sz="8" w:color="auto"/>
            </w:tcBorders>
          </w:tcPr>
          <w:p>
            <w:pPr>
              <w:spacing w:after="0"/>
              <w:rPr>
                <w:sz w:val="24"/>
                <w:szCs w:val="24"/>
                <w:color w:val="auto"/>
              </w:rPr>
            </w:pPr>
          </w:p>
        </w:tc>
        <w:tc>
          <w:tcPr>
            <w:tcW w:w="820" w:type="dxa"/>
            <w:vAlign w:val="bottom"/>
            <w:gridSpan w:val="3"/>
          </w:tcPr>
          <w:p>
            <w:pPr>
              <w:ind w:left="24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4"/>
                <w:szCs w:val="24"/>
                <w:color w:val="auto"/>
              </w:rPr>
            </w:pPr>
          </w:p>
        </w:tc>
      </w:tr>
      <w:tr>
        <w:trPr>
          <w:trHeight w:val="439"/>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gridSpan w:val="2"/>
          </w:tcPr>
          <w:p>
            <w:pPr>
              <w:spacing w:after="0"/>
              <w:rPr>
                <w:sz w:val="24"/>
                <w:szCs w:val="24"/>
                <w:color w:val="auto"/>
              </w:rPr>
            </w:pPr>
          </w:p>
        </w:tc>
      </w:tr>
    </w:tbl>
    <w:p>
      <w:pPr>
        <w:spacing w:after="0" w:line="2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14605</wp:posOffset>
            </wp:positionV>
            <wp:extent cx="2675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Award Agreement must be sent to the following address no later than [30 Days Post Grant Date]: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[Contact’s Address]</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[TPA Telephone Number]</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9" w:right="319" w:bottom="1440" w:gutter="0" w:footer="0" w:header="0"/>
        </w:sectPr>
      </w:pPr>
    </w:p>
    <w:bookmarkStart w:id="72" w:name="page73"/>
    <w:bookmarkEnd w:id="72"/>
    <w:p>
      <w:pPr>
        <w:jc w:val="center"/>
        <w:ind w:right="-1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CASH SETTLED STOCK APPRECIATION RIGHT EXERCISE NOTICE</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AFFECTING [NUMBER GRANTED] CASH SETTLED STOCK APPRECIATION RIGHTS GRANTED TO</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[GRANTEE’S NAME] ON [GRANT DATE]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 copies of this Stock Appreciation Right Exercise Notice (and any further information you may need about this Exercise Notice or exercising your SARs) are available from [Third Party Administrator] at the address given below.</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By completing this Exercise Notice and returning it to [Third Party Administrator] at the address given below, I elect to exercise the SARs described below:</w:t>
      </w:r>
    </w:p>
    <w:p>
      <w:pPr>
        <w:spacing w:after="0" w:line="14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NOTE: You must complete a separate Stock Appreciation Right Exercise Notice each time you exercise SARs granted under each Award Agreement (e.g., if you are exercising 200 SARs granted January 1, 2007 and 100 SARs granted January 1, 2008 under a separate award agreement, you must complete two Stock Appreciation Right Exercise Notices, one for each set of SARs being exercised).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AFFECTED SARS: This exercise relates to the following SARs (fill in the blanks):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GRANT DATE: [GRANT DATE]</w:t>
      </w:r>
    </w:p>
    <w:p>
      <w:pPr>
        <w:spacing w:after="0" w:line="117"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NUMBER OF SARS BEING EXERCISED WITH THIS EXERCISE NOTICE (AT LEAST 100 COMMON SHARES OF THE COMPANY (OR, IF SMALLER, THE NUMBER OF YOUR OUTSTANDING VESTED 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160020</wp:posOffset>
            </wp:positionV>
            <wp:extent cx="11430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59" w:right="359" w:bottom="1440" w:gutter="0" w:footer="0" w:header="0"/>
        </w:sectPr>
      </w:pPr>
    </w:p>
    <w:bookmarkStart w:id="73" w:name="page74"/>
    <w:bookmarkEnd w:id="73"/>
    <w:p>
      <w:pPr>
        <w:ind w:right="3000" w:firstLine="3253"/>
        <w:spacing w:after="0" w:line="375" w:lineRule="auto"/>
        <w:rPr>
          <w:sz w:val="20"/>
          <w:szCs w:val="20"/>
          <w:color w:val="auto"/>
        </w:rPr>
      </w:pPr>
      <w:r>
        <w:rPr>
          <w:rFonts w:ascii="Arial" w:cs="Arial" w:eastAsia="Arial" w:hAnsi="Arial"/>
          <w:sz w:val="18"/>
          <w:szCs w:val="18"/>
          <w:b w:val="1"/>
          <w:bCs w:val="1"/>
          <w:color w:val="auto"/>
        </w:rPr>
        <w:t xml:space="preserve">YOUR ACKNOWLEDGEMENT OF EFFECT OF EXERCISE </w:t>
      </w:r>
      <w:r>
        <w:rPr>
          <w:rFonts w:ascii="Arial" w:cs="Arial" w:eastAsia="Arial" w:hAnsi="Arial"/>
          <w:sz w:val="18"/>
          <w:szCs w:val="18"/>
          <w:color w:val="auto"/>
        </w:rPr>
        <w:t>By signing below, I acknowledge and agree that:</w:t>
      </w:r>
    </w:p>
    <w:p>
      <w:pPr>
        <w:spacing w:after="0" w:line="5" w:lineRule="exact"/>
        <w:rPr>
          <w:sz w:val="20"/>
          <w:szCs w:val="20"/>
          <w:color w:val="auto"/>
        </w:rPr>
      </w:pPr>
    </w:p>
    <w:p>
      <w:pPr>
        <w:ind w:left="1120" w:hanging="437"/>
        <w:spacing w:after="0"/>
        <w:tabs>
          <w:tab w:leader="none" w:pos="112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I fully understand the effect (including the investment effect) of exercising my SARs; and</w:t>
      </w:r>
    </w:p>
    <w:p>
      <w:pPr>
        <w:spacing w:after="0" w:line="130" w:lineRule="exact"/>
        <w:rPr>
          <w:rFonts w:ascii="Arial" w:cs="Arial" w:eastAsia="Arial" w:hAnsi="Arial"/>
          <w:sz w:val="18"/>
          <w:szCs w:val="18"/>
          <w:b w:val="1"/>
          <w:bCs w:val="1"/>
          <w:color w:val="auto"/>
        </w:rPr>
      </w:pPr>
    </w:p>
    <w:p>
      <w:pPr>
        <w:ind w:left="1120" w:hanging="437"/>
        <w:spacing w:after="0" w:line="277" w:lineRule="auto"/>
        <w:tabs>
          <w:tab w:leader="none" w:pos="112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This Exercise Notice will have no effect if it is not returned to [Third Party Administrator] at the address given below before the Expiration Date specified in the Award Agreement under which these SARs were granted.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7045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14605</wp:posOffset>
            </wp:positionV>
            <wp:extent cx="2898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13" w:lineRule="exact"/>
        <w:rPr>
          <w:sz w:val="20"/>
          <w:szCs w:val="20"/>
          <w:color w:val="auto"/>
        </w:rPr>
      </w:pPr>
    </w:p>
    <w:p>
      <w:pPr>
        <w:ind w:right="5400"/>
        <w:spacing w:after="0" w:line="277" w:lineRule="auto"/>
        <w:rPr>
          <w:sz w:val="20"/>
          <w:szCs w:val="20"/>
          <w:color w:val="auto"/>
        </w:rPr>
      </w:pPr>
      <w:r>
        <w:rPr>
          <w:rFonts w:ascii="Arial" w:cs="Arial" w:eastAsia="Arial" w:hAnsi="Arial"/>
          <w:sz w:val="18"/>
          <w:szCs w:val="18"/>
          <w:color w:val="auto"/>
        </w:rPr>
        <w:t>A signed copy of this Stock Appreciation Right Exercise Notice must be sent to the following address no later than the Expiration Date: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[Contact’s Address]</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[TPA Telephone Number]</w:t>
      </w:r>
    </w:p>
    <w:p>
      <w:pPr>
        <w:spacing w:after="0" w:line="33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958" w:right="499" w:bottom="1440" w:gutter="0" w:footer="0" w:header="0"/>
        </w:sectPr>
      </w:pPr>
    </w:p>
    <w:bookmarkStart w:id="74" w:name="page75"/>
    <w:bookmarkEnd w:id="74"/>
    <w:p>
      <w:pPr>
        <w:ind w:left="4140"/>
        <w:spacing w:after="0"/>
        <w:rPr>
          <w:sz w:val="20"/>
          <w:szCs w:val="20"/>
          <w:color w:val="auto"/>
        </w:rPr>
      </w:pPr>
      <w:r>
        <w:rPr>
          <w:rFonts w:ascii="Arial" w:cs="Arial" w:eastAsia="Arial" w:hAnsi="Arial"/>
          <w:sz w:val="18"/>
          <w:szCs w:val="18"/>
          <w:b w:val="1"/>
          <w:bCs w:val="1"/>
          <w:color w:val="auto"/>
        </w:rPr>
        <w:t>ACKNOWLEDGEMENT OF RECEIPT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Stock Appreciation Right Exercise Notice was received on:</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1430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Has effectively exercised the SARs described in this Exercise Notice;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-3175</wp:posOffset>
            </wp:positionV>
            <wp:extent cx="571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17" w:lineRule="exact"/>
        <w:rPr>
          <w:sz w:val="20"/>
          <w:szCs w:val="20"/>
          <w:color w:val="auto"/>
        </w:rPr>
      </w:pPr>
    </w:p>
    <w:p>
      <w:pPr>
        <w:ind w:left="1840" w:right="3139"/>
        <w:spacing w:after="0" w:line="266" w:lineRule="auto"/>
        <w:rPr>
          <w:sz w:val="20"/>
          <w:szCs w:val="20"/>
          <w:color w:val="auto"/>
        </w:rPr>
      </w:pPr>
      <w:r>
        <w:rPr>
          <w:rFonts w:ascii="Arial" w:cs="Arial" w:eastAsia="Arial" w:hAnsi="Arial"/>
          <w:sz w:val="18"/>
          <w:szCs w:val="18"/>
          <w:color w:val="auto"/>
        </w:rPr>
        <w:t>Has not effectively exercised the SARs described in this Exercise Notice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-6985</wp:posOffset>
            </wp:positionV>
            <wp:extent cx="37903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790315" cy="8890"/>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-170180</wp:posOffset>
            </wp:positionV>
            <wp:extent cx="571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left="3540"/>
        <w:spacing w:after="0"/>
        <w:rPr>
          <w:sz w:val="20"/>
          <w:szCs w:val="20"/>
          <w:color w:val="auto"/>
        </w:rPr>
      </w:pPr>
      <w:r>
        <w:rPr>
          <w:rFonts w:ascii="Arial" w:cs="Arial" w:eastAsia="Arial" w:hAnsi="Arial"/>
          <w:sz w:val="18"/>
          <w:szCs w:val="18"/>
          <w:i w:val="1"/>
          <w:iCs w:val="1"/>
          <w:color w:val="auto"/>
        </w:rPr>
        <w:t>describe deficiency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Note: Keep a copy of this Exercise Notice as part of the Plan’s permanent records.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9" w:right="1440"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Description of Your Stock Settled Stock Appreciation Rights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You have been awarded [Number Granted] Stock Appreciation Rights (or “SARs”</w:t>
      </w:r>
      <w:r>
        <w:rPr>
          <w:rFonts w:ascii="Arial" w:cs="Arial" w:eastAsia="Arial" w:hAnsi="Arial"/>
          <w:sz w:val="16"/>
          <w:szCs w:val="16"/>
          <w:color w:val="auto"/>
        </w:rPr>
        <w:t>). If you satisfy the conditions described in this Award Agreement,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and the Prospectus, you may exercise your SARs on or before [Expiration Date] (“Expiration Date”). If you do this, you will receive common shares of the Company. The number of common shares you will receive will equal the fair market value of one common share of Company on the exercise date minus $[Price] (“Exercise Price”) divided by the fair market value of one common share of the Company on the exercise date and multiplied by the number of SARs you are exercising. You also must arrange to pay any taxes due on exercise using one of the procedures described later in this Award Agreement.</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Limits on Exercising Your SARs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Normally, your SARs will vest (and become exercisable) on [Vesting Date] but only if you are actively engaged to perform services for the Company or any Subsidiary or Affiliate (as defined in the Plan) on [Vesting Date] and all other conditions described in this Award Agreement, the Plan and the Prospectus are met.</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This does not mean that you must exercise your SARs on this date; this is merely the first date that you may do so. However, your SARs will expire unless they are exercised on or before the Expiration Date ([Expiration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There are some special situations in which your SARs may vest earlier. These are described later in this Award Agreement.</w:t>
      </w:r>
    </w:p>
    <w:p>
      <w:pPr>
        <w:spacing w:after="0" w:line="11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At any one time, you may not exercise fewer than 100 SARs (or, if smaller, the number of your outstanding vested SARs). Also, you may never exercise SARs with respect to a fractional common share of the Company; SARs relating to fractional common shares will always be redeemed for cash.</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Exercising Your SARs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After they vest, you may exercise your SARs by completing an Exercise Notice. A copy of this Exercise Notice is attached to this Award Agreement. Also, a copy of this Exercise Notice, and a description of the procedures that you must follow to exercise your SARs, are available from [Third Party Administrator] at [TPA Telephone Number] or at the address shown below.</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You may use one of two methods to pay the taxes related to your SAR exercise. You will decide on the method at the time of exercise.</w:t>
      </w:r>
    </w:p>
    <w:p>
      <w:pPr>
        <w:spacing w:after="0" w:line="117" w:lineRule="exact"/>
        <w:rPr>
          <w:sz w:val="20"/>
          <w:szCs w:val="20"/>
          <w:color w:val="auto"/>
        </w:rPr>
      </w:pPr>
    </w:p>
    <w:p>
      <w:pPr>
        <w:ind w:left="360" w:right="140"/>
        <w:spacing w:after="0" w:line="342" w:lineRule="auto"/>
        <w:rPr>
          <w:sz w:val="20"/>
          <w:szCs w:val="20"/>
          <w:color w:val="auto"/>
        </w:rPr>
      </w:pPr>
      <w:r>
        <w:rPr>
          <w:rFonts w:ascii="Arial" w:cs="Arial" w:eastAsia="Arial" w:hAnsi="Arial"/>
          <w:sz w:val="16"/>
          <w:szCs w:val="16"/>
          <w:b w:val="1"/>
          <w:bCs w:val="1"/>
          <w:i w:val="1"/>
          <w:iCs w:val="1"/>
          <w:color w:val="auto"/>
        </w:rPr>
        <w:t xml:space="preserve">Combination Exercise: </w:t>
      </w:r>
      <w:r>
        <w:rPr>
          <w:rFonts w:ascii="Arial" w:cs="Arial" w:eastAsia="Arial" w:hAnsi="Arial"/>
          <w:sz w:val="16"/>
          <w:szCs w:val="16"/>
          <w:color w:val="auto"/>
        </w:rPr>
        <w:t>If you elect this alternative, you will be deemed to have simultaneously exercised the SARs and to have sold a number of those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shares with a value equal to the taxes due. When the transaction is complete, the balance of the common shares will be transferred to you.</w:t>
      </w:r>
    </w:p>
    <w:p>
      <w:pPr>
        <w:spacing w:after="0" w:line="16" w:lineRule="exact"/>
        <w:rPr>
          <w:sz w:val="20"/>
          <w:szCs w:val="20"/>
          <w:color w:val="auto"/>
        </w:rPr>
      </w:pPr>
    </w:p>
    <w:p>
      <w:pPr>
        <w:ind w:left="360"/>
        <w:spacing w:after="0" w:line="264" w:lineRule="auto"/>
        <w:rPr>
          <w:sz w:val="20"/>
          <w:szCs w:val="20"/>
          <w:color w:val="auto"/>
        </w:rPr>
      </w:pPr>
      <w:r>
        <w:rPr>
          <w:rFonts w:ascii="Arial" w:cs="Arial" w:eastAsia="Arial" w:hAnsi="Arial"/>
          <w:sz w:val="18"/>
          <w:szCs w:val="18"/>
          <w:b w:val="1"/>
          <w:bCs w:val="1"/>
          <w:i w:val="1"/>
          <w:iCs w:val="1"/>
          <w:color w:val="auto"/>
        </w:rPr>
        <w:t xml:space="preserve">Exercise and Hold: </w:t>
      </w:r>
      <w:r>
        <w:rPr>
          <w:rFonts w:ascii="Arial" w:cs="Arial" w:eastAsia="Arial" w:hAnsi="Arial"/>
          <w:sz w:val="18"/>
          <w:szCs w:val="18"/>
          <w:color w:val="auto"/>
        </w:rPr>
        <w:t>If you elect this alternative, you must pay the related taxes (in cash, a cash equivalent or in common shares of the Company having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equal to the taxes due and which you have owned for at least six months before the exercise date). When the transaction is complete, you will receive whole common shares of the Company.</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Before exercising your SARs, you should read the “Federal Income Tax” section of the Prospectus to ensure you understand the federal income tax effect of exercising your SARs and of the exercise method you choose.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If you do not elect one of these methods, we will apply the Combination Exercise method described above.</w:t>
      </w:r>
    </w:p>
    <w:p>
      <w:pPr>
        <w:spacing w:after="0" w:line="32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Tax Treatment of Your SARs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federal income tax treatment of your SARs is discussed in the Plan’s Prospectus.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SARs If Your Engagement For Service Ends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Normally, you may exercise your SARs after they vest and before the Expiration Date ([Expiration Date]). However, your SARs may be cancelled earlier than the Expiration Date if your engagement for service terminates before [Vesting Date].</w:t>
      </w:r>
    </w:p>
    <w:p>
      <w:pPr>
        <w:spacing w:after="0" w:line="62" w:lineRule="exact"/>
        <w:rPr>
          <w:sz w:val="20"/>
          <w:szCs w:val="20"/>
          <w:color w:val="auto"/>
        </w:rPr>
      </w:pPr>
    </w:p>
    <w:p>
      <w:pPr>
        <w:ind w:left="600" w:hanging="250"/>
        <w:spacing w:after="0"/>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your engagement for service is terminated for “cause” (as defined in the Plan), the SARs will expire on the date your engagement for service ends;</w:t>
      </w:r>
    </w:p>
    <w:p>
      <w:pPr>
        <w:spacing w:after="0" w:line="46"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02" w:lineRule="exact"/>
        <w:rPr>
          <w:rFonts w:ascii="Arial" w:cs="Arial" w:eastAsia="Arial" w:hAnsi="Arial"/>
          <w:sz w:val="16"/>
          <w:szCs w:val="16"/>
          <w:color w:val="auto"/>
        </w:rPr>
      </w:pPr>
    </w:p>
    <w:p>
      <w:pPr>
        <w:ind w:left="360" w:right="180" w:hanging="10"/>
        <w:spacing w:after="0" w:line="277" w:lineRule="auto"/>
        <w:tabs>
          <w:tab w:leader="none" w:pos="6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your engagement for service terminates because you [i] die or [ii] become disabled (as defined in the Plan), the SARs will expire on the earlier of the Expiration Date or 12 months after you terminate; or</w:t>
      </w:r>
    </w:p>
    <w:p>
      <w:pPr>
        <w:spacing w:after="0" w:line="62" w:lineRule="exact"/>
        <w:rPr>
          <w:rFonts w:ascii="Arial" w:cs="Arial" w:eastAsia="Arial" w:hAnsi="Arial"/>
          <w:sz w:val="18"/>
          <w:szCs w:val="18"/>
          <w:color w:val="auto"/>
        </w:rPr>
      </w:pPr>
    </w:p>
    <w:p>
      <w:pPr>
        <w:ind w:left="360" w:right="140" w:hanging="10"/>
        <w:spacing w:after="0" w:line="277" w:lineRule="auto"/>
        <w:tabs>
          <w:tab w:leader="none" w:pos="6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your engagement for service terminates after reaching either [i] age 55 and completing at least 10 years of service or [ii] age 62 regardless of your years of service, the SARs will expire on the earlier of the Expiration Date or 12 months after you terminate; or</w:t>
      </w:r>
    </w:p>
    <w:p>
      <w:pPr>
        <w:spacing w:after="0" w:line="62" w:lineRule="exact"/>
        <w:rPr>
          <w:rFonts w:ascii="Arial" w:cs="Arial" w:eastAsia="Arial" w:hAnsi="Arial"/>
          <w:sz w:val="18"/>
          <w:szCs w:val="18"/>
          <w:color w:val="auto"/>
        </w:rPr>
      </w:pPr>
    </w:p>
    <w:p>
      <w:pPr>
        <w:ind w:left="360" w:right="480" w:hanging="10"/>
        <w:spacing w:after="0" w:line="277" w:lineRule="auto"/>
        <w:tabs>
          <w:tab w:leader="none" w:pos="6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your engagement for service terminates for any other reason, your SARs will expire on the earlier of the Expiration Date or 90 days after you terminate.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it is your responsibility to keep track of when your SARs expire.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Forfeit Your SARs if You Engage in Conduct That is Harmful to the Company (or any Affiliate or Subsidiary)</w:t>
      </w:r>
    </w:p>
    <w:p>
      <w:pPr>
        <w:spacing w:after="0" w:line="12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You also will forfeit any outstanding SARs and must return to the Company all common shares and other amounts you have received through the Plan if, without our consent, you do any of the following within 180 days before and 730 days after terminating your engagement for service:</w:t>
      </w:r>
    </w:p>
    <w:p>
      <w:pPr>
        <w:spacing w:after="0" w:line="38" w:lineRule="exact"/>
        <w:rPr>
          <w:sz w:val="20"/>
          <w:szCs w:val="20"/>
          <w:color w:val="auto"/>
        </w:rPr>
      </w:pPr>
    </w:p>
    <w:p>
      <w:pPr>
        <w:jc w:val="both"/>
        <w:ind w:left="360" w:right="120" w:hanging="10"/>
        <w:spacing w:after="0" w:line="276" w:lineRule="auto"/>
        <w:tabs>
          <w:tab w:leader="none" w:pos="605" w:val="left"/>
        </w:tabs>
        <w:numPr>
          <w:ilvl w:val="0"/>
          <w:numId w:val="47"/>
        </w:numPr>
        <w:rPr>
          <w:rFonts w:ascii="Arial" w:cs="Arial" w:eastAsia="Arial" w:hAnsi="Arial"/>
          <w:sz w:val="17"/>
          <w:szCs w:val="17"/>
          <w:color w:val="auto"/>
        </w:rPr>
      </w:pPr>
      <w:r>
        <w:rPr>
          <w:rFonts w:ascii="Arial" w:cs="Arial" w:eastAsia="Arial" w:hAnsi="Arial"/>
          <w:sz w:val="17"/>
          <w:szCs w:val="17"/>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 Subsidiary’s) business with which you have been involved any time within five years before termination of your engagement for service or render any service (including, without limitation, advertising or business consulting) to entities that compete with any portion of the Company’s (or any Affiliate’s or Subsidiary’s) business with which you have been involved any time within five years before termination of your engagement for service;</w:t>
      </w:r>
    </w:p>
    <w:p>
      <w:pPr>
        <w:spacing w:after="0" w:line="64" w:lineRule="exact"/>
        <w:rPr>
          <w:rFonts w:ascii="Arial" w:cs="Arial" w:eastAsia="Arial" w:hAnsi="Arial"/>
          <w:sz w:val="17"/>
          <w:szCs w:val="17"/>
          <w:color w:val="auto"/>
        </w:rPr>
      </w:pPr>
    </w:p>
    <w:p>
      <w:pPr>
        <w:ind w:left="360" w:right="280" w:hanging="10"/>
        <w:spacing w:after="0" w:line="277" w:lineRule="auto"/>
        <w:tabs>
          <w:tab w:leader="none" w:pos="6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7" w:name="page78"/>
    <w:bookmarkEnd w:id="77"/>
    <w:p>
      <w:pPr>
        <w:ind w:left="360" w:right="320" w:hanging="10"/>
        <w:spacing w:after="0" w:line="277" w:lineRule="auto"/>
        <w:tabs>
          <w:tab w:leader="none" w:pos="6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 including but not limited to a breach of the terms and conditions of your engagement with the Company;</w:t>
      </w:r>
    </w:p>
    <w:p>
      <w:pPr>
        <w:spacing w:after="0" w:line="62" w:lineRule="exact"/>
        <w:rPr>
          <w:rFonts w:ascii="Arial" w:cs="Arial" w:eastAsia="Arial" w:hAnsi="Arial"/>
          <w:sz w:val="18"/>
          <w:szCs w:val="18"/>
          <w:color w:val="auto"/>
        </w:rPr>
      </w:pPr>
    </w:p>
    <w:p>
      <w:pPr>
        <w:ind w:left="360" w:right="120" w:hanging="10"/>
        <w:spacing w:after="0" w:line="302" w:lineRule="auto"/>
        <w:tabs>
          <w:tab w:leader="none" w:pos="615" w:val="left"/>
        </w:tabs>
        <w:numPr>
          <w:ilvl w:val="0"/>
          <w:numId w:val="48"/>
        </w:numPr>
        <w:rPr>
          <w:rFonts w:ascii="Arial" w:cs="Arial" w:eastAsia="Arial" w:hAnsi="Arial"/>
          <w:sz w:val="16"/>
          <w:szCs w:val="16"/>
          <w:color w:val="auto"/>
        </w:rPr>
      </w:pPr>
      <w:r>
        <w:rPr>
          <w:rFonts w:ascii="Arial" w:cs="Arial" w:eastAsia="Arial" w:hAnsi="Arial"/>
          <w:sz w:val="16"/>
          <w:szCs w:val="16"/>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 service provider for the Company or any Affiliate or Subsidiary concerning the names and addresses of the Company’s or any Affiliate’s or Subsidiary’s employees;</w:t>
      </w:r>
    </w:p>
    <w:p>
      <w:pPr>
        <w:spacing w:after="0" w:line="46" w:lineRule="exact"/>
        <w:rPr>
          <w:rFonts w:ascii="Arial" w:cs="Arial" w:eastAsia="Arial" w:hAnsi="Arial"/>
          <w:sz w:val="16"/>
          <w:szCs w:val="16"/>
          <w:color w:val="auto"/>
        </w:rPr>
      </w:pPr>
    </w:p>
    <w:p>
      <w:pPr>
        <w:ind w:left="360" w:right="140" w:hanging="10"/>
        <w:spacing w:after="0" w:line="257" w:lineRule="auto"/>
        <w:tabs>
          <w:tab w:leader="none" w:pos="6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360" w:right="180" w:hanging="10"/>
        <w:spacing w:after="0" w:line="259" w:lineRule="auto"/>
        <w:tabs>
          <w:tab w:leader="none" w:pos="585"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engagement with the Company or any Affiliate or Subsidiary; or</w:t>
      </w:r>
    </w:p>
    <w:p>
      <w:pPr>
        <w:spacing w:after="0" w:line="78" w:lineRule="exact"/>
        <w:rPr>
          <w:rFonts w:ascii="Arial" w:cs="Arial" w:eastAsia="Arial" w:hAnsi="Arial"/>
          <w:sz w:val="18"/>
          <w:szCs w:val="18"/>
          <w:color w:val="auto"/>
        </w:rPr>
      </w:pPr>
    </w:p>
    <w:p>
      <w:pPr>
        <w:ind w:left="360" w:right="220" w:hanging="10"/>
        <w:spacing w:after="0" w:line="277" w:lineRule="auto"/>
        <w:tabs>
          <w:tab w:leader="none" w:pos="6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 engaged in conduct that the Committee (as defined in the Plan) reasonably concludes would have given rise to a termination for “cause” had it been discovered before you terminated service for the Company or any Affiliate or Subsidiary.</w:t>
      </w:r>
    </w:p>
    <w:p>
      <w:pPr>
        <w:spacing w:after="0" w:line="5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Your SARs May Vest Earlier Than Described Above. </w:t>
      </w:r>
      <w:r>
        <w:rPr>
          <w:rFonts w:ascii="Arial" w:cs="Arial" w:eastAsia="Arial" w:hAnsi="Arial"/>
          <w:sz w:val="18"/>
          <w:szCs w:val="18"/>
          <w:color w:val="auto"/>
        </w:rPr>
        <w:t>Normally, your SARs will vest only in the circumstances described above. However, if there is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(as defined in the Plan), your SARs may vest earlier. You should read the Plan and the Prospectus carefully to ensure that you understand how this may happen.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Rights Before Your SARs Are Exercised: </w:t>
      </w:r>
      <w:r>
        <w:rPr>
          <w:rFonts w:ascii="Arial" w:cs="Arial" w:eastAsia="Arial" w:hAnsi="Arial"/>
          <w:sz w:val="17"/>
          <w:szCs w:val="17"/>
          <w:color w:val="auto"/>
        </w:rPr>
        <w:t>You may not vote, or receive any dividends associated with, the common shares underlying your SARs.</w:t>
      </w:r>
    </w:p>
    <w:p>
      <w:pPr>
        <w:spacing w:after="0" w:line="129"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color w:val="auto"/>
        </w:rPr>
        <w:t xml:space="preserve">Beneficiary Designation: </w:t>
      </w:r>
      <w:r>
        <w:rPr>
          <w:rFonts w:ascii="Arial" w:cs="Arial" w:eastAsia="Arial" w:hAnsi="Arial"/>
          <w:sz w:val="16"/>
          <w:szCs w:val="16"/>
          <w:color w:val="auto"/>
        </w:rPr>
        <w:t>You may name a beneficiary or beneficiaries to receive or to exercise any vested SARs that are unexercised when you die. This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done only on 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4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Transferring Your SARs: </w:t>
      </w:r>
      <w:r>
        <w:rPr>
          <w:rFonts w:ascii="Arial" w:cs="Arial" w:eastAsia="Arial" w:hAnsi="Arial"/>
          <w:sz w:val="18"/>
          <w:szCs w:val="18"/>
          <w:color w:val="auto"/>
        </w:rPr>
        <w:t>Normally your SARs may not be transferred to another person. However, you may complete a Beneficiary Designation Form to</w:t>
      </w:r>
      <w:r>
        <w:rPr>
          <w:rFonts w:ascii="Arial" w:cs="Arial" w:eastAsia="Arial" w:hAnsi="Arial"/>
          <w:sz w:val="18"/>
          <w:szCs w:val="18"/>
          <w:b w:val="1"/>
          <w:bCs w:val="1"/>
          <w:color w:val="auto"/>
        </w:rPr>
        <w:t xml:space="preserve"> </w:t>
      </w:r>
      <w:r>
        <w:rPr>
          <w:rFonts w:ascii="Arial" w:cs="Arial" w:eastAsia="Arial" w:hAnsi="Arial"/>
          <w:sz w:val="18"/>
          <w:szCs w:val="18"/>
          <w:color w:val="auto"/>
        </w:rPr>
        <w:t>name the person who may exercise your SARs if you die before their Expiration Date. Also, the Committee may allow you to place your SARs into a trust established for your benefit or for the benefit of your family. Contact [Third Party Administrator] at [TPA Telephone Number] or at the address given below if you are interested in doing this.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ind w:right="100"/>
        <w:spacing w:after="0" w:line="282" w:lineRule="auto"/>
        <w:rPr>
          <w:sz w:val="20"/>
          <w:szCs w:val="20"/>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will be construed in accordance with and governed by the laws of the United States and of the State of Ohio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laws governing conflicts of laws).</w:t>
      </w:r>
    </w:p>
    <w:p>
      <w:pPr>
        <w:spacing w:after="0" w:line="54"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Also, your SARs will be subject to the terms of any other written agreements between you and the Company or any Affiliate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to the extent that those other agreements do not directly conflict with the terms of the Plan or this Award Agreement. However, the parties hereby agree and acknowledge that the terms of this Award Agreement and the Plan regarding Noncompetition, Nonsolicitation and/or Confidentiality are intended to supplement and not conflict with any written agreement that they may have or that they may enter regarding the same matters.</w:t>
      </w:r>
    </w:p>
    <w:p>
      <w:pPr>
        <w:spacing w:after="0" w:line="57" w:lineRule="exact"/>
        <w:rPr>
          <w:sz w:val="20"/>
          <w:szCs w:val="20"/>
          <w:color w:val="auto"/>
        </w:rPr>
      </w:pPr>
    </w:p>
    <w:p>
      <w:pPr>
        <w:jc w:val="both"/>
        <w:ind w:right="140"/>
        <w:spacing w:after="0" w:line="282" w:lineRule="auto"/>
        <w:rPr>
          <w:sz w:val="20"/>
          <w:szCs w:val="20"/>
          <w:color w:val="auto"/>
        </w:rPr>
      </w:pPr>
      <w:r>
        <w:rPr>
          <w:rFonts w:ascii="Arial" w:cs="Arial" w:eastAsia="Arial" w:hAnsi="Arial"/>
          <w:sz w:val="18"/>
          <w:szCs w:val="18"/>
          <w:b w:val="1"/>
          <w:bCs w:val="1"/>
          <w:color w:val="auto"/>
        </w:rPr>
        <w:t xml:space="preserve">Adjustments to SARs: </w:t>
      </w:r>
      <w:r>
        <w:rPr>
          <w:rFonts w:ascii="Arial" w:cs="Arial" w:eastAsia="Arial" w:hAnsi="Arial"/>
          <w:sz w:val="18"/>
          <w:szCs w:val="18"/>
          <w:color w:val="auto"/>
        </w:rPr>
        <w:t>Your SARs will be adjusted, if appropriate, to reflect any change to the Company’s capital structure (e.g., the number of your SARs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Exercise Price will be adjusted to reflect a stock split).</w:t>
      </w:r>
    </w:p>
    <w:p>
      <w:pPr>
        <w:spacing w:after="0" w:line="54"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 xml:space="preserve">Your Status as an Independent Contractor: </w:t>
      </w:r>
      <w:r>
        <w:rPr>
          <w:rFonts w:ascii="Arial" w:cs="Arial" w:eastAsia="Arial" w:hAnsi="Arial"/>
          <w:sz w:val="18"/>
          <w:szCs w:val="18"/>
          <w:color w:val="auto"/>
        </w:rPr>
        <w:t>This Award Agreement is not intended by either party to alter your status as an independent contractor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you acknowledge and agree that this Award Agreement shall in no way be interpreted as entitling you to any of the employee benefits offered by the Company to its employees.</w:t>
      </w:r>
    </w:p>
    <w:p>
      <w:pPr>
        <w:spacing w:after="0" w:line="68"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Other Rules: </w:t>
      </w:r>
      <w:r>
        <w:rPr>
          <w:rFonts w:ascii="Arial" w:cs="Arial" w:eastAsia="Arial" w:hAnsi="Arial"/>
          <w:sz w:val="17"/>
          <w:szCs w:val="17"/>
          <w:color w:val="auto"/>
        </w:rPr>
        <w:t>Your SARs also are subject to more rules described in the Plan and in the Plan’s Prospectus. You should read both of these documents carefully</w:t>
      </w:r>
      <w:r>
        <w:rPr>
          <w:rFonts w:ascii="Arial" w:cs="Arial" w:eastAsia="Arial" w:hAnsi="Arial"/>
          <w:sz w:val="17"/>
          <w:szCs w:val="17"/>
          <w:b w:val="1"/>
          <w:bCs w:val="1"/>
          <w:color w:val="auto"/>
        </w:rPr>
        <w:t xml:space="preserve"> </w:t>
      </w:r>
      <w:r>
        <w:rPr>
          <w:rFonts w:ascii="Arial" w:cs="Arial" w:eastAsia="Arial" w:hAnsi="Arial"/>
          <w:sz w:val="17"/>
          <w:szCs w:val="17"/>
          <w:color w:val="auto"/>
        </w:rPr>
        <w:t>to ensure you fully understand all the terms and conditions of the grant of SARs made to you under this Award Agreement.</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You may contact [Third Party Administrator] at [TPA Telephone Number] or at the address given below if you have any questions about your Award or this Award Agreement.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t>Your Acknowledgement of Award Conditions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Note: You must sign and return a copy of this Award Agreement to [Third Party Administrator] at the address given below no later than [30 Days Post Grant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I acknowledge and agree that:</w:t>
      </w:r>
    </w:p>
    <w:p>
      <w:pPr>
        <w:spacing w:after="0" w:line="117" w:lineRule="exact"/>
        <w:rPr>
          <w:sz w:val="20"/>
          <w:szCs w:val="20"/>
          <w:color w:val="auto"/>
        </w:rPr>
      </w:pPr>
    </w:p>
    <w:p>
      <w:pPr>
        <w:ind w:left="440" w:hanging="216"/>
        <w:spacing w:after="0"/>
        <w:tabs>
          <w:tab w:leader="none" w:pos="44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A copy of the Plan has been made available to me;</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I have received a copy of the Plan’s Prospectus;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I understand and accept the conditions placed on my SARs and understand what I must do to earn my SARs;</w:t>
      </w:r>
    </w:p>
    <w:p>
      <w:pPr>
        <w:spacing w:after="0" w:line="130" w:lineRule="exact"/>
        <w:rPr>
          <w:rFonts w:ascii="Arial" w:cs="Arial" w:eastAsia="Arial" w:hAnsi="Arial"/>
          <w:sz w:val="18"/>
          <w:szCs w:val="18"/>
          <w:b w:val="1"/>
          <w:bCs w:val="1"/>
          <w:color w:val="auto"/>
        </w:rPr>
      </w:pPr>
    </w:p>
    <w:p>
      <w:pPr>
        <w:ind w:left="440" w:right="140" w:hanging="216"/>
        <w:spacing w:after="0" w:line="277" w:lineRule="auto"/>
        <w:tabs>
          <w:tab w:leader="none" w:pos="44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I understand that my Award and the terms and conditions of my Award do not alter my status as an independent contractor of the Company and do not entitle me to any employee benefits that the Company may offer its employees;</w:t>
      </w:r>
    </w:p>
    <w:p>
      <w:pPr>
        <w:spacing w:after="0" w:line="75" w:lineRule="exact"/>
        <w:rPr>
          <w:rFonts w:ascii="Arial" w:cs="Arial" w:eastAsia="Arial" w:hAnsi="Arial"/>
          <w:sz w:val="18"/>
          <w:szCs w:val="18"/>
          <w:b w:val="1"/>
          <w:bCs w:val="1"/>
          <w:color w:val="auto"/>
        </w:rPr>
      </w:pPr>
    </w:p>
    <w:p>
      <w:pPr>
        <w:ind w:left="440" w:hanging="216"/>
        <w:spacing w:after="0" w:line="264" w:lineRule="auto"/>
        <w:tabs>
          <w:tab w:leader="none" w:pos="44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I will consent (on my own behalf and on behalf of my beneficiaries and without any further consideration) to any necessary change to my SARs or this Award Agreement to comply with any law and to avoid paying penalties under Section 409A of the Internal Revenue Code, even if those changes affect the terms of my SARs and reduce their value or potential value; and</w:t>
      </w:r>
    </w:p>
    <w:p>
      <w:pPr>
        <w:spacing w:after="0" w:line="86" w:lineRule="exact"/>
        <w:rPr>
          <w:rFonts w:ascii="Arial" w:cs="Arial" w:eastAsia="Arial" w:hAnsi="Arial"/>
          <w:sz w:val="18"/>
          <w:szCs w:val="18"/>
          <w:b w:val="1"/>
          <w:bCs w:val="1"/>
          <w:color w:val="auto"/>
        </w:rPr>
      </w:pPr>
    </w:p>
    <w:p>
      <w:pPr>
        <w:ind w:left="440" w:right="620" w:hanging="216"/>
        <w:spacing w:after="0" w:line="277" w:lineRule="auto"/>
        <w:tabs>
          <w:tab w:leader="none" w:pos="44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If I do not return a signed copy of this Award Agreement to the address shown below on or before [30 Days Post Grant Date], my SARs will be forfeited and I will not be entitled to receive anything on account of this Award.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3"/>
          </w:tcPr>
          <w:p>
            <w:pPr>
              <w:spacing w:after="0"/>
              <w:rPr>
                <w:sz w:val="20"/>
                <w:szCs w:val="20"/>
                <w:color w:val="auto"/>
              </w:rPr>
            </w:pPr>
            <w:r>
              <w:rPr>
                <w:rFonts w:ascii="Arial" w:cs="Arial" w:eastAsia="Arial" w:hAnsi="Arial"/>
                <w:sz w:val="18"/>
                <w:szCs w:val="18"/>
                <w:color w:val="auto"/>
              </w:rPr>
              <w:t>[Grantee’s Name]</w:t>
            </w:r>
          </w:p>
        </w:tc>
        <w:tc>
          <w:tcPr>
            <w:tcW w:w="5640" w:type="dxa"/>
            <w:vAlign w:val="bottom"/>
            <w:gridSpan w:val="5"/>
          </w:tcPr>
          <w:p>
            <w:pPr>
              <w:ind w:left="78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gridSpan w:val="2"/>
          </w:tcPr>
          <w:p>
            <w:pPr>
              <w:spacing w:after="0"/>
              <w:rPr>
                <w:sz w:val="24"/>
                <w:szCs w:val="24"/>
                <w:color w:val="auto"/>
              </w:rPr>
            </w:pPr>
          </w:p>
        </w:tc>
        <w:tc>
          <w:tcPr>
            <w:tcW w:w="1100" w:type="dxa"/>
            <w:vAlign w:val="bottom"/>
          </w:tcPr>
          <w:p>
            <w:pPr>
              <w:ind w:left="78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gridSpan w:val="4"/>
          </w:tcPr>
          <w:p>
            <w:pPr>
              <w:spacing w:after="0"/>
              <w:rPr>
                <w:sz w:val="24"/>
                <w:szCs w:val="24"/>
                <w:color w:val="auto"/>
              </w:rPr>
            </w:pPr>
          </w:p>
        </w:tc>
      </w:tr>
      <w:tr>
        <w:trPr>
          <w:trHeight w:val="439"/>
        </w:trPr>
        <w:tc>
          <w:tcPr>
            <w:tcW w:w="960" w:type="dxa"/>
            <w:vAlign w:val="bottom"/>
            <w:gridSpan w:val="2"/>
          </w:tcPr>
          <w:p>
            <w:pPr>
              <w:spacing w:after="0"/>
              <w:rPr>
                <w:sz w:val="20"/>
                <w:szCs w:val="20"/>
                <w:color w:val="auto"/>
              </w:rPr>
            </w:pPr>
            <w:r>
              <w:rPr>
                <w:rFonts w:ascii="Arial" w:cs="Arial" w:eastAsia="Arial" w:hAnsi="Arial"/>
                <w:sz w:val="18"/>
                <w:szCs w:val="18"/>
                <w:color w:val="auto"/>
                <w:w w:val="92"/>
              </w:rPr>
              <w:t>Date signed:</w:t>
            </w:r>
          </w:p>
        </w:tc>
        <w:tc>
          <w:tcPr>
            <w:tcW w:w="3920" w:type="dxa"/>
            <w:vAlign w:val="bottom"/>
            <w:tcBorders>
              <w:bottom w:val="single" w:sz="8" w:color="auto"/>
            </w:tcBorders>
          </w:tcPr>
          <w:p>
            <w:pPr>
              <w:spacing w:after="0"/>
              <w:rPr>
                <w:sz w:val="24"/>
                <w:szCs w:val="24"/>
                <w:color w:val="auto"/>
              </w:rPr>
            </w:pPr>
          </w:p>
        </w:tc>
        <w:tc>
          <w:tcPr>
            <w:tcW w:w="1320" w:type="dxa"/>
            <w:vAlign w:val="bottom"/>
            <w:gridSpan w:val="3"/>
          </w:tcPr>
          <w:p>
            <w:pPr>
              <w:ind w:left="780"/>
              <w:spacing w:after="0"/>
              <w:rPr>
                <w:sz w:val="20"/>
                <w:szCs w:val="20"/>
                <w:color w:val="auto"/>
              </w:rPr>
            </w:pPr>
            <w:r>
              <w:rPr>
                <w:rFonts w:ascii="Arial" w:cs="Arial" w:eastAsia="Arial" w:hAnsi="Arial"/>
                <w:sz w:val="18"/>
                <w:szCs w:val="18"/>
                <w:color w:val="auto"/>
                <w:w w:val="98"/>
              </w:rPr>
              <w:t>Name:</w:t>
            </w:r>
          </w:p>
        </w:tc>
        <w:tc>
          <w:tcPr>
            <w:tcW w:w="4320" w:type="dxa"/>
            <w:vAlign w:val="bottom"/>
            <w:tcBorders>
              <w:bottom w:val="single" w:sz="8" w:color="auto"/>
            </w:tcBorders>
            <w:gridSpan w:val="2"/>
          </w:tcPr>
          <w:p>
            <w:pPr>
              <w:spacing w:after="0"/>
              <w:rPr>
                <w:sz w:val="24"/>
                <w:szCs w:val="24"/>
                <w:color w:val="auto"/>
              </w:rPr>
            </w:pPr>
          </w:p>
        </w:tc>
      </w:tr>
      <w:tr>
        <w:trPr>
          <w:trHeight w:val="412"/>
        </w:trPr>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Title:</w:t>
            </w:r>
          </w:p>
        </w:tc>
        <w:tc>
          <w:tcPr>
            <w:tcW w:w="4420" w:type="dxa"/>
            <w:vAlign w:val="bottom"/>
            <w:tcBorders>
              <w:bottom w:val="single" w:sz="8" w:color="auto"/>
            </w:tcBorders>
            <w:gridSpan w:val="3"/>
          </w:tcPr>
          <w:p>
            <w:pPr>
              <w:spacing w:after="0"/>
              <w:rPr>
                <w:sz w:val="24"/>
                <w:szCs w:val="24"/>
                <w:color w:val="auto"/>
              </w:rPr>
            </w:pPr>
          </w:p>
        </w:tc>
      </w:tr>
      <w:tr>
        <w:trPr>
          <w:trHeight w:val="412"/>
        </w:trPr>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0" w:type="dxa"/>
            <w:vAlign w:val="bottom"/>
            <w:gridSpan w:val="4"/>
          </w:tcPr>
          <w:p>
            <w:pPr>
              <w:ind w:left="780"/>
              <w:spacing w:after="0"/>
              <w:rPr>
                <w:sz w:val="20"/>
                <w:szCs w:val="20"/>
                <w:color w:val="auto"/>
              </w:rPr>
            </w:pPr>
            <w:r>
              <w:rPr>
                <w:rFonts w:ascii="Arial" w:cs="Arial" w:eastAsia="Arial" w:hAnsi="Arial"/>
                <w:sz w:val="18"/>
                <w:szCs w:val="18"/>
                <w:color w:val="auto"/>
                <w:w w:val="98"/>
              </w:rPr>
              <w:t>Date signed:</w:t>
            </w:r>
          </w:p>
        </w:tc>
        <w:tc>
          <w:tcPr>
            <w:tcW w:w="3840" w:type="dxa"/>
            <w:vAlign w:val="bottom"/>
            <w:tcBorders>
              <w:bottom w:val="single" w:sz="8" w:color="auto"/>
            </w:tcBorders>
          </w:tcPr>
          <w:p>
            <w:pPr>
              <w:spacing w:after="0"/>
              <w:rPr>
                <w:sz w:val="24"/>
                <w:szCs w:val="24"/>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Award Agreement must be sent to the following address no later than [30 Days Post Grant Date]: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[Contact’s Address]</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[TPA Telephone Number]</w:t>
      </w:r>
    </w:p>
    <w:p>
      <w:pPr>
        <w:spacing w:after="0" w:line="11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After it is received, The Scotts Miracle-Gro Company 2006 Long-Term Incentive Plan Committee will acknowledge receipt of your signed Award Agreement.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80" w:name="page81"/>
    <w:bookmarkEnd w:id="80"/>
    <w:p>
      <w:pPr>
        <w:jc w:val="center"/>
        <w:ind w:right="-1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STOCK SETTLED STOCK APPRECIATION RIGHT EXERCISE NOTICE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AFFECTING [NUMBER GRANTED] STOCK SETTLED STOCK APPRECIATION RIGHTS GRANTED TO</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[GRANTEE’S NAME] ON [GRANT DATE]</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 copies of this Stock Appreciation Right Exercise Notice (and any further information you may need about this Exercise Notice or exercising your SARs) available from [Third Party Administrator] at the address given below.</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By completing this Exercise Notice and returning it to [Third Party Administrator] at the address given below, I elect to exercise the SARs described below:</w:t>
      </w:r>
    </w:p>
    <w:p>
      <w:pPr>
        <w:spacing w:after="0" w:line="14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NOTE: You must complete a separate Stock Appreciation Right Exercise Notice each time you exercise SARs granted under each Award Agreement (e.g., if you are exercising 200 SARs granted January 1, 2007 and 100 SARs granted January 1, 2008 under a separate award agreement, you must complete two Stock Appreciation Right Exercise Notices, one for each set of SARs being exercised).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AFFECTED SARS: This exercise relates to the following SARs (fill in the blanks):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GRANT DATE: [GRANT DATE]</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NUMBER OF SARS BEING EXERCISED WITH THIS EXERCISE NOTICE (AT LEAST 100 COMMON SHARES OF THE COMPANY (OR, IF SMALLER, THE NUMBER OF YOUR OUTSTANDING VESTED 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160020</wp:posOffset>
            </wp:positionV>
            <wp:extent cx="11430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367" w:lineRule="exact"/>
        <w:rPr>
          <w:sz w:val="20"/>
          <w:szCs w:val="20"/>
          <w:color w:val="auto"/>
        </w:rPr>
      </w:pPr>
    </w:p>
    <w:p>
      <w:pPr>
        <w:ind w:right="5360"/>
        <w:spacing w:after="0" w:line="277" w:lineRule="auto"/>
        <w:rPr>
          <w:sz w:val="20"/>
          <w:szCs w:val="20"/>
          <w:color w:val="auto"/>
        </w:rPr>
      </w:pPr>
      <w:r>
        <w:rPr>
          <w:rFonts w:ascii="Arial" w:cs="Arial" w:eastAsia="Arial" w:hAnsi="Arial"/>
          <w:sz w:val="18"/>
          <w:szCs w:val="18"/>
          <w:color w:val="auto"/>
        </w:rPr>
        <w:t>PAYMENT OF TAXES: I have decided to exercise my SARs (and to pay the taxes related to this exercise) by (check one):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These methods are described in the Award Agreement.</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Combination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-10160</wp:posOffset>
            </wp:positionV>
            <wp:extent cx="571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Exercise and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-10160</wp:posOffset>
            </wp:positionV>
            <wp:extent cx="571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17" w:lineRule="exact"/>
        <w:rPr>
          <w:sz w:val="20"/>
          <w:szCs w:val="20"/>
          <w:color w:val="auto"/>
        </w:rPr>
      </w:pPr>
    </w:p>
    <w:p>
      <w:pPr>
        <w:ind w:left="1120" w:hanging="437"/>
        <w:spacing w:after="0" w:line="264" w:lineRule="auto"/>
        <w:tabs>
          <w:tab w:leader="none" w:pos="112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If you select the Exercise and Hold method of exercise, you must also follow one of the procedures described in the Award Agreement to pay the taxes related to this exercise. You should contact [Third Party Administrator] at the address given below to find out the amount of these taxes.</w:t>
      </w:r>
    </w:p>
    <w:p>
      <w:pPr>
        <w:spacing w:after="0" w:line="86" w:lineRule="exact"/>
        <w:rPr>
          <w:rFonts w:ascii="Arial" w:cs="Arial" w:eastAsia="Arial" w:hAnsi="Arial"/>
          <w:sz w:val="18"/>
          <w:szCs w:val="18"/>
          <w:b w:val="1"/>
          <w:bCs w:val="1"/>
          <w:color w:val="auto"/>
        </w:rPr>
      </w:pPr>
    </w:p>
    <w:p>
      <w:pPr>
        <w:ind w:left="1120" w:right="120" w:hanging="437"/>
        <w:spacing w:after="0" w:line="277" w:lineRule="auto"/>
        <w:tabs>
          <w:tab w:leader="none" w:pos="112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If you select the Combination Exercise method of exercise, you should contact [Third Party Administrator] at the address given below to be sure you understand how your choice will affect the number of common shares of the Company you will receive.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81" w:name="page82"/>
    <w:bookmarkEnd w:id="81"/>
    <w:p>
      <w:pPr>
        <w:ind w:right="3000" w:firstLine="3253"/>
        <w:spacing w:after="0" w:line="375" w:lineRule="auto"/>
        <w:rPr>
          <w:sz w:val="20"/>
          <w:szCs w:val="20"/>
          <w:color w:val="auto"/>
        </w:rPr>
      </w:pPr>
      <w:r>
        <w:rPr>
          <w:rFonts w:ascii="Arial" w:cs="Arial" w:eastAsia="Arial" w:hAnsi="Arial"/>
          <w:sz w:val="18"/>
          <w:szCs w:val="18"/>
          <w:b w:val="1"/>
          <w:bCs w:val="1"/>
          <w:color w:val="auto"/>
        </w:rPr>
        <w:t xml:space="preserve">YOUR ACKNOWLEDGEMENT OF EFFECT OF EXERCISE </w:t>
      </w:r>
      <w:r>
        <w:rPr>
          <w:rFonts w:ascii="Arial" w:cs="Arial" w:eastAsia="Arial" w:hAnsi="Arial"/>
          <w:sz w:val="18"/>
          <w:szCs w:val="18"/>
          <w:color w:val="auto"/>
        </w:rPr>
        <w:t>By signing below, I acknowledge and agree that:</w:t>
      </w:r>
    </w:p>
    <w:p>
      <w:pPr>
        <w:spacing w:after="0" w:line="5" w:lineRule="exact"/>
        <w:rPr>
          <w:sz w:val="20"/>
          <w:szCs w:val="20"/>
          <w:color w:val="auto"/>
        </w:rPr>
      </w:pPr>
    </w:p>
    <w:p>
      <w:pPr>
        <w:ind w:left="1120" w:right="380" w:hanging="437"/>
        <w:spacing w:after="0" w:line="308" w:lineRule="auto"/>
        <w:tabs>
          <w:tab w:leader="none" w:pos="1120" w:val="left"/>
        </w:tabs>
        <w:numPr>
          <w:ilvl w:val="0"/>
          <w:numId w:val="51"/>
        </w:numPr>
        <w:rPr>
          <w:rFonts w:ascii="Arial" w:cs="Arial" w:eastAsia="Arial" w:hAnsi="Arial"/>
          <w:sz w:val="17"/>
          <w:szCs w:val="17"/>
          <w:b w:val="1"/>
          <w:bCs w:val="1"/>
          <w:color w:val="auto"/>
        </w:rPr>
      </w:pPr>
      <w:r>
        <w:rPr>
          <w:rFonts w:ascii="Arial" w:cs="Arial" w:eastAsia="Arial" w:hAnsi="Arial"/>
          <w:sz w:val="17"/>
          <w:szCs w:val="17"/>
          <w:color w:val="auto"/>
        </w:rPr>
        <w:t>I fully understand the effect (including the investment effect) of exercising my SARs and buying common shares of the Company and understand that there is no guarantee that the value of these shares common will appreciate or will not depreciate;</w:t>
      </w:r>
    </w:p>
    <w:p>
      <w:pPr>
        <w:spacing w:after="0" w:line="51" w:lineRule="exact"/>
        <w:rPr>
          <w:rFonts w:ascii="Arial" w:cs="Arial" w:eastAsia="Arial" w:hAnsi="Arial"/>
          <w:sz w:val="17"/>
          <w:szCs w:val="17"/>
          <w:b w:val="1"/>
          <w:bCs w:val="1"/>
          <w:color w:val="auto"/>
        </w:rPr>
      </w:pPr>
    </w:p>
    <w:p>
      <w:pPr>
        <w:ind w:left="1120" w:hanging="437"/>
        <w:spacing w:after="0" w:line="277" w:lineRule="auto"/>
        <w:tabs>
          <w:tab w:leader="none" w:pos="112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This Exercise Notice will have no effect if it is not returned to [Third Party Administrator] at the address given below before the Expiration Date specified in the Award Agreement under which these SARs were granted; and</w:t>
      </w:r>
    </w:p>
    <w:p>
      <w:pPr>
        <w:spacing w:after="0" w:line="75" w:lineRule="exact"/>
        <w:rPr>
          <w:rFonts w:ascii="Arial" w:cs="Arial" w:eastAsia="Arial" w:hAnsi="Arial"/>
          <w:sz w:val="18"/>
          <w:szCs w:val="18"/>
          <w:b w:val="1"/>
          <w:bCs w:val="1"/>
          <w:color w:val="auto"/>
        </w:rPr>
      </w:pPr>
    </w:p>
    <w:p>
      <w:pPr>
        <w:ind w:left="1120" w:right="400" w:hanging="437"/>
        <w:spacing w:after="0" w:line="277" w:lineRule="auto"/>
        <w:tabs>
          <w:tab w:leader="none" w:pos="112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Any common shares of the Company I am acquiring by completing and returning this Exercise Notice will be issued to me as soon as administratively practicable.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7045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14605</wp:posOffset>
            </wp:positionV>
            <wp:extent cx="2898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Stock Appreciation Right Exercise Notice must be sent to the following address no later than the Expiration Date: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[Contact’s Address]</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[TPA Telephone Number]</w:t>
      </w:r>
    </w:p>
    <w:p>
      <w:pPr>
        <w:spacing w:after="0" w:line="33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56" w:right="499" w:bottom="1440" w:gutter="0" w:footer="0" w:header="0"/>
        </w:sectPr>
      </w:pPr>
    </w:p>
    <w:bookmarkStart w:id="82" w:name="page83"/>
    <w:bookmarkEnd w:id="82"/>
    <w:p>
      <w:pPr>
        <w:ind w:left="4140"/>
        <w:spacing w:after="0"/>
        <w:rPr>
          <w:sz w:val="20"/>
          <w:szCs w:val="20"/>
          <w:color w:val="auto"/>
        </w:rPr>
      </w:pPr>
      <w:r>
        <w:rPr>
          <w:rFonts w:ascii="Arial" w:cs="Arial" w:eastAsia="Arial" w:hAnsi="Arial"/>
          <w:sz w:val="18"/>
          <w:szCs w:val="18"/>
          <w:b w:val="1"/>
          <w:bCs w:val="1"/>
          <w:color w:val="auto"/>
        </w:rPr>
        <w:t>ACKNOWLEDGEMENT OF RECEIPT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this Stock Appreciation Right Exercise Notice was received on:</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1430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Has effectively exercised the SARs described in this Notice;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-10160</wp:posOffset>
            </wp:positionV>
            <wp:extent cx="571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Has not effectively exercised the SARs described in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-10160</wp:posOffset>
            </wp:positionV>
            <wp:extent cx="571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5715</wp:posOffset>
            </wp:positionV>
            <wp:extent cx="37903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2" w:lineRule="exact"/>
        <w:rPr>
          <w:sz w:val="20"/>
          <w:szCs w:val="20"/>
          <w:color w:val="auto"/>
        </w:rPr>
      </w:pPr>
    </w:p>
    <w:p>
      <w:pPr>
        <w:ind w:left="3540"/>
        <w:spacing w:after="0"/>
        <w:rPr>
          <w:sz w:val="20"/>
          <w:szCs w:val="20"/>
          <w:color w:val="auto"/>
        </w:rPr>
      </w:pPr>
      <w:r>
        <w:rPr>
          <w:rFonts w:ascii="Arial" w:cs="Arial" w:eastAsia="Arial" w:hAnsi="Arial"/>
          <w:sz w:val="18"/>
          <w:szCs w:val="18"/>
          <w:i w:val="1"/>
          <w:iCs w:val="1"/>
          <w:color w:val="auto"/>
        </w:rPr>
        <w:t>describe deficiency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30187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8898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Note: Keep a copy of this Exercise Notice as part of the Plan’s permanent records.</w:t>
      </w:r>
    </w:p>
    <w:p>
      <w:pPr>
        <w:spacing w:after="0" w:line="33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8" w:right="1440" w:bottom="1440" w:gutter="0" w:footer="0" w:header="0"/>
        </w:sectPr>
      </w:pPr>
    </w:p>
    <w:bookmarkStart w:id="83" w:name="page84"/>
    <w:bookmarkEnd w:id="83"/>
    <w:p>
      <w:pPr>
        <w:ind w:left="4080"/>
        <w:spacing w:after="0"/>
        <w:rPr>
          <w:sz w:val="20"/>
          <w:szCs w:val="20"/>
          <w:color w:val="auto"/>
        </w:rPr>
      </w:pPr>
      <w:r>
        <w:rPr>
          <w:rFonts w:ascii="Arial" w:cs="Arial" w:eastAsia="Arial" w:hAnsi="Arial"/>
          <w:sz w:val="18"/>
          <w:szCs w:val="18"/>
          <w:b w:val="1"/>
          <w:bCs w:val="1"/>
          <w:color w:val="auto"/>
        </w:rPr>
        <w:t>Committee’s Acknowledgement of Receipt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3"/>
          </w:tcPr>
          <w:p>
            <w:pPr>
              <w:spacing w:after="0"/>
              <w:rPr>
                <w:sz w:val="20"/>
                <w:szCs w:val="20"/>
                <w:color w:val="auto"/>
              </w:rPr>
            </w:pPr>
            <w:r>
              <w:rPr>
                <w:rFonts w:ascii="Arial" w:cs="Arial" w:eastAsia="Arial" w:hAnsi="Arial"/>
                <w:sz w:val="18"/>
                <w:szCs w:val="18"/>
                <w:color w:val="auto"/>
                <w:w w:val="91"/>
              </w:rPr>
              <w:t>A signed copy of this Award Agreement was received 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1800" w:type="dxa"/>
            <w:vAlign w:val="bottom"/>
            <w:tcBorders>
              <w:bottom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160" w:type="dxa"/>
            <w:vAlign w:val="bottom"/>
            <w:gridSpan w:val="3"/>
          </w:tcPr>
          <w:p>
            <w:pPr>
              <w:spacing w:after="0"/>
              <w:rPr>
                <w:sz w:val="20"/>
                <w:szCs w:val="20"/>
                <w:color w:val="auto"/>
              </w:rPr>
            </w:pPr>
            <w:r>
              <w:rPr>
                <w:rFonts w:ascii="Arial" w:cs="Arial" w:eastAsia="Arial" w:hAnsi="Arial"/>
                <w:sz w:val="18"/>
                <w:szCs w:val="18"/>
                <w:color w:val="auto"/>
              </w:rPr>
              <w:t>[Grantee’s Name]</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Has complied with the conditions imposed on the grant and the Award Agreement remains in effect;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22225</wp:posOffset>
            </wp:positionV>
            <wp:extent cx="6172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30" w:lineRule="exact"/>
        <w:rPr>
          <w:sz w:val="20"/>
          <w:szCs w:val="20"/>
          <w:color w:val="auto"/>
        </w:rPr>
      </w:pPr>
    </w:p>
    <w:p>
      <w:pPr>
        <w:ind w:left="1680" w:right="1299"/>
        <w:spacing w:after="0" w:line="274" w:lineRule="auto"/>
        <w:rPr>
          <w:sz w:val="20"/>
          <w:szCs w:val="20"/>
          <w:color w:val="auto"/>
        </w:rPr>
      </w:pPr>
      <w:r>
        <w:rPr>
          <w:rFonts w:ascii="Arial" w:cs="Arial" w:eastAsia="Arial" w:hAnsi="Arial"/>
          <w:sz w:val="18"/>
          <w:szCs w:val="18"/>
          <w:color w:val="auto"/>
        </w:rPr>
        <w:t>Has not complied with the conditions imposed on the grant and the [Name of Award(s)] are forfeited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-153035</wp:posOffset>
            </wp:positionV>
            <wp:extent cx="6172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-7620</wp:posOffset>
            </wp:positionV>
            <wp:extent cx="49136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8"/>
          <w:szCs w:val="18"/>
          <w:i w:val="1"/>
          <w:iCs w:val="1"/>
          <w:color w:val="auto"/>
        </w:rPr>
        <w:t>describe deficiency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30441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30441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13" w:lineRule="exact"/>
        <w:rPr>
          <w:sz w:val="20"/>
          <w:szCs w:val="20"/>
          <w:color w:val="auto"/>
        </w:rPr>
      </w:pPr>
    </w:p>
    <w:p>
      <w:pPr>
        <w:ind w:left="5620" w:right="619" w:hanging="5615"/>
        <w:spacing w:after="0" w:line="496" w:lineRule="auto"/>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Send a copy of this completed Award Agreement to [Grantee’s Name] and keep a copy as part of the Plan’s permanent records.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8" w:right="1440" w:bottom="1440" w:gutter="0" w:footer="0" w:header="0"/>
        </w:sectPr>
      </w:pPr>
    </w:p>
    <w:bookmarkStart w:id="84" w:name="page85"/>
    <w:bookmarkEnd w:id="84"/>
    <w:p>
      <w:pPr>
        <w:jc w:val="center"/>
        <w:ind w:right="-23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BENEFICIARY DESIGNATION FORM</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RELATING TO [FORM OF AWARD] AWARD GRANTED TO</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[GRANTEE’S NAME] ON [GRANT DATE]</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1.00 Instructions for Completing This Beneficiary Designation Form</w:t>
      </w:r>
    </w:p>
    <w:p>
      <w:pPr>
        <w:spacing w:after="0" w:line="11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 xml:space="preserve">You may use this Beneficiary Designation Form to </w:t>
      </w:r>
      <w:r>
        <w:rPr>
          <w:rFonts w:ascii="Arial" w:cs="Arial" w:eastAsia="Arial" w:hAnsi="Arial"/>
          <w:sz w:val="18"/>
          <w:szCs w:val="18"/>
          <w:b w:val="1"/>
          <w:bCs w:val="1"/>
          <w:color w:val="auto"/>
        </w:rPr>
        <w:t>[1]</w:t>
      </w:r>
      <w:r>
        <w:rPr>
          <w:rFonts w:ascii="Arial" w:cs="Arial" w:eastAsia="Arial" w:hAnsi="Arial"/>
          <w:sz w:val="18"/>
          <w:szCs w:val="18"/>
          <w:color w:val="auto"/>
        </w:rPr>
        <w:t xml:space="preserve"> name the person you want to receive any amount due under The Scotts Miracle-Gro Company 2006 Long-Term Incentive Plan after your death or </w:t>
      </w:r>
      <w:r>
        <w:rPr>
          <w:rFonts w:ascii="Arial" w:cs="Arial" w:eastAsia="Arial" w:hAnsi="Arial"/>
          <w:sz w:val="18"/>
          <w:szCs w:val="18"/>
          <w:b w:val="1"/>
          <w:bCs w:val="1"/>
          <w:color w:val="auto"/>
        </w:rPr>
        <w:t>[2]</w:t>
      </w:r>
      <w:r>
        <w:rPr>
          <w:rFonts w:ascii="Arial" w:cs="Arial" w:eastAsia="Arial" w:hAnsi="Arial"/>
          <w:sz w:val="18"/>
          <w:szCs w:val="18"/>
          <w:color w:val="auto"/>
        </w:rPr>
        <w:t xml:space="preserve"> change the person who will receive these benefits.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There are several things you should know before you complete this Beneficiary Designation Form.</w:t>
      </w:r>
    </w:p>
    <w:p>
      <w:pPr>
        <w:spacing w:after="0" w:line="11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if you do not elect another beneficiary, any amount due to you under the Plan when you die will be paid to your surviving spouse or, if you have no</w:t>
      </w:r>
      <w:r>
        <w:rPr>
          <w:rFonts w:ascii="Arial" w:cs="Arial" w:eastAsia="Arial" w:hAnsi="Arial"/>
          <w:sz w:val="18"/>
          <w:szCs w:val="18"/>
          <w:b w:val="1"/>
          <w:bCs w:val="1"/>
          <w:color w:val="auto"/>
        </w:rPr>
        <w:t xml:space="preserve"> </w:t>
      </w:r>
      <w:r>
        <w:rPr>
          <w:rFonts w:ascii="Arial" w:cs="Arial" w:eastAsia="Arial" w:hAnsi="Arial"/>
          <w:sz w:val="18"/>
          <w:szCs w:val="18"/>
          <w:color w:val="auto"/>
        </w:rPr>
        <w:t>surviving spouse, to your estate.</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your election will not be effective (and will not be implemented) unless you complete all applicable portions of this Beneficiary Designation Form</w:t>
      </w:r>
      <w:r>
        <w:rPr>
          <w:rFonts w:ascii="Arial" w:cs="Arial" w:eastAsia="Arial" w:hAnsi="Arial"/>
          <w:sz w:val="18"/>
          <w:szCs w:val="18"/>
          <w:b w:val="1"/>
          <w:bCs w:val="1"/>
          <w:color w:val="auto"/>
        </w:rPr>
        <w:t xml:space="preserve"> </w:t>
      </w:r>
      <w:r>
        <w:rPr>
          <w:rFonts w:ascii="Arial" w:cs="Arial" w:eastAsia="Arial" w:hAnsi="Arial"/>
          <w:sz w:val="18"/>
          <w:szCs w:val="18"/>
          <w:color w:val="auto"/>
        </w:rPr>
        <w:t>and return it to [Third Party Administrator] at the address given below.</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all elections will remain in effect until they are changed (or until all death benefits are paid).</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if you designate your spouse as your beneficiary but are subsequently divorced from that person (or your marriage is annulled), your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will be revoked automatically.</w:t>
      </w:r>
    </w:p>
    <w:p>
      <w:pPr>
        <w:spacing w:after="0" w:line="54"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if you have any questions about this Beneficiary Designation Form or if you need additional copies of this Form, please contact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at [TPA Telephone Number] or at the address or number given below.</w:t>
      </w: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1.00 Designation of Beneficiary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Primary Beneficiary:</w:t>
      </w:r>
    </w:p>
    <w:p>
      <w:pPr>
        <w:spacing w:after="0" w:line="12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 xml:space="preserve">I designate the following person(s) as my Primary Beneficiary or Beneficiaries to receive any amount due after my death under the terms of the Award Agreement described at the top of this </w:t>
      </w:r>
      <w:r>
        <w:rPr>
          <w:rFonts w:ascii="Arial" w:cs="Arial" w:eastAsia="Arial" w:hAnsi="Arial"/>
          <w:sz w:val="17"/>
          <w:szCs w:val="17"/>
          <w:b w:val="1"/>
          <w:bCs w:val="1"/>
          <w:color w:val="auto"/>
        </w:rPr>
        <w:t>Beneficiary Designation</w:t>
      </w:r>
      <w:r>
        <w:rPr>
          <w:rFonts w:ascii="Arial" w:cs="Arial" w:eastAsia="Arial" w:hAnsi="Arial"/>
          <w:sz w:val="17"/>
          <w:szCs w:val="17"/>
          <w:color w:val="auto"/>
        </w:rPr>
        <w:t xml:space="preserve"> Form. This benefit will be paid, in the proportion specified, to:</w:t>
      </w:r>
    </w:p>
    <w:p>
      <w:pPr>
        <w:sectPr>
          <w:pgSz w:w="11900" w:h="16838" w:orient="portrait"/>
          <w:cols w:equalWidth="0" w:num="1">
            <w:col w:w="11200"/>
          </w:cols>
          <w:pgMar w:left="240" w:top="9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-389890</wp:posOffset>
            </wp:positionV>
            <wp:extent cx="7372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312420</wp:posOffset>
            </wp:positionV>
            <wp:extent cx="7372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312420</wp:posOffset>
            </wp:positionV>
            <wp:extent cx="7372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to</w:t>
      </w:r>
    </w:p>
    <w:p>
      <w:pPr>
        <w:spacing w:after="0" w:line="23" w:lineRule="exact"/>
        <w:rPr>
          <w:sz w:val="20"/>
          <w:szCs w:val="20"/>
          <w:color w:val="auto"/>
        </w:rPr>
      </w:pPr>
    </w:p>
    <w:p>
      <w:pPr>
        <w:jc w:val="both"/>
        <w:ind w:left="2300"/>
        <w:spacing w:after="0"/>
        <w:tabs>
          <w:tab w:leader="none" w:pos="52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-130810</wp:posOffset>
            </wp:positionV>
            <wp:extent cx="44767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476750" cy="8890"/>
                    </a:xfrm>
                    <a:prstGeom prst="rect">
                      <a:avLst/>
                    </a:prstGeom>
                    <a:noFill/>
                  </pic:spPr>
                </pic:pic>
              </a:graphicData>
            </a:graphic>
          </wp:anchor>
        </w:drawing>
        <w:drawing>
          <wp:anchor simplePos="0" relativeHeight="251657728" behindDoc="1" locked="0" layoutInCell="0" allowOverlap="1">
            <wp:simplePos x="0" y="0"/>
            <wp:positionH relativeFrom="column">
              <wp:posOffset>-249555</wp:posOffset>
            </wp:positionH>
            <wp:positionV relativeFrom="paragraph">
              <wp:posOffset>288925</wp:posOffset>
            </wp:positionV>
            <wp:extent cx="49911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 to</w:t>
      </w:r>
    </w:p>
    <w:p>
      <w:pPr>
        <w:spacing w:after="0" w:line="23" w:lineRule="exact"/>
        <w:rPr>
          <w:sz w:val="20"/>
          <w:szCs w:val="20"/>
          <w:color w:val="auto"/>
        </w:rPr>
      </w:pPr>
    </w:p>
    <w:p>
      <w:pPr>
        <w:jc w:val="both"/>
        <w:ind w:left="2300"/>
        <w:spacing w:after="0"/>
        <w:tabs>
          <w:tab w:leader="none" w:pos="52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-130810</wp:posOffset>
            </wp:positionV>
            <wp:extent cx="44767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476750" cy="8890"/>
                    </a:xfrm>
                    <a:prstGeom prst="rect">
                      <a:avLst/>
                    </a:prstGeom>
                    <a:noFill/>
                  </pic:spPr>
                </pic:pic>
              </a:graphicData>
            </a:graphic>
          </wp:anchor>
        </w:drawing>
        <w:drawing>
          <wp:anchor simplePos="0" relativeHeight="251657728" behindDoc="1" locked="0" layoutInCell="0" allowOverlap="1">
            <wp:simplePos x="0" y="0"/>
            <wp:positionH relativeFrom="column">
              <wp:posOffset>-249555</wp:posOffset>
            </wp:positionH>
            <wp:positionV relativeFrom="paragraph">
              <wp:posOffset>288925</wp:posOffset>
            </wp:positionV>
            <wp:extent cx="49911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 to</w:t>
      </w:r>
    </w:p>
    <w:p>
      <w:pPr>
        <w:spacing w:after="0" w:line="23" w:lineRule="exact"/>
        <w:rPr>
          <w:sz w:val="20"/>
          <w:szCs w:val="20"/>
          <w:color w:val="auto"/>
        </w:rPr>
      </w:pPr>
    </w:p>
    <w:p>
      <w:pPr>
        <w:jc w:val="both"/>
        <w:ind w:left="2300"/>
        <w:spacing w:after="0"/>
        <w:tabs>
          <w:tab w:leader="none" w:pos="52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-130810</wp:posOffset>
            </wp:positionV>
            <wp:extent cx="44767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476750" cy="8890"/>
                    </a:xfrm>
                    <a:prstGeom prst="rect">
                      <a:avLst/>
                    </a:prstGeom>
                    <a:noFill/>
                  </pic:spPr>
                </pic:pic>
              </a:graphicData>
            </a:graphic>
          </wp:anchor>
        </w:drawing>
        <w:drawing>
          <wp:anchor simplePos="0" relativeHeight="251657728" behindDoc="1" locked="0" layoutInCell="0" allowOverlap="1">
            <wp:simplePos x="0" y="0"/>
            <wp:positionH relativeFrom="column">
              <wp:posOffset>-249555</wp:posOffset>
            </wp:positionH>
            <wp:positionV relativeFrom="paragraph">
              <wp:posOffset>288925</wp:posOffset>
            </wp:positionV>
            <wp:extent cx="49911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800" w:space="560"/>
            <w:col w:w="8840"/>
          </w:cols>
          <w:pgMar w:left="240" w:top="959" w:right="459" w:bottom="1440" w:gutter="0" w:footer="0" w:header="0"/>
          <w:type w:val="continuous"/>
        </w:sectPr>
      </w:pPr>
    </w:p>
    <w:bookmarkStart w:id="85" w:name="page86"/>
    <w:bookmarkEnd w:id="85"/>
    <w:p>
      <w:pPr>
        <w:ind w:left="2360"/>
        <w:spacing w:after="0"/>
        <w:rPr>
          <w:sz w:val="20"/>
          <w:szCs w:val="20"/>
          <w:color w:val="auto"/>
        </w:rPr>
      </w:pPr>
      <w:r>
        <w:rPr>
          <w:rFonts w:ascii="Arial" w:cs="Arial" w:eastAsia="Arial" w:hAnsi="Arial"/>
          <w:sz w:val="18"/>
          <w:szCs w:val="18"/>
          <w:color w:val="auto"/>
        </w:rPr>
        <w:t>% to</w:t>
      </w:r>
    </w:p>
    <w:p>
      <w:pPr>
        <w:spacing w:after="0" w:line="23" w:lineRule="exact"/>
        <w:rPr>
          <w:sz w:val="20"/>
          <w:szCs w:val="20"/>
          <w:color w:val="auto"/>
        </w:rPr>
      </w:pPr>
    </w:p>
    <w:p>
      <w:pPr>
        <w:ind w:left="4660"/>
        <w:spacing w:after="0"/>
        <w:tabs>
          <w:tab w:leader="none" w:pos="7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5054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20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14605</wp:posOffset>
            </wp:positionV>
            <wp:extent cx="49911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Contingent Beneficiary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If one or more of my Primary Beneficiaries die before I die, I direct that </w:t>
      </w:r>
      <w:r>
        <w:rPr>
          <w:rFonts w:ascii="Arial" w:cs="Arial" w:eastAsia="Arial" w:hAnsi="Arial"/>
          <w:sz w:val="18"/>
          <w:szCs w:val="18"/>
          <w:color w:val="auto"/>
        </w:rPr>
        <w:t>any amount due after my death under the terms of the Award described at the top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this </w:t>
      </w:r>
      <w:r>
        <w:rPr>
          <w:rFonts w:ascii="Arial" w:cs="Arial" w:eastAsia="Arial" w:hAnsi="Arial"/>
          <w:sz w:val="18"/>
          <w:szCs w:val="18"/>
          <w:b w:val="1"/>
          <w:bCs w:val="1"/>
          <w:color w:val="auto"/>
        </w:rPr>
        <w:t>Beneficiary Designation</w:t>
      </w:r>
      <w:r>
        <w:rPr>
          <w:rFonts w:ascii="Arial" w:cs="Arial" w:eastAsia="Arial" w:hAnsi="Arial"/>
          <w:sz w:val="18"/>
          <w:szCs w:val="18"/>
          <w:color w:val="auto"/>
        </w:rPr>
        <w:t xml:space="preserve"> Form:</w:t>
      </w:r>
    </w:p>
    <w:p>
      <w:pPr>
        <w:spacing w:after="0" w:line="170" w:lineRule="exact"/>
        <w:rPr>
          <w:sz w:val="20"/>
          <w:szCs w:val="20"/>
          <w:color w:val="auto"/>
        </w:rPr>
      </w:pPr>
    </w:p>
    <w:p>
      <w:pPr>
        <w:ind w:left="1160" w:right="1640" w:firstLine="1206"/>
        <w:spacing w:after="0" w:line="293" w:lineRule="auto"/>
        <w:rPr>
          <w:sz w:val="20"/>
          <w:szCs w:val="20"/>
          <w:color w:val="auto"/>
        </w:rPr>
      </w:pPr>
      <w:r>
        <w:rPr>
          <w:rFonts w:ascii="Arial" w:cs="Arial" w:eastAsia="Arial" w:hAnsi="Arial"/>
          <w:sz w:val="18"/>
          <w:szCs w:val="18"/>
          <w:color w:val="auto"/>
        </w:rPr>
        <w:t>Be paid to my other named Primary Beneficiaries in proportion to the allocation given above (ignoring the interest allocated to the deceased Primary Beneficiary);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-173990</wp:posOffset>
            </wp:positionV>
            <wp:extent cx="7372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3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Be distributed among the following Contingent Beneficiaries: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7372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19"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 to</w:t>
      </w:r>
    </w:p>
    <w:p>
      <w:pPr>
        <w:spacing w:after="0" w:line="23" w:lineRule="exact"/>
        <w:rPr>
          <w:sz w:val="20"/>
          <w:szCs w:val="20"/>
          <w:color w:val="auto"/>
        </w:rPr>
      </w:pPr>
    </w:p>
    <w:p>
      <w:pPr>
        <w:ind w:left="4660"/>
        <w:spacing w:after="0"/>
        <w:tabs>
          <w:tab w:leader="none" w:pos="7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5054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20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14605</wp:posOffset>
            </wp:positionV>
            <wp:extent cx="49911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219"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 to</w:t>
      </w:r>
    </w:p>
    <w:p>
      <w:pPr>
        <w:spacing w:after="0" w:line="23" w:lineRule="exact"/>
        <w:rPr>
          <w:sz w:val="20"/>
          <w:szCs w:val="20"/>
          <w:color w:val="auto"/>
        </w:rPr>
      </w:pPr>
    </w:p>
    <w:p>
      <w:pPr>
        <w:ind w:left="4660"/>
        <w:spacing w:after="0"/>
        <w:tabs>
          <w:tab w:leader="none" w:pos="7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5054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20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14605</wp:posOffset>
            </wp:positionV>
            <wp:extent cx="49911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219"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 to</w:t>
      </w:r>
    </w:p>
    <w:p>
      <w:pPr>
        <w:spacing w:after="0" w:line="23" w:lineRule="exact"/>
        <w:rPr>
          <w:sz w:val="20"/>
          <w:szCs w:val="20"/>
          <w:color w:val="auto"/>
        </w:rPr>
      </w:pPr>
    </w:p>
    <w:p>
      <w:pPr>
        <w:ind w:left="4660"/>
        <w:spacing w:after="0"/>
        <w:tabs>
          <w:tab w:leader="none" w:pos="7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5054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20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14605</wp:posOffset>
            </wp:positionV>
            <wp:extent cx="49911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219"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 to</w:t>
      </w:r>
    </w:p>
    <w:p>
      <w:pPr>
        <w:spacing w:after="0" w:line="23" w:lineRule="exact"/>
        <w:rPr>
          <w:sz w:val="20"/>
          <w:szCs w:val="20"/>
          <w:color w:val="auto"/>
        </w:rPr>
      </w:pPr>
    </w:p>
    <w:p>
      <w:pPr>
        <w:ind w:left="4660"/>
        <w:spacing w:after="0"/>
        <w:tabs>
          <w:tab w:leader="none" w:pos="7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5054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20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14605</wp:posOffset>
            </wp:positionV>
            <wp:extent cx="49911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1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Elections made on this Beneficiary Designation Form will be effective only after this Form is received by [Third Party Administrator] and only if it is fully and properly completed and 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of Birth: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14605</wp:posOffset>
            </wp:positionV>
            <wp:extent cx="515429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14605</wp:posOffset>
            </wp:positionV>
            <wp:extent cx="53086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086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57975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 and return this Beneficiary Designation Form to [Third Party Administrator] at the address given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596011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011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this signed Beneficiary Designation Form to [Third Party Administrator] at the following address: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sectPr>
      </w:pPr>
    </w:p>
    <w:bookmarkStart w:id="86" w:name="page87"/>
    <w:bookmarkEnd w:id="86"/>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Received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14605</wp:posOffset>
            </wp:positionV>
            <wp:extent cx="216979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34391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39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19"/>
          </w:cols>
          <w:pgMar w:left="240" w:top="936" w:right="1440"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17" w:lineRule="exact"/>
        <w:rPr>
          <w:sz w:val="20"/>
          <w:szCs w:val="20"/>
          <w:color w:val="auto"/>
        </w:rPr>
      </w:pPr>
    </w:p>
    <w:p>
      <w:pPr>
        <w:ind w:left="660" w:hanging="43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July 1, 2006;</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August 10, 2006</w:t>
      </w:r>
      <w:r>
        <w:rPr>
          <w:sz w:val="20"/>
          <w:szCs w:val="20"/>
          <w:color w:val="auto"/>
        </w:rPr>
        <w:tab/>
      </w:r>
      <w:r>
        <w:rPr>
          <w:rFonts w:ascii="Arial" w:cs="Arial" w:eastAsia="Arial" w:hAnsi="Arial"/>
          <w:sz w:val="16"/>
          <w:szCs w:val="16"/>
          <w:color w:val="auto"/>
        </w:rPr>
        <w:t>By: /s/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252984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Printed Name: James Hagedorn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932"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 Nagel, certify that:</w:t>
      </w:r>
    </w:p>
    <w:p>
      <w:pPr>
        <w:spacing w:after="0" w:line="117" w:lineRule="exact"/>
        <w:rPr>
          <w:sz w:val="20"/>
          <w:szCs w:val="20"/>
          <w:color w:val="auto"/>
        </w:rPr>
      </w:pPr>
    </w:p>
    <w:p>
      <w:pPr>
        <w:ind w:left="660" w:hanging="43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July 1, 2006;</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August 10, 2006</w:t>
      </w:r>
      <w:r>
        <w:rPr>
          <w:sz w:val="20"/>
          <w:szCs w:val="20"/>
          <w:color w:val="auto"/>
        </w:rPr>
        <w:tab/>
      </w:r>
      <w:r>
        <w:rPr>
          <w:rFonts w:ascii="Arial" w:cs="Arial" w:eastAsia="Arial" w:hAnsi="Arial"/>
          <w:sz w:val="17"/>
          <w:szCs w:val="17"/>
          <w:color w:val="auto"/>
        </w:rPr>
        <w:t>By: /s/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252984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Printed Name: Christopher L. Nagel</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93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Quarterly Report of The Scotts Miracle-Gro Company (the “Company”) on Form 10-Q for the quarterly period ended July 1, 2006 as filed with the Securities and Exchange Commission on the date hereof (the “Report”), the undersigned James Hagedorn, Chief Executive Officer and Chairman of the Board of the Company, and Christopher L. Nagel,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80" w:lineRule="exact"/>
        <w:rPr>
          <w:sz w:val="20"/>
          <w:szCs w:val="20"/>
          <w:color w:val="auto"/>
        </w:rPr>
      </w:pPr>
    </w:p>
    <w:p>
      <w:pPr>
        <w:ind w:left="660" w:hanging="43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1420"/>
          </w:cols>
          <w:pgMar w:left="240" w:top="935"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Hagedorn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and Chairman of the Board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August 10,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28987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Christopher L. Nagel</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Chief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August 10, 2006</w:t>
      </w:r>
    </w:p>
    <w:p>
      <w:pPr>
        <w:spacing w:after="0" w:line="200" w:lineRule="exact"/>
        <w:rPr>
          <w:sz w:val="20"/>
          <w:szCs w:val="20"/>
          <w:color w:val="auto"/>
        </w:rPr>
      </w:pPr>
    </w:p>
    <w:p>
      <w:pPr>
        <w:sectPr>
          <w:pgSz w:w="11900" w:h="16838" w:orient="portrait"/>
          <w:cols w:equalWidth="0" w:num="2">
            <w:col w:w="6140" w:space="720"/>
            <w:col w:w="4560"/>
          </w:cols>
          <w:pgMar w:left="240" w:top="935" w:right="239" w:bottom="1440" w:gutter="0" w:footer="0" w:header="0"/>
          <w:type w:val="continuous"/>
        </w:sectPr>
      </w:pPr>
    </w:p>
    <w:p>
      <w:pPr>
        <w:spacing w:after="0" w:line="187" w:lineRule="exact"/>
        <w:rPr>
          <w:sz w:val="20"/>
          <w:szCs w:val="20"/>
          <w:color w:val="auto"/>
        </w:rPr>
      </w:pPr>
    </w:p>
    <w:p>
      <w:pPr>
        <w:ind w:left="460" w:right="60" w:hanging="452"/>
        <w:spacing w:after="0" w:line="255"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TO THE EXTENT THAT THE COMPANY SPECIFICALLY INCORPORATES THIS CERTIFICATION BY REFERENCE IN SUCH FILING.</w:t>
      </w:r>
    </w:p>
    <w:sectPr>
      <w:pgSz w:w="11900" w:h="16838" w:orient="portrait"/>
      <w:cols w:equalWidth="0" w:num="1">
        <w:col w:w="11420"/>
      </w:cols>
      <w:pgMar w:left="240" w:top="93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decimal"/>
      <w:start w:val="4"/>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amp;"/>
      <w:numFmt w:val="bullet"/>
      <w:start w:val="1"/>
    </w:lvl>
  </w:abstractNum>
  <w:abstractNum w:abstractNumId="7">
    <w:nsid w:val="737B8DDC"/>
    <w:multiLevelType w:val="hybridMultilevel"/>
    <w:lvl w:ilvl="0">
      <w:lvlJc w:val="left"/>
      <w:lvlText w:val="(%1)"/>
      <w:numFmt w:val="upperLetter"/>
      <w:start w:val="1"/>
    </w:lvl>
  </w:abstractNum>
  <w:abstractNum w:abstractNumId="8">
    <w:nsid w:val="6CEAF087"/>
    <w:multiLevelType w:val="hybridMultilevel"/>
    <w:lvl w:ilvl="0">
      <w:lvlJc w:val="left"/>
      <w:lvlText w:val="1"/>
      <w:numFmt w:val="bullet"/>
      <w:start w:val="1"/>
    </w:lvl>
  </w:abstractNum>
  <w:abstractNum w:abstractNumId="9">
    <w:nsid w:val="22221A70"/>
    <w:multiLevelType w:val="hybridMultilevel"/>
    <w:lvl w:ilvl="0">
      <w:lvlJc w:val="left"/>
      <w:lvlText w:val="(%1)"/>
      <w:numFmt w:val="lowerLetter"/>
      <w:start w:val="1"/>
    </w:lvl>
  </w:abstractNum>
  <w:abstractNum w:abstractNumId="10">
    <w:nsid w:val="4516DDE9"/>
    <w:multiLevelType w:val="hybridMultilevel"/>
    <w:lvl w:ilvl="0">
      <w:lvlJc w:val="left"/>
      <w:lvlText w:val="(%1)"/>
      <w:numFmt w:val="lowerLetter"/>
      <w:start w:val="2"/>
    </w:lvl>
  </w:abstractNum>
  <w:abstractNum w:abstractNumId="11">
    <w:nsid w:val="3006C83E"/>
    <w:multiLevelType w:val="hybridMultilevel"/>
    <w:lvl w:ilvl="0">
      <w:lvlJc w:val="left"/>
      <w:lvlText w:val="(%1)"/>
      <w:numFmt w:val="lowerLetter"/>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lowerRoman"/>
      <w:start w:val="1"/>
    </w:lvl>
    <w:lvl w:ilvl="1">
      <w:lvlJc w:val="left"/>
      <w:lvlText w:val="%2."/>
      <w:numFmt w:val="decimal"/>
      <w:start w:val="1"/>
    </w:lvl>
  </w:abstractNum>
  <w:abstractNum w:abstractNumId="14">
    <w:nsid w:val="5577F8E1"/>
    <w:multiLevelType w:val="hybridMultilevel"/>
    <w:lvl w:ilvl="0">
      <w:lvlJc w:val="left"/>
      <w:lvlText w:val="(%1)"/>
      <w:numFmt w:val="lowerRoman"/>
      <w:start w:val="1"/>
    </w:lvl>
    <w:lvl w:ilvl="1">
      <w:lvlJc w:val="left"/>
      <w:lvlText w:val="%2"/>
      <w:numFmt w:val="decimal"/>
      <w:start w:val="1"/>
    </w:lvl>
  </w:abstractNum>
  <w:abstractNum w:abstractNumId="15">
    <w:nsid w:val="440BADFC"/>
    <w:multiLevelType w:val="hybridMultilevel"/>
    <w:lvl w:ilvl="0">
      <w:lvlJc w:val="left"/>
      <w:lvlText w:val="%1."/>
      <w:numFmt w:val="decimal"/>
      <w:start w:val="2"/>
    </w:lvl>
  </w:abstractNum>
  <w:abstractNum w:abstractNumId="16">
    <w:nsid w:val="5072367"/>
    <w:multiLevelType w:val="hybridMultilevel"/>
    <w:lvl w:ilvl="0">
      <w:lvlJc w:val="left"/>
      <w:lvlText w:val="(%1)"/>
      <w:numFmt w:val="lowerLetter"/>
      <w:start w:val="1"/>
    </w:lvl>
  </w:abstractNum>
  <w:abstractNum w:abstractNumId="17">
    <w:nsid w:val="3804823E"/>
    <w:multiLevelType w:val="hybridMultilevel"/>
    <w:lvl w:ilvl="0">
      <w:lvlJc w:val="left"/>
      <w:lvlText w:val="%1."/>
      <w:numFmt w:val="decimal"/>
      <w:start w:val="6"/>
    </w:lvl>
    <w:lvl w:ilvl="1">
      <w:lvlJc w:val="left"/>
      <w:lvlText w:val="(%2)"/>
      <w:numFmt w:val="lowerLetter"/>
      <w:start w:val="1"/>
    </w:lvl>
  </w:abstractNum>
  <w:abstractNum w:abstractNumId="18">
    <w:nsid w:val="77465F01"/>
    <w:multiLevelType w:val="hybridMultilevel"/>
    <w:lvl w:ilvl="0">
      <w:lvlJc w:val="left"/>
      <w:lvlText w:val="%1"/>
      <w:numFmt w:val="decimal"/>
      <w:start w:val="1"/>
    </w:lvl>
    <w:lvl w:ilvl="1">
      <w:lvlJc w:val="left"/>
      <w:lvlText w:val="(%2)"/>
      <w:numFmt w:val="lowerLetter"/>
      <w:start w:val="2"/>
    </w:lvl>
  </w:abstractNum>
  <w:abstractNum w:abstractNumId="19">
    <w:nsid w:val="7724C67E"/>
    <w:multiLevelType w:val="hybridMultilevel"/>
    <w:lvl w:ilvl="0">
      <w:lvlJc w:val="left"/>
      <w:lvlText w:val="%1."/>
      <w:numFmt w:val="decimal"/>
      <w:start w:val="7"/>
    </w:lvl>
    <w:lvl w:ilvl="1">
      <w:lvlJc w:val="left"/>
      <w:lvlText w:val="%2"/>
      <w:numFmt w:val="lowerLetter"/>
      <w:start w:val="1"/>
    </w:lvl>
  </w:abstractNum>
  <w:abstractNum w:abstractNumId="20">
    <w:nsid w:val="5C482A97"/>
    <w:multiLevelType w:val="hybridMultilevel"/>
    <w:lvl w:ilvl="0">
      <w:lvlJc w:val="left"/>
      <w:lvlText w:val="%1."/>
      <w:numFmt w:val="decimal"/>
      <w:start w:val="12"/>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lowerLetter"/>
      <w:start w:val="1"/>
    </w:lvl>
  </w:abstractNum>
  <w:abstractNum w:abstractNumId="23">
    <w:nsid w:val="51EAD36B"/>
    <w:multiLevelType w:val="hybridMultilevel"/>
    <w:lvl w:ilvl="0">
      <w:lvlJc w:val="left"/>
      <w:lvlText w:val="[%1]"/>
      <w:numFmt w:val="lowerLetter"/>
      <w:start w:val="3"/>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lowerLetter"/>
      <w:start w:val="1"/>
    </w:lvl>
  </w:abstractNum>
  <w:abstractNum w:abstractNumId="26">
    <w:nsid w:val="153EA438"/>
    <w:multiLevelType w:val="hybridMultilevel"/>
    <w:lvl w:ilvl="0">
      <w:lvlJc w:val="left"/>
      <w:lvlText w:val="[%1]"/>
      <w:numFmt w:val="lowerLetter"/>
      <w:start w:val="3"/>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lowerLetter"/>
      <w:start w:val="1"/>
    </w:lvl>
  </w:abstractNum>
  <w:abstractNum w:abstractNumId="29">
    <w:nsid w:val="6A2342EC"/>
    <w:multiLevelType w:val="hybridMultilevel"/>
    <w:lvl w:ilvl="0">
      <w:lvlJc w:val="left"/>
      <w:lvlText w:val="[%1]"/>
      <w:numFmt w:val="lowerLetter"/>
      <w:start w:val="1"/>
    </w:lvl>
  </w:abstractNum>
  <w:abstractNum w:abstractNumId="30">
    <w:nsid w:val="2A487CB0"/>
    <w:multiLevelType w:val="hybridMultilevel"/>
    <w:lvl w:ilvl="0">
      <w:lvlJc w:val="left"/>
      <w:lvlText w:val="[%1]"/>
      <w:numFmt w:val="lowerLetter"/>
      <w:start w:val="2"/>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lowerLetter"/>
      <w:start w:val="1"/>
    </w:lvl>
  </w:abstractNum>
  <w:abstractNum w:abstractNumId="35">
    <w:nsid w:val="7A6D8D3C"/>
    <w:multiLevelType w:val="hybridMultilevel"/>
    <w:lvl w:ilvl="0">
      <w:lvlJc w:val="left"/>
      <w:lvlText w:val="[%1]"/>
      <w:numFmt w:val="lowerLetter"/>
      <w:start w:val="3"/>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2"/>
    </w:lvl>
  </w:abstractNum>
  <w:abstractNum w:abstractNumId="39">
    <w:nsid w:val="38437FDB"/>
    <w:multiLevelType w:val="hybridMultilevel"/>
    <w:lvl w:ilvl="0">
      <w:lvlJc w:val="left"/>
      <w:lvlText w:val="%1."/>
      <w:numFmt w:val="decimal"/>
      <w:start w:val="6"/>
    </w:lvl>
  </w:abstractNum>
  <w:abstractNum w:abstractNumId="40">
    <w:nsid w:val="7644A45C"/>
    <w:multiLevelType w:val="hybridMultilevel"/>
    <w:lvl w:ilvl="0">
      <w:lvlJc w:val="left"/>
      <w:lvlText w:val="[%1]"/>
      <w:numFmt w:val="lowerLetter"/>
      <w:start w:val="1"/>
    </w:lvl>
  </w:abstractNum>
  <w:abstractNum w:abstractNumId="41">
    <w:nsid w:val="32FFF902"/>
    <w:multiLevelType w:val="hybridMultilevel"/>
    <w:lvl w:ilvl="0">
      <w:lvlJc w:val="left"/>
      <w:lvlText w:val="[%1]"/>
      <w:numFmt w:val="lowerLetter"/>
      <w:start w:val="1"/>
    </w:lvl>
  </w:abstractNum>
  <w:abstractNum w:abstractNumId="42">
    <w:nsid w:val="684A481A"/>
    <w:multiLevelType w:val="hybridMultilevel"/>
    <w:lvl w:ilvl="0">
      <w:lvlJc w:val="left"/>
      <w:lvlText w:val="[%1]"/>
      <w:numFmt w:val="lowerLetter"/>
      <w:start w:val="5"/>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lowerLetter"/>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lowerLetter"/>
      <w:start w:val="3"/>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2019-12-20T06:24:28Z</dcterms:created>
  <dcterms:modified xsi:type="dcterms:W3CDTF">2019-12-20T06:24:28Z</dcterms:modified>
</cp:coreProperties>
</file>