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30,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7"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7"/>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5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spacing w:after="0" w:line="25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30, 2025, Scotts Miracle-Gro issued a news release reporting information regarding its financial results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2025 and its financial condition as of March 29, 2025. The news release is furnished herewith as Exhibit 99.1 to this Current Report on Form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and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1"/>
                <w:szCs w:val="21"/>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April 30, 2025</w:t>
            </w:r>
          </w:p>
        </w:tc>
      </w:tr>
      <w:tr>
        <w:trPr>
          <w:trHeight w:val="28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20"/>
        <w:spacing w:after="0"/>
        <w:tabs>
          <w:tab w:leader="none" w:pos="2900" w:val="left"/>
          <w:tab w:leader="none" w:pos="3400" w:val="left"/>
        </w:tabs>
        <w:rPr>
          <w:sz w:val="20"/>
          <w:szCs w:val="20"/>
          <w:color w:val="auto"/>
        </w:rPr>
      </w:pPr>
      <w:r>
        <w:rPr>
          <w:rFonts w:ascii="Times New Roman" w:cs="Times New Roman" w:eastAsia="Times New Roman" w:hAnsi="Times New Roman"/>
          <w:sz w:val="18"/>
          <w:szCs w:val="18"/>
          <w:color w:val="auto"/>
        </w:rPr>
        <w:t>Dated: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51435</wp:posOffset>
            </wp:positionV>
            <wp:extent cx="4980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April 30, 2025</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issued by The Scotts Miracle-Gro Company on April 30, 2025</w:t>
            </w:r>
          </w:p>
        </w:tc>
      </w:tr>
    </w:tbl>
    <w:p>
      <w:pPr>
        <w:sectPr>
          <w:pgSz w:w="11900" w:h="16838" w:orient="portrait"/>
          <w:cols w:equalWidth="0" w:num="1">
            <w:col w:w="10099"/>
          </w:cols>
          <w:pgMar w:left="360" w:top="887"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20"/>
          <w:szCs w:val="20"/>
          <w:b w:val="1"/>
          <w:bCs w:val="1"/>
          <w:i w:val="1"/>
          <w:iCs w:val="1"/>
          <w:color w:val="auto"/>
        </w:rPr>
        <w:t>The Scotts Miracle-Gro Company</w:t>
      </w:r>
      <w:r>
        <w:rPr>
          <w:sz w:val="20"/>
          <w:szCs w:val="20"/>
          <w:color w:val="auto"/>
        </w:rPr>
        <w:tab/>
      </w:r>
      <w:r>
        <w:rPr>
          <w:rFonts w:ascii="Times New Roman" w:cs="Times New Roman" w:eastAsia="Times New Roman" w:hAnsi="Times New Roman"/>
          <w:sz w:val="19"/>
          <w:szCs w:val="19"/>
          <w:b w:val="1"/>
          <w:bCs w:val="1"/>
          <w:i w:val="1"/>
          <w:iCs w:val="1"/>
          <w:color w:val="auto"/>
        </w:rPr>
        <w:t>NEWS</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5"/>
          <w:szCs w:val="25"/>
          <w:b w:val="1"/>
          <w:bCs w:val="1"/>
          <w:color w:val="auto"/>
        </w:rPr>
        <w:t>ScottsMiracle-Gro Reports Second Quarter Results;</w:t>
      </w:r>
    </w:p>
    <w:p>
      <w:pPr>
        <w:spacing w:after="0" w:line="14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5"/>
          <w:szCs w:val="25"/>
          <w:b w:val="1"/>
          <w:bCs w:val="1"/>
          <w:color w:val="auto"/>
        </w:rPr>
        <w:t>Gross Margin Improvement Drives EBITDA Growth</w:t>
      </w:r>
    </w:p>
    <w:p>
      <w:pPr>
        <w:spacing w:after="0" w:line="129" w:lineRule="exact"/>
        <w:rPr>
          <w:sz w:val="20"/>
          <w:szCs w:val="20"/>
          <w:color w:val="auto"/>
        </w:rPr>
      </w:pPr>
    </w:p>
    <w:p>
      <w:pPr>
        <w:ind w:left="660" w:right="60" w:hanging="328"/>
        <w:spacing w:after="0" w:line="30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Company reaffirms full-year U.S. Consumer segment net sales, consolidated adjusted gross margin and adjusted EBITDA and free cash flow guidance</w:t>
      </w:r>
    </w:p>
    <w:p>
      <w:pPr>
        <w:ind w:left="660" w:right="240" w:hanging="328"/>
        <w:spacing w:after="0" w:line="30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Consumer POS units were up 12 percent through first half; 60 percent of full-year consumer takeaway expected in third quarter</w:t>
      </w:r>
    </w:p>
    <w:p>
      <w:pPr>
        <w:ind w:left="660" w:right="500" w:hanging="328"/>
        <w:spacing w:after="0" w:line="30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Q2 2025 GAAP gross margin rate of 38.6% and non-GAAP adjusted gross margin rate of 39.1% reflect 820 and 380 basis point improvements over prior year, respectively</w:t>
      </w: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Q2 2025 GAAP EPS of $3.72; non-GAAP Adjusted EPS of $3.98</w:t>
      </w:r>
    </w:p>
    <w:p>
      <w:pPr>
        <w:spacing w:after="0" w:line="7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Q2 2025 non-GAAP Adjusted EBITDA of $402.8 million, improvement of $6.5 million over prior year</w:t>
      </w:r>
    </w:p>
    <w:p>
      <w:pPr>
        <w:spacing w:after="0" w:line="7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Net leverage at 4.41x, down from prior year of 6.95x</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MARYSVILLE, Ohio, April 30, 2025 – The Scotts Miracle-Gro Company (NYSE: SMG), the world’s leading marketer of branded consumer lawn and garden products as well as a leader in indoor and hydroponic growing products, today announced its results for the second quarter ended March 29,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substantial progress in the key financial metrics that support our full-year guidance,” said Jim Hagedorn, chairman and CEO. “We are equally pleased with our year-to-date consumer product sales to retailers, given they are essentially flat excluding non-repeating fiscal ‘24 sales.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important underlying story is POS, as for the second straight quarter we drove double-digit increases in consumer takeaway, reflecting the power of our franchise and health of our consumer. This, combined with the fact that we are largely unaffected by tariffs this fiscal year, reaffirms our confidence in our outlook.”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purchases are measured through POS, or point-of-sale, data from the Company’s largest retailers.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Second Quarter Financial Results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quarter ended March 29, 2025, total Company sales of $1.42 billion declined 7 percent from prior year sales of $1.53 billion. U.S. Consumer sales decreased 5 percent, to $1.31 billion from $1.38 billion in the same period last year, resulting from the impact of a colder and slower start to the lawn and garden season pushing some expected second quarter sales into the third quarter and non-repeating fiscal 2024 net sales of bulk raw materials and AeroGarden products.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GAAP and non-GAAP adjusted gross margin rates for the quarter were 38.6 percent and 39.1 percent, respectively. These compare to 30.4 percent and 35.3 percent, respectively, in the prior year. The improvements were primarily attributable to lower material, manufacturing and distribution costs, and improved product and segment mix.</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reported GAAP net income of $217.5 million, or $3.72 per diluted share, compared with $157.5 million, or $2.74 per diluted share, in the same quarter a year ago. Non-GAAP adjusted net income for the quarter, which excludes impairment, restructuring and other non-recurring items, was $232.2 million, or $3.98 per diluted share, compared with $211.9 million, or $3.69 per diluted share, for the same period last year.</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Non-GAAP adjusted EBITDA for the quarter was $402.8 million compared to $396.3 million a year ago. The improvement was driven by the Company’s significant gross margin recovery.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advance our fiscal 2025 financial plan focused on sustainable net sales growth, margin recovery and a stronger balance sheet,” said Mark Scheiwer, chief financial officer and chief accounting officer. “We are driving significant free cash flow and debt paydown while making incremental investments in consumer activation programs. POS trends have remained consistent through April, and retailer replenishment is expected to be strong in our fiscal third quarter.”</w:t>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0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Outlook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reaffirms its previously announced U.S. Consumer segment net sales, adjusted gross margin, adjusted EBITDA and free cash flow guidance. Given the continued uncertain environment in the cannabis industry, the Company is no longer providing full-year revenue guidance for its Hawthorne segment. More details will be shared during today’s call, and the Company also expects to provide an updated outlook in early June.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Scheduled for 9 a.m. ET Today, April 30, 2025</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will discuss results during a video presentation via webcast today at 9 a.m. ET. To watch the Company presentation and listen to the question-and-answer session, please register in advance at this webcast link. For those planning to participate in the question-and-answer session that follows the video presentation, please register for the webcast to view the presentation in addition to registering in advance via this audio link to receive call-in details and a unique PIN. Supplemental slides will be available approximately 15 minutes prior to the start of the conference call. A replay of the conference call will also be available on the Company’s investor website where an archive of the press release and any accompanying information will remain available for at least a 12-month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2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With approximately $3.6 billion in sales, the Company is the world’s largest marketer of branded consumer products for lawn and garden care. The Company’s brands are among the most recognized in the industry. The Company’s Scotts®, Miracle-Gro® and Ortho® brands are market-leading in their categories. The Company’s wholly-owned subsidiary, The Hawthorne Gardening Company, is a leading provider of nutrients, lighting and other materials used in the indoor and hydroponic growing segment. For additional information, visit us at www.scottsmiraclegro.com.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22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An economic downturn and economic uncertainty may adversely affect demand for the Company’s products;</w:t>
      </w:r>
    </w:p>
    <w:p>
      <w:pPr>
        <w:spacing w:after="0" w:line="22" w:lineRule="exact"/>
        <w:rPr>
          <w:rFonts w:ascii="Arial" w:cs="Arial" w:eastAsia="Arial" w:hAnsi="Arial"/>
          <w:sz w:val="16"/>
          <w:szCs w:val="16"/>
          <w:color w:val="auto"/>
        </w:rPr>
      </w:pPr>
    </w:p>
    <w:p>
      <w:pPr>
        <w:ind w:left="660" w:right="100" w:hanging="328"/>
        <w:spacing w:after="0" w:line="246"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operations, financial condition or reputation may be impaired if its information or operational technology systems fail to perform adequately or if it is the subject of a data breach or cyber-attack;</w:t>
      </w:r>
    </w:p>
    <w:p>
      <w:pPr>
        <w:ind w:left="640" w:hanging="308"/>
        <w:spacing w:after="0" w:line="228" w:lineRule="auto"/>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The highly competitive nature of the Company’s markets could adversely affect its ability to maintain or grow revenues;</w:t>
      </w: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In the event of a disaster, the Company’s disaster recovery and business continuity plans may fail, which could adversely interrupt its operations;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Climate change and unfavorable weather conditions could adversely impact financial results;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 may not successfully develop new product lines and products or improve existing product lines and products;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indebtedness could limit its flexibility and adversely affect its financial condition;</w:t>
      </w:r>
    </w:p>
    <w:p>
      <w:pPr>
        <w:spacing w:after="0" w:line="4" w:lineRule="exact"/>
        <w:rPr>
          <w:rFonts w:ascii="Arial" w:cs="Arial" w:eastAsia="Arial" w:hAnsi="Arial"/>
          <w:sz w:val="16"/>
          <w:szCs w:val="16"/>
          <w:color w:val="auto"/>
        </w:rPr>
      </w:pPr>
    </w:p>
    <w:p>
      <w:pPr>
        <w:ind w:left="660" w:right="220" w:hanging="328"/>
        <w:spacing w:after="0" w:line="237"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If the Company underestimates or overestimates demand for its products and does not maintain appropriate inventory levels, its net sales and/or working capital could be negatively impacted;</w:t>
      </w:r>
    </w:p>
    <w:p>
      <w:pPr>
        <w:ind w:left="640" w:hanging="308"/>
        <w:spacing w:after="0"/>
        <w:tabs>
          <w:tab w:leader="none" w:pos="64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Disruptions in availability or increases in the prices of raw materials, fuel or transportation costs could adversely affect the Company’s results of operations;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business is subject to risks associated with sourcing and manufacturing outside of the U.S. and risks from tariffs and/or international trade wars;</w:t>
      </w:r>
    </w:p>
    <w:p>
      <w:pPr>
        <w:spacing w:after="0" w:line="5" w:lineRule="exact"/>
        <w:rPr>
          <w:rFonts w:ascii="Times New Roman" w:cs="Times New Roman" w:eastAsia="Times New Roman" w:hAnsi="Times New Roman"/>
          <w:sz w:val="16"/>
          <w:szCs w:val="16"/>
          <w:color w:val="auto"/>
        </w:rPr>
      </w:pPr>
    </w:p>
    <w:p>
      <w:pPr>
        <w:ind w:left="660" w:right="280" w:hanging="328"/>
        <w:spacing w:after="0" w:line="237"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A significant interruption in the operation of the Company’s or its suppliers’ facilities could impact the Company’s capacity to produce products and service its customers, which could adversely affect the Company’s revenues and earnings;</w:t>
      </w:r>
    </w:p>
    <w:p>
      <w:pPr>
        <w:ind w:left="660" w:right="20" w:hanging="328"/>
        <w:spacing w:after="0" w:line="246"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Acquisitions, other strategic alliances and investments could result in operating difficulties, dilution and other harmful consequences that may adversely impact the Company’s business and results of operations;</w:t>
      </w:r>
    </w:p>
    <w:p>
      <w:pPr>
        <w:ind w:left="660" w:right="640" w:hanging="328"/>
        <w:spacing w:after="0" w:line="246"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Compliance with environmental and other public health regulations or changes in such regulations or regulatory enforcement priorities could increase the Company’s costs of doing business or limit its ability to market all of its products;</w:t>
      </w:r>
    </w:p>
    <w:p>
      <w:pPr>
        <w:ind w:left="660" w:right="180" w:hanging="328"/>
        <w:spacing w:after="0" w:line="237"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Because of the concentration of the Company’s sales to a small number of retail customers, the loss of one or more of, or significant reduction in orders from, its top customers, or a material reduction in the inventory of the Company’s products that they carry, could adversely affect the Company’s financial results;</w:t>
      </w:r>
    </w:p>
    <w:p>
      <w:pPr>
        <w:ind w:left="660" w:right="280" w:hanging="328"/>
        <w:spacing w:after="0" w:line="246"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If the perception of the Company’s brands or organizational reputation are damaged, its consumers, distributors and retailers may react negatively, which could materially and adversely affect the Company’s business, financial condition and results of operations; and</w:t>
      </w:r>
    </w:p>
    <w:p>
      <w:pPr>
        <w:ind w:left="660" w:right="400" w:hanging="328"/>
        <w:spacing w:after="0" w:line="256"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Hagedorn Partnership, L.P. beneficially owns approximately 23% of the Company’s common shares and can significantly influence decisions that require the approval of shareholders.</w:t>
      </w:r>
    </w:p>
    <w:p>
      <w:pPr>
        <w:spacing w:after="0" w:line="19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 Chelton</w:t>
      </w:r>
    </w:p>
    <w:p>
      <w:pPr>
        <w:spacing w:after="0" w:line="235" w:lineRule="auto"/>
        <w:rPr>
          <w:sz w:val="20"/>
          <w:szCs w:val="20"/>
          <w:color w:val="auto"/>
        </w:rPr>
      </w:pPr>
      <w:r>
        <w:rPr>
          <w:rFonts w:ascii="Times New Roman" w:cs="Times New Roman" w:eastAsia="Times New Roman" w:hAnsi="Times New Roman"/>
          <w:sz w:val="16"/>
          <w:szCs w:val="16"/>
          <w:b w:val="1"/>
          <w:bCs w:val="1"/>
          <w:color w:val="auto"/>
        </w:rPr>
        <w:t>Vice President</w:t>
      </w:r>
    </w:p>
    <w:p>
      <w:pPr>
        <w:spacing w:after="0"/>
        <w:rPr>
          <w:sz w:val="20"/>
          <w:szCs w:val="20"/>
          <w:color w:val="auto"/>
        </w:rPr>
      </w:pPr>
      <w:r>
        <w:rPr>
          <w:rFonts w:ascii="Times New Roman" w:cs="Times New Roman" w:eastAsia="Times New Roman" w:hAnsi="Times New Roman"/>
          <w:sz w:val="16"/>
          <w:szCs w:val="16"/>
          <w:b w:val="1"/>
          <w:bCs w:val="1"/>
          <w:color w:val="auto"/>
        </w:rPr>
        <w:t>Treasury, Tax and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brad.chelton@scotts.com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309-2503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 Matthews</w:t>
      </w:r>
    </w:p>
    <w:p>
      <w:pPr>
        <w:spacing w:after="0" w:line="228" w:lineRule="auto"/>
        <w:rPr>
          <w:sz w:val="20"/>
          <w:szCs w:val="20"/>
          <w:color w:val="auto"/>
        </w:rPr>
      </w:pPr>
      <w:r>
        <w:rPr>
          <w:rFonts w:ascii="Times New Roman" w:cs="Times New Roman" w:eastAsia="Times New Roman" w:hAnsi="Times New Roman"/>
          <w:sz w:val="16"/>
          <w:szCs w:val="16"/>
          <w:b w:val="1"/>
          <w:bCs w:val="1"/>
          <w:color w:val="auto"/>
        </w:rPr>
        <w:t>Chief Communications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tom.matthews@scotts.com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844-3864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758"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Footnotes</w:t>
            </w:r>
          </w:p>
        </w:tc>
        <w:tc>
          <w:tcPr>
            <w:tcW w:w="20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1"/>
                <w:szCs w:val="11"/>
                <w:color w:val="auto"/>
              </w:rPr>
            </w:pPr>
          </w:p>
        </w:tc>
        <w:tc>
          <w:tcPr>
            <w:tcW w:w="1020" w:type="dxa"/>
            <w:vAlign w:val="bottom"/>
          </w:tcPr>
          <w:p>
            <w:pPr>
              <w:jc w:val="right"/>
              <w:ind w:right="248"/>
              <w:spacing w:after="0" w:line="133" w:lineRule="exact"/>
              <w:rPr>
                <w:sz w:val="20"/>
                <w:szCs w:val="20"/>
                <w:color w:val="auto"/>
              </w:rPr>
            </w:pPr>
            <w:r>
              <w:rPr>
                <w:rFonts w:ascii="Times New Roman" w:cs="Times New Roman" w:eastAsia="Times New Roman" w:hAnsi="Times New Roman"/>
                <w:sz w:val="14"/>
                <w:szCs w:val="14"/>
                <w:color w:val="auto"/>
              </w:rPr>
              <w:t>March 30,</w:t>
            </w: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1"/>
                <w:szCs w:val="11"/>
                <w:color w:val="auto"/>
              </w:rPr>
            </w:pPr>
          </w:p>
        </w:tc>
        <w:tc>
          <w:tcPr>
            <w:tcW w:w="1020" w:type="dxa"/>
            <w:vAlign w:val="bottom"/>
          </w:tcPr>
          <w:p>
            <w:pPr>
              <w:jc w:val="right"/>
              <w:ind w:right="248"/>
              <w:spacing w:after="0" w:line="133" w:lineRule="exact"/>
              <w:rPr>
                <w:sz w:val="20"/>
                <w:szCs w:val="20"/>
                <w:color w:val="auto"/>
              </w:rPr>
            </w:pPr>
            <w:r>
              <w:rPr>
                <w:rFonts w:ascii="Times New Roman" w:cs="Times New Roman" w:eastAsia="Times New Roman" w:hAnsi="Times New Roman"/>
                <w:sz w:val="14"/>
                <w:szCs w:val="14"/>
                <w:color w:val="auto"/>
              </w:rPr>
              <w:t>March 30,</w:t>
            </w: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1,421.0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1,525.4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1,935.8</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986.8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1,340.8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sales—impairment, restructuring and other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5"/>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per common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ind w:left="20" w:right="460"/>
        <w:spacing w:after="0" w:line="244" w:lineRule="auto"/>
        <w:rPr>
          <w:sz w:val="20"/>
          <w:szCs w:val="20"/>
          <w:color w:val="auto"/>
        </w:rPr>
      </w:pPr>
      <w:r>
        <w:rPr>
          <w:rFonts w:ascii="Times New Roman" w:cs="Times New Roman" w:eastAsia="Times New Roman" w:hAnsi="Times New Roman"/>
          <w:sz w:val="14"/>
          <w:szCs w:val="14"/>
          <w:color w:val="auto"/>
        </w:rPr>
        <w:t>Common shares used in basic net income per share calculation</w:t>
      </w:r>
    </w:p>
    <w:p>
      <w:pPr>
        <w:spacing w:after="0" w:line="1" w:lineRule="exact"/>
        <w:rPr>
          <w:sz w:val="20"/>
          <w:szCs w:val="20"/>
          <w:color w:val="auto"/>
        </w:rPr>
      </w:pPr>
    </w:p>
    <w:p>
      <w:pPr>
        <w:ind w:left="20" w:right="300"/>
        <w:spacing w:after="0" w:line="261" w:lineRule="auto"/>
        <w:rPr>
          <w:sz w:val="20"/>
          <w:szCs w:val="20"/>
          <w:color w:val="auto"/>
        </w:rPr>
      </w:pPr>
      <w:r>
        <w:rPr>
          <w:rFonts w:ascii="Times New Roman" w:cs="Times New Roman" w:eastAsia="Times New Roman" w:hAnsi="Times New Roman"/>
          <w:sz w:val="14"/>
          <w:szCs w:val="14"/>
          <w:color w:val="auto"/>
        </w:rPr>
        <w:t>Common shares and potential common shares used in diluted net income per share calculation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7"/>
        </w:trPr>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57.4</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-230505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420" w:space="720"/>
            <w:col w:w="71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results:</w:t>
            </w: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211.9</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10 %</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129.7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net income per common share</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 (3)</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3.69</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8 %</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7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396.3</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370.5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7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March 30,</w:t>
            </w:r>
          </w:p>
        </w:tc>
        <w:tc>
          <w:tcPr>
            <w:tcW w:w="1060" w:type="dxa"/>
            <w:vAlign w:val="bottom"/>
            <w:gridSpan w:val="2"/>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March 30,</w:t>
            </w:r>
          </w:p>
        </w:tc>
        <w:tc>
          <w:tcPr>
            <w:tcW w:w="1060" w:type="dxa"/>
            <w:vAlign w:val="bottom"/>
            <w:gridSpan w:val="2"/>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Change</w:t>
            </w: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3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Consumer</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1,652.4</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Hawthorne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 Profit (Loss) (Non-GAAP):</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U.S. Consumer</w:t>
            </w:r>
          </w:p>
        </w:tc>
        <w:tc>
          <w:tcPr>
            <w:tcW w:w="15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340" w:type="dxa"/>
            <w:vAlign w:val="bottom"/>
            <w:tcBorders>
              <w:top w:val="single" w:sz="8" w:color="CCEEFF"/>
            </w:tcBorders>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320" w:type="dxa"/>
            <w:vAlign w:val="bottom"/>
            <w:tcBorders>
              <w:top w:val="single" w:sz="8" w:color="CCEEFF"/>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Hawthorne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r>
      <w:tr>
        <w:trPr>
          <w:trHeight w:val="196"/>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383 %</w:t>
            </w: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Segment Profit (Non-GAAP)</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Income before income taxes (GAAP)</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assets: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w:t>
      </w:r>
    </w:p>
    <w:p>
      <w:pPr>
        <w:spacing w:after="0" w:line="3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Prepaid and other current assets</w:t>
      </w:r>
    </w:p>
    <w:p>
      <w:pPr>
        <w:spacing w:after="0" w:line="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assets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Current portion of debt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46" w:lineRule="exact"/>
        <w:rPr>
          <w:sz w:val="20"/>
          <w:szCs w:val="20"/>
          <w:color w:val="auto"/>
        </w:rPr>
      </w:pPr>
    </w:p>
    <w:p>
      <w:pPr>
        <w:ind w:left="480" w:right="680" w:firstLine="729"/>
        <w:spacing w:after="0" w:line="281" w:lineRule="auto"/>
        <w:rPr>
          <w:sz w:val="20"/>
          <w:szCs w:val="20"/>
          <w:color w:val="auto"/>
        </w:rPr>
      </w:pPr>
      <w:r>
        <w:rPr>
          <w:rFonts w:ascii="Times New Roman" w:cs="Times New Roman" w:eastAsia="Times New Roman" w:hAnsi="Times New Roman"/>
          <w:sz w:val="16"/>
          <w:szCs w:val="16"/>
          <w:color w:val="auto"/>
        </w:rPr>
        <w:t>Total current liabilities Long-term debt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294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29,</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30,</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3"/>
        </w:trPr>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625"/>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07"/>
        </w:trPr>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3"/>
        </w:trPr>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08"/>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207"/>
        </w:trPr>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-2919095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-2644140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-2369820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-2096135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-1812925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-1538605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-1264285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-963930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-690245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-415925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-132715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3,262.5</w:t>
            </w:r>
          </w:p>
        </w:tc>
      </w:tr>
      <w:tr>
        <w:trPr>
          <w:trHeight w:val="216"/>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 (deficit)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r>
      <w:tr>
        <w:trPr>
          <w:trHeight w:val="212"/>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360"/>
        <w:spacing w:after="0"/>
        <w:tabs>
          <w:tab w:leader="none" w:pos="2420" w:val="left"/>
        </w:tabs>
        <w:rPr>
          <w:sz w:val="20"/>
          <w:szCs w:val="20"/>
          <w:color w:val="auto"/>
        </w:rPr>
      </w:pPr>
      <w:r>
        <w:rPr>
          <w:rFonts w:ascii="Times New Roman" w:cs="Times New Roman" w:eastAsia="Times New Roman" w:hAnsi="Times New Roman"/>
          <w:sz w:val="16"/>
          <w:szCs w:val="16"/>
          <w:color w:val="auto"/>
        </w:rPr>
        <w:t>Three Months Ended March 29, 2025</w:t>
      </w:r>
      <w:r>
        <w:rPr>
          <w:sz w:val="20"/>
          <w:szCs w:val="20"/>
          <w:color w:val="auto"/>
        </w:rPr>
        <w:tab/>
      </w:r>
      <w:r>
        <w:rPr>
          <w:rFonts w:ascii="Times New Roman" w:cs="Times New Roman" w:eastAsia="Times New Roman" w:hAnsi="Times New Roman"/>
          <w:sz w:val="16"/>
          <w:szCs w:val="16"/>
          <w:color w:val="auto"/>
        </w:rPr>
        <w:t>Three Months Ended March 30,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82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00" w:type="dxa"/>
            <w:vAlign w:val="bottom"/>
            <w:tcBorders>
              <w:top w:val="single" w:sz="8" w:color="auto"/>
            </w:tcBorders>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80" w:space="100"/>
            <w:col w:w="3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547.9</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463.7</w:t>
            </w: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344.7</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272.1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300.9</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219.8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217.5</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157.5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4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(0.95)</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Three Months Ended March</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Three Months Ended March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29, 2025</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30, 2024</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(GAAP)</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402.8</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460"/>
        <w:spacing w:after="0"/>
        <w:tabs>
          <w:tab w:leader="none" w:pos="2260" w:val="left"/>
        </w:tabs>
        <w:rPr>
          <w:sz w:val="20"/>
          <w:szCs w:val="20"/>
          <w:color w:val="auto"/>
        </w:rPr>
      </w:pPr>
      <w:r>
        <w:rPr>
          <w:rFonts w:ascii="Times New Roman" w:cs="Times New Roman" w:eastAsia="Times New Roman" w:hAnsi="Times New Roman"/>
          <w:sz w:val="16"/>
          <w:szCs w:val="16"/>
          <w:color w:val="auto"/>
        </w:rPr>
        <w:t>Six Months Ended March 29, 2025</w:t>
      </w:r>
      <w:r>
        <w:rPr>
          <w:sz w:val="20"/>
          <w:szCs w:val="20"/>
          <w:color w:val="auto"/>
        </w:rPr>
        <w:tab/>
      </w:r>
      <w:r>
        <w:rPr>
          <w:rFonts w:ascii="Times New Roman" w:cs="Times New Roman" w:eastAsia="Times New Roman" w:hAnsi="Times New Roman"/>
          <w:sz w:val="16"/>
          <w:szCs w:val="16"/>
          <w:color w:val="auto"/>
        </w:rPr>
        <w:t>Six Months Ended March 30,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80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00" w:type="dxa"/>
            <w:vAlign w:val="bottom"/>
            <w:tcBorders>
              <w:top w:val="single" w:sz="8" w:color="auto"/>
            </w:tcBorders>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60" w:space="100"/>
            <w:col w:w="31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642.7</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(69.1)</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(64.1)</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(74.5)</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57.0</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(21.9)</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148.0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(52.7)</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2.53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(0.57)</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(0.92)</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Six Months Ended March</w:t>
            </w:r>
          </w:p>
        </w:tc>
        <w:tc>
          <w:tcPr>
            <w:tcW w:w="120" w:type="dxa"/>
            <w:vAlign w:val="bottom"/>
          </w:tcPr>
          <w:p>
            <w:pPr>
              <w:spacing w:after="0"/>
              <w:rPr>
                <w:sz w:val="24"/>
                <w:szCs w:val="24"/>
                <w:color w:val="auto"/>
              </w:rPr>
            </w:pPr>
          </w:p>
        </w:tc>
        <w:tc>
          <w:tcPr>
            <w:tcW w:w="1760" w:type="dxa"/>
            <w:vAlign w:val="bottom"/>
            <w:gridSpan w:val="3"/>
          </w:tcPr>
          <w:p>
            <w:pPr>
              <w:jc w:val="center"/>
              <w:ind w:right="19"/>
              <w:spacing w:after="0"/>
              <w:rPr>
                <w:sz w:val="20"/>
                <w:szCs w:val="20"/>
                <w:color w:val="auto"/>
              </w:rPr>
            </w:pPr>
            <w:r>
              <w:rPr>
                <w:rFonts w:ascii="Times New Roman" w:cs="Times New Roman" w:eastAsia="Times New Roman" w:hAnsi="Times New Roman"/>
                <w:sz w:val="16"/>
                <w:szCs w:val="16"/>
                <w:color w:val="auto"/>
              </w:rPr>
              <w:t>Six Months Ended March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gridSpan w:val="2"/>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29, 2025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30, 2024</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(GAAP)</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1" w:right="339" w:bottom="1440" w:gutter="0" w:footer="0" w:header="0"/>
          <w:type w:val="continuous"/>
        </w:sectPr>
      </w:pPr>
    </w:p>
    <w:bookmarkStart w:id="12" w:name="page13"/>
    <w:bookmarkEnd w:id="12"/>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 w:hanging="330"/>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5"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w:t>
      </w:r>
    </w:p>
    <w:p>
      <w:pPr>
        <w:spacing w:after="0" w:line="215"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rFonts w:ascii="Times New Roman" w:cs="Times New Roman" w:eastAsia="Times New Roman" w:hAnsi="Times New Roman"/>
          <w:sz w:val="17"/>
          <w:szCs w:val="17"/>
          <w:color w:val="auto"/>
        </w:rPr>
      </w:pPr>
    </w:p>
    <w:p>
      <w:pPr>
        <w:ind w:left="970" w:right="20" w:hanging="322"/>
        <w:spacing w:after="0" w:line="261"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970" w:hanging="322"/>
        <w:spacing w:after="0" w:line="250"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5"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pacing w:after="0" w:line="213" w:lineRule="exact"/>
        <w:rPr>
          <w:sz w:val="20"/>
          <w:szCs w:val="20"/>
          <w:color w:val="auto"/>
        </w:rPr>
      </w:pPr>
    </w:p>
    <w:p>
      <w:pPr>
        <w:ind w:left="330"/>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ectPr>
          <w:pgSz w:w="11900" w:h="16838" w:orient="portrait"/>
          <w:cols w:equalWidth="0" w:num="1">
            <w:col w:w="11070"/>
          </w:cols>
          <w:pgMar w:left="49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11" w:right="339" w:bottom="1440" w:gutter="0" w:footer="0" w:header="0"/>
          <w:type w:val="continuous"/>
        </w:sectPr>
      </w:pPr>
    </w:p>
    <w:bookmarkStart w:id="13" w:name="page14"/>
    <w:bookmarkEnd w:id="13"/>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r>
        <w:rPr>
          <w:rFonts w:ascii="Times New Roman" w:cs="Times New Roman" w:eastAsia="Times New Roman" w:hAnsi="Times New Roman"/>
          <w:sz w:val="18"/>
          <w:szCs w:val="18"/>
          <w:b w:val="1"/>
          <w:bCs w:val="1"/>
          <w:color w:val="auto"/>
        </w:rPr>
        <w:t xml:space="preserve"> Adjusted equity in (income) loss of unconsolidated affiliates</w:t>
      </w:r>
      <w:r>
        <w:rPr>
          <w:rFonts w:ascii="Times New Roman" w:cs="Times New Roman" w:eastAsia="Times New Roman" w:hAnsi="Times New Roman"/>
          <w:sz w:val="18"/>
          <w:szCs w:val="18"/>
          <w:color w:val="auto"/>
        </w:rPr>
        <w:t>: Equity in (income) loss of unconsolidated affiliates excluding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before income taxes</w:t>
      </w:r>
      <w:r>
        <w:rPr>
          <w:rFonts w:ascii="Times New Roman" w:cs="Times New Roman" w:eastAsia="Times New Roman" w:hAnsi="Times New Roman"/>
          <w:sz w:val="18"/>
          <w:szCs w:val="18"/>
          <w:color w:val="auto"/>
        </w:rPr>
        <w:t>: Income (loss) before income taxes excluding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w:t>
      </w:r>
      <w:r>
        <w:rPr>
          <w:rFonts w:ascii="Times New Roman" w:cs="Times New Roman" w:eastAsia="Times New Roman" w:hAnsi="Times New Roman"/>
          <w:sz w:val="18"/>
          <w:szCs w:val="18"/>
          <w:color w:val="auto"/>
        </w:rPr>
        <w:t>: Income tax expense (benefit) excluding the tax effect of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w:t>
      </w:r>
      <w:r>
        <w:rPr>
          <w:rFonts w:ascii="Times New Roman" w:cs="Times New Roman" w:eastAsia="Times New Roman" w:hAnsi="Times New Roman"/>
          <w:sz w:val="18"/>
          <w:szCs w:val="18"/>
          <w:color w:val="auto"/>
        </w:rPr>
        <w:t>: Net income (loss) excluding impairment, restructuring and other charges / recoveries, costs related to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other non-operating income / expense items, each net of tax.</w:t>
      </w:r>
    </w:p>
    <w:p>
      <w:pPr>
        <w:spacing w:after="0" w:line="1" w:lineRule="exact"/>
        <w:rPr>
          <w:sz w:val="20"/>
          <w:szCs w:val="20"/>
          <w:color w:val="auto"/>
        </w:rPr>
      </w:pPr>
    </w:p>
    <w:p>
      <w:pPr>
        <w:jc w:val="both"/>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w:t>
      </w:r>
      <w:r>
        <w:rPr>
          <w:rFonts w:ascii="Times New Roman" w:cs="Times New Roman" w:eastAsia="Times New Roman" w:hAnsi="Times New Roman"/>
          <w:sz w:val="18"/>
          <w:szCs w:val="18"/>
          <w:color w:val="auto"/>
        </w:rPr>
        <w:t>: Diluted net income (loss) per common share excluding impairment, restructuring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29, 2025,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5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29, 2025, the Company incurred employee and executive severance charges of $3.6 million in the “Cost of sales—impairment, restructuring and other” line in the Condensed Consolidated Statements of Operations and $5.4 million and $14.9 million, respectively,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29, 2025, the Company incurred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3"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the supply chain network, reduced staffing levels and implemented other cost-reduction initiatives. During the three and six months ended March 29, 2025, the Company incurred costs of $3.7 million and $8.9 million, respectively, in the “Cost of sales—impairment, restructuring and other” line in the Condensed Consolidated Statements of Operations associated with this restructuring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40"/>
          </w:cols>
          <w:pgMar w:left="820" w:top="111" w:right="339" w:bottom="1440" w:gutter="0" w:footer="0" w:header="0"/>
        </w:sectPr>
      </w:pPr>
    </w:p>
    <w:bookmarkStart w:id="14" w:name="page15"/>
    <w:bookmarkEnd w:id="14"/>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30, 2024,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During the three and six months ended March 30, 2024, the Company incurred costs of $74.9 million and $69.1 million, respectively, in the “Cost of sales—impairment, restructuring and other” line in the Condensed Consolidated Statements of Operations and $2.0 million and $4.1 million, respectively,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w:t>
      </w:r>
    </w:p>
    <w:p>
      <w:pPr>
        <w:spacing w:after="0" w:line="5"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30, 2024, the Company recorded a gain of $0.0 million and $12.1 million, respectively, in the “Impairment, restructuring and other” line in the Condensed Consolidated Statements of Operations associated with a payment received in resolution of a dispute with the former ownership group of a business that was acquired in fiscal 2022.</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30, 2024, the Company recorded a pre-tax impairment charge of $0.0 million and $10.4 million, respectively, associated with its investment in Bonnie Plants, LLC in the “Equity in loss of unconsolidated affiliates” line in the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Non-GAAP Measures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740"/>
      </w:cols>
      <w:pgMar w:left="8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2025-04-30T06:46:27Z</dcterms:created>
  <dcterms:modified xsi:type="dcterms:W3CDTF">2025-04-30T06:46:27Z</dcterms:modified>
</cp:coreProperties>
</file>