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14111 SCOTTSLAWN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EVP and COO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67.873   51,513.3437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original Form 4 showed 2.7174 shares acquired. This amendment displays the correct number of shares which were acquired.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Nathan E.</w:t>
        <w:tab/>
        <w:t>07/30/2024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5595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2024-07-30T12:45:46Z</dcterms:created>
  <dcterms:modified xsi:type="dcterms:W3CDTF">2024-07-30T12:45:46Z</dcterms:modified>
</cp:coreProperties>
</file>