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1, 2023 </w:t>
      </w:r>
    </w:p>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val="false"/>
          <w:color w:val="000000"/>
          <w:sz w:val="20"/>
        </w:rPr>
        <w:t>001-11593</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bidi w:val="0"/>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Ohio 43041 </w:t>
      </w:r>
    </w:p>
    <w:p>
      <w:pPr>
        <w:pStyle w:val="TextBody"/>
        <w:bidi w:val="0"/>
        <w:spacing w:lineRule="auto" w:line="288" w:before="0" w:after="0"/>
        <w:jc w:val="center"/>
        <w:rPr/>
      </w:pPr>
      <w:r>
        <w:rPr>
          <w:rFonts w:ascii="Times New Roman;sans-serif" w:hAnsi="Times New Roman;sans-serif"/>
          <w:b/>
          <w:color w:val="000000"/>
          <w:sz w:val="16"/>
        </w:rPr>
        <w:t>(Address of principal executive offices)</w:t>
      </w:r>
      <w:r>
        <w:rPr>
          <w:color w:val="000000"/>
        </w:rPr>
        <w:t xml:space="preserve"> </w:t>
      </w:r>
      <w:r>
        <w:rPr>
          <w:rFonts w:ascii="Times New Roman;sans-serif" w:hAnsi="Times New Roman;sans-serif"/>
          <w:b/>
          <w:color w:val="000000"/>
          <w:sz w:val="16"/>
        </w:rPr>
        <w:t>(Zip Code)</w:t>
      </w:r>
    </w:p>
    <w:p>
      <w:pPr>
        <w:pStyle w:val="TextBody"/>
        <w:bidi w:val="0"/>
        <w:spacing w:lineRule="auto" w:line="288" w:before="120" w:after="283"/>
        <w:jc w:val="center"/>
        <w:rPr/>
      </w:pPr>
      <w:r>
        <w:rPr>
          <w:rFonts w:ascii="Times New Roman;sans-serif" w:hAnsi="Times New Roman;sans-serif"/>
          <w:b w:val="false"/>
          <w:color w:val="000000"/>
          <w:sz w:val="20"/>
        </w:rPr>
        <w:t>(937</w:t>
      </w:r>
      <w:r>
        <w:rPr>
          <w:rFonts w:ascii="Times New Roman;sans-serif" w:hAnsi="Times New Roman;sans-serif"/>
          <w:b/>
          <w:color w:val="000000"/>
          <w:sz w:val="19"/>
        </w:rPr>
        <w:t xml:space="preserve">) </w:t>
      </w:r>
      <w:r>
        <w:rPr>
          <w:rFonts w:ascii="Times New Roman;sans-serif" w:hAnsi="Times New Roman;sans-serif"/>
          <w:b w:val="false"/>
          <w:color w:val="000000"/>
          <w:sz w:val="20"/>
        </w:rPr>
        <w:t>644-0011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w:t>
            </w:r>
          </w:p>
        </w:tc>
      </w:tr>
    </w:tbl>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August 4, 2023, there were 56,156,151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7"/>
        <w:gridCol w:w="479"/>
        <w:gridCol w:w="399"/>
        <w:gridCol w:w="2672"/>
        <w:gridCol w:w="2474"/>
        <w:gridCol w:w="2412"/>
        <w:gridCol w:w="386"/>
        <w:gridCol w:w="386"/>
        <w:gridCol w:w="450"/>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br/>
              <w:t>INDEX</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0">
              <w:r>
                <w:rPr>
                  <w:rStyle w:val="InternetLink"/>
                  <w:rFonts w:ascii="Times New Roman;sans-serif" w:hAnsi="Times New Roman;sans-serif"/>
                  <w:b w:val="false"/>
                  <w:strike w:val="false"/>
                  <w:dstrike w:val="false"/>
                  <w:color w:val="0000FF"/>
                  <w:sz w:val="20"/>
                  <w:u w:val="none"/>
                  <w:effect w:val="none"/>
                </w:rPr>
                <w:t>PART I. FINANCIAL INFORMATION:</w:t>
              </w:r>
            </w:hyperlink>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
              <w:r>
                <w:rPr>
                  <w:rStyle w:val="InternetLink"/>
                  <w:rFonts w:ascii="Times New Roman;sans-serif" w:hAnsi="Times New Roman;sans-serif"/>
                  <w:b w:val="false"/>
                  <w:strike w:val="false"/>
                  <w:dstrike w:val="false"/>
                  <w:color w:val="0000FF"/>
                  <w:sz w:val="20"/>
                  <w:u w:val="none"/>
                  <w:effect w:val="none"/>
                </w:rPr>
                <w:t>Item 1.</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
              <w:r>
                <w:rPr>
                  <w:rStyle w:val="InternetLink"/>
                  <w:rFonts w:ascii="Times New Roman;sans-serif" w:hAnsi="Times New Roman;sans-serif"/>
                  <w:b w:val="false"/>
                  <w:color w:val="0000FF"/>
                  <w:sz w:val="20"/>
                  <w:u w:val="single"/>
                </w:rPr>
                <w:t>Financial Statements (Unaudited)</w:t>
              </w:r>
            </w:hyperlink>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6">
              <w:r>
                <w:rPr>
                  <w:rStyle w:val="InternetLink"/>
                  <w:rFonts w:ascii="Times New Roman;sans-serif" w:hAnsi="Times New Roman;sans-serif"/>
                  <w:b w:val="false"/>
                  <w:color w:val="000080"/>
                  <w:sz w:val="20"/>
                  <w:u w:val="single"/>
                </w:rPr>
                <w:t xml:space="preserve">Condensed Consolidated Statements of Operations — Three and </w:t>
              </w:r>
            </w:hyperlink>
            <w:hyperlink w:anchor="i61c3198ec3244e3ebc60b8cbfa7199b1_16">
              <w:r>
                <w:rPr>
                  <w:rStyle w:val="InternetLink"/>
                  <w:rFonts w:ascii="Times New Roman;sans-serif" w:hAnsi="Times New Roman;sans-serif"/>
                  <w:b w:val="false"/>
                  <w:color w:val="000080"/>
                  <w:sz w:val="20"/>
                  <w:u w:val="single"/>
                </w:rPr>
                <w:t xml:space="preserve">nine </w:t>
              </w:r>
            </w:hyperlink>
            <w:hyperlink w:anchor="i61c3198ec3244e3ebc60b8cbfa7199b1_16">
              <w:r>
                <w:rPr>
                  <w:rStyle w:val="InternetLink"/>
                  <w:rFonts w:ascii="Times New Roman;sans-serif" w:hAnsi="Times New Roman;sans-serif"/>
                  <w:b w:val="false"/>
                  <w:color w:val="000080"/>
                  <w:sz w:val="20"/>
                  <w:u w:val="single"/>
                </w:rPr>
                <w:t xml:space="preserve">months ended </w:t>
              </w:r>
            </w:hyperlink>
            <w:hyperlink w:anchor="i61c3198ec3244e3ebc60b8cbfa7199b1_16">
              <w:r>
                <w:rPr>
                  <w:rStyle w:val="InternetLink"/>
                  <w:rFonts w:ascii="Times New Roman;sans-serif" w:hAnsi="Times New Roman;sans-serif"/>
                  <w:b w:val="false"/>
                  <w:color w:val="000080"/>
                  <w:sz w:val="20"/>
                  <w:u w:val="single"/>
                </w:rPr>
                <w:t>July</w:t>
              </w:r>
            </w:hyperlink>
            <w:hyperlink w:anchor="i61c3198ec3244e3ebc60b8cbfa7199b1_16">
              <w:r>
                <w:rPr>
                  <w:rStyle w:val="InternetLink"/>
                  <w:rFonts w:ascii="Times New Roman;sans-serif" w:hAnsi="Times New Roman;sans-serif"/>
                  <w:b w:val="false"/>
                  <w:color w:val="000080"/>
                  <w:sz w:val="20"/>
                  <w:u w:val="single"/>
                </w:rPr>
                <w:t xml:space="preserve"> 1, 2023 and </w:t>
              </w:r>
            </w:hyperlink>
            <w:hyperlink w:anchor="i61c3198ec3244e3ebc60b8cbfa7199b1_16">
              <w:r>
                <w:rPr>
                  <w:rStyle w:val="InternetLink"/>
                  <w:rFonts w:ascii="Times New Roman;sans-serif" w:hAnsi="Times New Roman;sans-serif"/>
                  <w:b w:val="false"/>
                  <w:color w:val="000080"/>
                  <w:sz w:val="20"/>
                  <w:u w:val="single"/>
                </w:rPr>
                <w:t>July</w:t>
              </w:r>
            </w:hyperlink>
            <w:hyperlink w:anchor="i61c3198ec3244e3ebc60b8cbfa7199b1_16">
              <w:r>
                <w:rPr>
                  <w:rStyle w:val="InternetLink"/>
                  <w:rFonts w:ascii="Times New Roman;sans-serif" w:hAnsi="Times New Roman;sans-serif"/>
                  <w:b w:val="false"/>
                  <w:color w:val="000080"/>
                  <w:sz w:val="20"/>
                  <w:u w:val="single"/>
                </w:rPr>
                <w:t xml:space="preserve"> 2, 2022</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6">
              <w:r>
                <w:rPr>
                  <w:rStyle w:val="InternetLink"/>
                  <w:rFonts w:ascii="Times New Roman;sans-serif" w:hAnsi="Times New Roman;sans-serif"/>
                  <w:b w:val="false"/>
                  <w:color w:val="0000FF"/>
                  <w:sz w:val="20"/>
                  <w:u w:val="single"/>
                </w:rPr>
                <w:t>3</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9">
              <w:r>
                <w:rPr>
                  <w:rStyle w:val="InternetLink"/>
                  <w:rFonts w:ascii="Times New Roman;sans-serif" w:hAnsi="Times New Roman;sans-serif"/>
                  <w:b w:val="false"/>
                  <w:color w:val="000080"/>
                  <w:sz w:val="20"/>
                  <w:u w:val="single"/>
                </w:rPr>
                <w:t xml:space="preserve">Condensed Consolidated Statements of Comprehensive Income (Loss) — Three and </w:t>
              </w:r>
            </w:hyperlink>
            <w:hyperlink w:anchor="i61c3198ec3244e3ebc60b8cbfa7199b1_19">
              <w:r>
                <w:rPr>
                  <w:rStyle w:val="InternetLink"/>
                  <w:rFonts w:ascii="Times New Roman;sans-serif" w:hAnsi="Times New Roman;sans-serif"/>
                  <w:b w:val="false"/>
                  <w:color w:val="000080"/>
                  <w:sz w:val="20"/>
                  <w:u w:val="single"/>
                </w:rPr>
                <w:t>nine</w:t>
              </w:r>
            </w:hyperlink>
            <w:hyperlink w:anchor="i61c3198ec3244e3ebc60b8cbfa7199b1_19">
              <w:r>
                <w:rPr>
                  <w:rStyle w:val="InternetLink"/>
                  <w:rFonts w:ascii="Times New Roman;sans-serif" w:hAnsi="Times New Roman;sans-serif"/>
                  <w:b w:val="false"/>
                  <w:color w:val="000080"/>
                  <w:sz w:val="20"/>
                  <w:u w:val="single"/>
                </w:rPr>
                <w:t xml:space="preserve"> months ended </w:t>
              </w:r>
            </w:hyperlink>
            <w:hyperlink w:anchor="i61c3198ec3244e3ebc60b8cbfa7199b1_19">
              <w:r>
                <w:rPr>
                  <w:rStyle w:val="InternetLink"/>
                  <w:rFonts w:ascii="Times New Roman;sans-serif" w:hAnsi="Times New Roman;sans-serif"/>
                  <w:b w:val="false"/>
                  <w:color w:val="000080"/>
                  <w:sz w:val="20"/>
                  <w:u w:val="single"/>
                </w:rPr>
                <w:t>July</w:t>
              </w:r>
            </w:hyperlink>
            <w:hyperlink w:anchor="i61c3198ec3244e3ebc60b8cbfa7199b1_19">
              <w:r>
                <w:rPr>
                  <w:rStyle w:val="InternetLink"/>
                  <w:rFonts w:ascii="Times New Roman;sans-serif" w:hAnsi="Times New Roman;sans-serif"/>
                  <w:b w:val="false"/>
                  <w:color w:val="000080"/>
                  <w:sz w:val="20"/>
                  <w:u w:val="single"/>
                </w:rPr>
                <w:t xml:space="preserve"> 1, 2023 and </w:t>
              </w:r>
            </w:hyperlink>
            <w:hyperlink w:anchor="i61c3198ec3244e3ebc60b8cbfa7199b1_19">
              <w:r>
                <w:rPr>
                  <w:rStyle w:val="InternetLink"/>
                  <w:rFonts w:ascii="Times New Roman;sans-serif" w:hAnsi="Times New Roman;sans-serif"/>
                  <w:b w:val="false"/>
                  <w:color w:val="000080"/>
                  <w:sz w:val="20"/>
                  <w:u w:val="single"/>
                </w:rPr>
                <w:t>July</w:t>
              </w:r>
            </w:hyperlink>
            <w:hyperlink w:anchor="i61c3198ec3244e3ebc60b8cbfa7199b1_19">
              <w:r>
                <w:rPr>
                  <w:rStyle w:val="InternetLink"/>
                  <w:rFonts w:ascii="Times New Roman;sans-serif" w:hAnsi="Times New Roman;sans-serif"/>
                  <w:b w:val="false"/>
                  <w:color w:val="000080"/>
                  <w:sz w:val="20"/>
                  <w:u w:val="single"/>
                </w:rPr>
                <w:t xml:space="preserve"> 2, 2022</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9">
              <w:r>
                <w:rPr>
                  <w:rStyle w:val="InternetLink"/>
                  <w:rFonts w:ascii="Times New Roman;sans-serif" w:hAnsi="Times New Roman;sans-serif"/>
                  <w:b w:val="false"/>
                  <w:color w:val="0000FF"/>
                  <w:sz w:val="20"/>
                  <w:u w:val="single"/>
                </w:rPr>
                <w:t>4</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25">
              <w:r>
                <w:rPr>
                  <w:rStyle w:val="InternetLink"/>
                  <w:rFonts w:ascii="Times New Roman;sans-serif" w:hAnsi="Times New Roman;sans-serif"/>
                  <w:b w:val="false"/>
                  <w:color w:val="000080"/>
                  <w:sz w:val="20"/>
                  <w:u w:val="single"/>
                </w:rPr>
                <w:t xml:space="preserve">Condensed Consolidated Statements of Cash Flows — </w:t>
              </w:r>
            </w:hyperlink>
            <w:hyperlink w:anchor="i61c3198ec3244e3ebc60b8cbfa7199b1_25">
              <w:r>
                <w:rPr>
                  <w:rStyle w:val="InternetLink"/>
                  <w:rFonts w:ascii="Times New Roman;sans-serif" w:hAnsi="Times New Roman;sans-serif"/>
                  <w:b w:val="false"/>
                  <w:color w:val="000080"/>
                  <w:sz w:val="20"/>
                  <w:u w:val="single"/>
                </w:rPr>
                <w:t>Nine</w:t>
              </w:r>
            </w:hyperlink>
            <w:hyperlink w:anchor="i61c3198ec3244e3ebc60b8cbfa7199b1_25">
              <w:r>
                <w:rPr>
                  <w:rStyle w:val="InternetLink"/>
                  <w:rFonts w:ascii="Times New Roman;sans-serif" w:hAnsi="Times New Roman;sans-serif"/>
                  <w:b w:val="false"/>
                  <w:color w:val="000080"/>
                  <w:sz w:val="20"/>
                  <w:u w:val="single"/>
                </w:rPr>
                <w:t xml:space="preserve"> months ended </w:t>
              </w:r>
            </w:hyperlink>
            <w:hyperlink w:anchor="i61c3198ec3244e3ebc60b8cbfa7199b1_25">
              <w:r>
                <w:rPr>
                  <w:rStyle w:val="InternetLink"/>
                  <w:rFonts w:ascii="Times New Roman;sans-serif" w:hAnsi="Times New Roman;sans-serif"/>
                  <w:b w:val="false"/>
                  <w:color w:val="000080"/>
                  <w:sz w:val="20"/>
                  <w:u w:val="single"/>
                </w:rPr>
                <w:t>July</w:t>
              </w:r>
            </w:hyperlink>
            <w:hyperlink w:anchor="i61c3198ec3244e3ebc60b8cbfa7199b1_25">
              <w:r>
                <w:rPr>
                  <w:rStyle w:val="InternetLink"/>
                  <w:rFonts w:ascii="Times New Roman;sans-serif" w:hAnsi="Times New Roman;sans-serif"/>
                  <w:b w:val="false"/>
                  <w:color w:val="000080"/>
                  <w:sz w:val="20"/>
                  <w:u w:val="single"/>
                </w:rPr>
                <w:t xml:space="preserve"> 1, 2023 and </w:t>
              </w:r>
            </w:hyperlink>
            <w:hyperlink w:anchor="i61c3198ec3244e3ebc60b8cbfa7199b1_25">
              <w:r>
                <w:rPr>
                  <w:rStyle w:val="InternetLink"/>
                  <w:rFonts w:ascii="Times New Roman;sans-serif" w:hAnsi="Times New Roman;sans-serif"/>
                  <w:b w:val="false"/>
                  <w:color w:val="000080"/>
                  <w:sz w:val="20"/>
                  <w:u w:val="single"/>
                </w:rPr>
                <w:t>July</w:t>
              </w:r>
            </w:hyperlink>
            <w:hyperlink w:anchor="i61c3198ec3244e3ebc60b8cbfa7199b1_25">
              <w:r>
                <w:rPr>
                  <w:rStyle w:val="InternetLink"/>
                  <w:rFonts w:ascii="Times New Roman;sans-serif" w:hAnsi="Times New Roman;sans-serif"/>
                  <w:b w:val="false"/>
                  <w:color w:val="000080"/>
                  <w:sz w:val="20"/>
                  <w:u w:val="single"/>
                </w:rPr>
                <w:t xml:space="preserve"> 2, 2022</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25">
              <w:r>
                <w:rPr>
                  <w:rStyle w:val="InternetLink"/>
                  <w:rFonts w:ascii="Times New Roman;sans-serif" w:hAnsi="Times New Roman;sans-serif"/>
                  <w:b w:val="false"/>
                  <w:color w:val="0000FF"/>
                  <w:sz w:val="20"/>
                  <w:u w:val="single"/>
                </w:rPr>
                <w:t>5</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28">
              <w:r>
                <w:rPr>
                  <w:rStyle w:val="InternetLink"/>
                  <w:rFonts w:ascii="Times New Roman;sans-serif" w:hAnsi="Times New Roman;sans-serif"/>
                  <w:b w:val="false"/>
                  <w:color w:val="000080"/>
                  <w:sz w:val="20"/>
                  <w:u w:val="single"/>
                </w:rPr>
                <w:t>Condensed Consolidated Balance Sheets —</w:t>
              </w:r>
            </w:hyperlink>
            <w:hyperlink w:anchor="i61c3198ec3244e3ebc60b8cbfa7199b1_28">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3051F2"/>
                <w:sz w:val="20"/>
                <w:u w:val="single"/>
              </w:rPr>
              <w:t>July</w:t>
            </w:r>
            <w:hyperlink w:anchor="i61c3198ec3244e3ebc60b8cbfa7199b1_19">
              <w:r>
                <w:rPr>
                  <w:rStyle w:val="InternetLink"/>
                  <w:color w:val="0000FF"/>
                  <w:u w:val="single"/>
                </w:rPr>
                <w:t xml:space="preserve"> </w:t>
              </w:r>
            </w:hyperlink>
            <w:hyperlink w:anchor="i61c3198ec3244e3ebc60b8cbfa7199b1_19">
              <w:r>
                <w:rPr>
                  <w:rStyle w:val="InternetLink"/>
                  <w:rFonts w:ascii="Times New Roman;sans-serif" w:hAnsi="Times New Roman;sans-serif"/>
                  <w:b w:val="false"/>
                  <w:color w:val="0000FF"/>
                  <w:sz w:val="20"/>
                  <w:u w:val="single"/>
                </w:rPr>
                <w:t xml:space="preserve">1, 2023, </w:t>
              </w:r>
            </w:hyperlink>
            <w:hyperlink w:anchor="i61c3198ec3244e3ebc60b8cbfa7199b1_19">
              <w:r>
                <w:rPr>
                  <w:rStyle w:val="InternetLink"/>
                  <w:rFonts w:ascii="Times New Roman;sans-serif" w:hAnsi="Times New Roman;sans-serif"/>
                  <w:b w:val="false"/>
                  <w:color w:val="000080"/>
                  <w:sz w:val="20"/>
                  <w:u w:val="single"/>
                </w:rPr>
                <w:t>July</w:t>
              </w:r>
            </w:hyperlink>
            <w:hyperlink w:anchor="i61c3198ec3244e3ebc60b8cbfa7199b1_19">
              <w:r>
                <w:rPr>
                  <w:rStyle w:val="InternetLink"/>
                  <w:rFonts w:ascii="Times New Roman;sans-serif" w:hAnsi="Times New Roman;sans-serif"/>
                  <w:b w:val="false"/>
                  <w:color w:val="000080"/>
                  <w:sz w:val="20"/>
                  <w:u w:val="single"/>
                </w:rPr>
                <w:t xml:space="preserve"> 2, 2022 </w:t>
              </w:r>
            </w:hyperlink>
            <w:hyperlink w:anchor="i61c3198ec3244e3ebc60b8cbfa7199b1_28">
              <w:r>
                <w:rPr>
                  <w:rStyle w:val="InternetLink"/>
                  <w:rFonts w:ascii="Times New Roman;sans-serif" w:hAnsi="Times New Roman;sans-serif"/>
                  <w:b w:val="false"/>
                  <w:color w:val="000080"/>
                  <w:sz w:val="20"/>
                  <w:u w:val="single"/>
                </w:rPr>
                <w:t>and September 30, 2022</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28">
              <w:r>
                <w:rPr>
                  <w:rStyle w:val="InternetLink"/>
                  <w:rFonts w:ascii="Times New Roman;sans-serif" w:hAnsi="Times New Roman;sans-serif"/>
                  <w:b w:val="false"/>
                  <w:color w:val="0000FF"/>
                  <w:sz w:val="20"/>
                  <w:u w:val="single"/>
                </w:rPr>
                <w:t>6</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34">
              <w:r>
                <w:rPr>
                  <w:rStyle w:val="InternetLink"/>
                  <w:rFonts w:ascii="Times New Roman;sans-serif" w:hAnsi="Times New Roman;sans-serif"/>
                  <w:b w:val="false"/>
                  <w:color w:val="0000FF"/>
                  <w:sz w:val="20"/>
                  <w:u w:val="single"/>
                </w:rPr>
                <w:t>Notes to Condensed Consolidated Financial Statements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34">
              <w:r>
                <w:rPr>
                  <w:rStyle w:val="InternetLink"/>
                  <w:rFonts w:ascii="Times New Roman;sans-serif" w:hAnsi="Times New Roman;sans-serif"/>
                  <w:b w:val="false"/>
                  <w:color w:val="0000FF"/>
                  <w:sz w:val="20"/>
                  <w:u w:val="single"/>
                </w:rPr>
                <w:t>7</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00">
              <w:r>
                <w:rPr>
                  <w:rStyle w:val="InternetLink"/>
                  <w:rFonts w:ascii="Times New Roman;sans-serif" w:hAnsi="Times New Roman;sans-serif"/>
                  <w:b w:val="false"/>
                  <w:strike w:val="false"/>
                  <w:dstrike w:val="false"/>
                  <w:color w:val="0000FF"/>
                  <w:sz w:val="20"/>
                  <w:u w:val="none"/>
                  <w:effect w:val="none"/>
                </w:rPr>
                <w:t>Item 2.</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00">
              <w:r>
                <w:rPr>
                  <w:rStyle w:val="InternetLink"/>
                  <w:rFonts w:ascii="Times New Roman;sans-serif" w:hAnsi="Times New Roman;sans-serif"/>
                  <w:b w:val="false"/>
                  <w:color w:val="0000FF"/>
                  <w:sz w:val="20"/>
                  <w:u w:val="single"/>
                </w:rPr>
                <w:t>26</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21">
              <w:r>
                <w:rPr>
                  <w:rStyle w:val="InternetLink"/>
                  <w:rFonts w:ascii="Times New Roman;sans-serif" w:hAnsi="Times New Roman;sans-serif"/>
                  <w:b w:val="false"/>
                  <w:strike w:val="false"/>
                  <w:dstrike w:val="false"/>
                  <w:color w:val="0000FF"/>
                  <w:sz w:val="20"/>
                  <w:u w:val="none"/>
                  <w:effect w:val="none"/>
                </w:rPr>
                <w:t>Item 3.</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21">
              <w:r>
                <w:rPr>
                  <w:rStyle w:val="InternetLink"/>
                  <w:rFonts w:ascii="Times New Roman;sans-serif" w:hAnsi="Times New Roman;sans-serif"/>
                  <w:b w:val="false"/>
                  <w:color w:val="0000FF"/>
                  <w:sz w:val="20"/>
                  <w:u w:val="single"/>
                </w:rPr>
                <w:t>Quantitative and Qualitative Disclosures about Market Risk</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21">
              <w:r>
                <w:rPr>
                  <w:rStyle w:val="InternetLink"/>
                  <w:rFonts w:ascii="Times New Roman;sans-serif" w:hAnsi="Times New Roman;sans-serif"/>
                  <w:b w:val="false"/>
                  <w:color w:val="0000FF"/>
                  <w:sz w:val="20"/>
                  <w:u w:val="single"/>
                </w:rPr>
                <w:t>42</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24">
              <w:r>
                <w:rPr>
                  <w:rStyle w:val="InternetLink"/>
                  <w:rFonts w:ascii="Times New Roman;sans-serif" w:hAnsi="Times New Roman;sans-serif"/>
                  <w:b w:val="false"/>
                  <w:strike w:val="false"/>
                  <w:dstrike w:val="false"/>
                  <w:color w:val="0000FF"/>
                  <w:sz w:val="20"/>
                  <w:u w:val="none"/>
                  <w:effect w:val="none"/>
                </w:rPr>
                <w:t>Item 4.</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24">
              <w:r>
                <w:rPr>
                  <w:rStyle w:val="InternetLink"/>
                  <w:rFonts w:ascii="Times New Roman;sans-serif" w:hAnsi="Times New Roman;sans-serif"/>
                  <w:b w:val="false"/>
                  <w:color w:val="0000FF"/>
                  <w:sz w:val="20"/>
                  <w:u w:val="single"/>
                </w:rPr>
                <w:t>Controls and Procedures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24">
              <w:r>
                <w:rPr>
                  <w:rStyle w:val="InternetLink"/>
                  <w:rFonts w:ascii="Times New Roman;sans-serif" w:hAnsi="Times New Roman;sans-serif"/>
                  <w:b w:val="false"/>
                  <w:color w:val="0000FF"/>
                  <w:sz w:val="20"/>
                  <w:u w:val="single"/>
                </w:rPr>
                <w:t>42</w:t>
              </w:r>
            </w:hyperlink>
          </w:p>
        </w:tc>
      </w:tr>
      <w:tr>
        <w:trPr/>
        <w:tc>
          <w:tcPr>
            <w:tcW w:w="8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27">
              <w:r>
                <w:rPr>
                  <w:rStyle w:val="InternetLink"/>
                  <w:rFonts w:ascii="Times New Roman;sans-serif" w:hAnsi="Times New Roman;sans-serif"/>
                  <w:b w:val="false"/>
                  <w:strike w:val="false"/>
                  <w:dstrike w:val="false"/>
                  <w:color w:val="0000FF"/>
                  <w:sz w:val="20"/>
                  <w:u w:val="none"/>
                  <w:effect w:val="none"/>
                </w:rPr>
                <w:t>PART II. OTHER INFORMATION:</w:t>
              </w:r>
            </w:hyperlink>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0">
              <w:r>
                <w:rPr>
                  <w:rStyle w:val="InternetLink"/>
                  <w:rFonts w:ascii="Times New Roman;sans-serif" w:hAnsi="Times New Roman;sans-serif"/>
                  <w:b w:val="false"/>
                  <w:strike w:val="false"/>
                  <w:dstrike w:val="false"/>
                  <w:color w:val="0000FF"/>
                  <w:sz w:val="20"/>
                  <w:u w:val="none"/>
                  <w:effect w:val="none"/>
                </w:rPr>
                <w:t>Item 1.</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0">
              <w:r>
                <w:rPr>
                  <w:rStyle w:val="InternetLink"/>
                  <w:rFonts w:ascii="Times New Roman;sans-serif" w:hAnsi="Times New Roman;sans-serif"/>
                  <w:b w:val="false"/>
                  <w:color w:val="0000FF"/>
                  <w:sz w:val="20"/>
                  <w:u w:val="single"/>
                </w:rPr>
                <w:t>Legal Proceedings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30">
              <w:r>
                <w:rPr>
                  <w:rStyle w:val="InternetLink"/>
                  <w:rFonts w:ascii="Times New Roman;sans-serif" w:hAnsi="Times New Roman;sans-serif"/>
                  <w:b w:val="false"/>
                  <w:color w:val="0000FF"/>
                  <w:sz w:val="20"/>
                  <w:u w:val="single"/>
                </w:rPr>
                <w:t>43</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3">
              <w:r>
                <w:rPr>
                  <w:rStyle w:val="InternetLink"/>
                  <w:rFonts w:ascii="Times New Roman;sans-serif" w:hAnsi="Times New Roman;sans-serif"/>
                  <w:b w:val="false"/>
                  <w:strike w:val="false"/>
                  <w:dstrike w:val="false"/>
                  <w:color w:val="0000FF"/>
                  <w:sz w:val="20"/>
                  <w:u w:val="none"/>
                  <w:effect w:val="none"/>
                </w:rPr>
                <w:t>Item 1A.</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3">
              <w:r>
                <w:rPr>
                  <w:rStyle w:val="InternetLink"/>
                  <w:rFonts w:ascii="Times New Roman;sans-serif" w:hAnsi="Times New Roman;sans-serif"/>
                  <w:b w:val="false"/>
                  <w:color w:val="0000FF"/>
                  <w:sz w:val="20"/>
                  <w:u w:val="single"/>
                </w:rPr>
                <w:t>Risk Factors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33">
              <w:r>
                <w:rPr>
                  <w:rStyle w:val="InternetLink"/>
                  <w:rFonts w:ascii="Times New Roman;sans-serif" w:hAnsi="Times New Roman;sans-serif"/>
                  <w:b w:val="false"/>
                  <w:color w:val="0000FF"/>
                  <w:sz w:val="20"/>
                  <w:u w:val="single"/>
                </w:rPr>
                <w:t>43</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6">
              <w:r>
                <w:rPr>
                  <w:rStyle w:val="InternetLink"/>
                  <w:rFonts w:ascii="Times New Roman;sans-serif" w:hAnsi="Times New Roman;sans-serif"/>
                  <w:b w:val="false"/>
                  <w:strike w:val="false"/>
                  <w:dstrike w:val="false"/>
                  <w:color w:val="0000FF"/>
                  <w:sz w:val="20"/>
                  <w:u w:val="none"/>
                  <w:effect w:val="none"/>
                </w:rPr>
                <w:t>Item 2.</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6">
              <w:r>
                <w:rPr>
                  <w:rStyle w:val="InternetLink"/>
                  <w:rFonts w:ascii="Times New Roman;sans-serif" w:hAnsi="Times New Roman;sans-serif"/>
                  <w:b w:val="false"/>
                  <w:color w:val="0000FF"/>
                  <w:sz w:val="20"/>
                  <w:u w:val="single"/>
                </w:rPr>
                <w:t>Unregistered Sales of Equity Securities and Use of Proceeds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39">
              <w:r>
                <w:rPr>
                  <w:rStyle w:val="InternetLink"/>
                  <w:rFonts w:ascii="Times New Roman;sans-serif" w:hAnsi="Times New Roman;sans-serif"/>
                  <w:b w:val="false"/>
                  <w:color w:val="0000FF"/>
                  <w:sz w:val="20"/>
                  <w:u w:val="single"/>
                </w:rPr>
                <w:t>44</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9">
              <w:r>
                <w:rPr>
                  <w:rStyle w:val="InternetLink"/>
                  <w:rFonts w:ascii="Times New Roman;sans-serif" w:hAnsi="Times New Roman;sans-serif"/>
                  <w:b w:val="false"/>
                  <w:strike w:val="false"/>
                  <w:dstrike w:val="false"/>
                  <w:color w:val="0000FF"/>
                  <w:sz w:val="20"/>
                  <w:u w:val="none"/>
                  <w:effect w:val="none"/>
                </w:rPr>
                <w:t>Item 3.</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39">
              <w:r>
                <w:rPr>
                  <w:rStyle w:val="InternetLink"/>
                  <w:rFonts w:ascii="Times New Roman;sans-serif" w:hAnsi="Times New Roman;sans-serif"/>
                  <w:b w:val="false"/>
                  <w:color w:val="0000FF"/>
                  <w:sz w:val="20"/>
                  <w:u w:val="single"/>
                </w:rPr>
                <w:t>Defaults Upon Senior Securities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39">
              <w:r>
                <w:rPr>
                  <w:rStyle w:val="InternetLink"/>
                  <w:rFonts w:ascii="Times New Roman;sans-serif" w:hAnsi="Times New Roman;sans-serif"/>
                  <w:b w:val="false"/>
                  <w:color w:val="0000FF"/>
                  <w:sz w:val="20"/>
                  <w:u w:val="single"/>
                </w:rPr>
                <w:t>44</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2">
              <w:r>
                <w:rPr>
                  <w:rStyle w:val="InternetLink"/>
                  <w:rFonts w:ascii="Times New Roman;sans-serif" w:hAnsi="Times New Roman;sans-serif"/>
                  <w:b w:val="false"/>
                  <w:strike w:val="false"/>
                  <w:dstrike w:val="false"/>
                  <w:color w:val="0000FF"/>
                  <w:sz w:val="20"/>
                  <w:u w:val="none"/>
                  <w:effect w:val="none"/>
                </w:rPr>
                <w:t>Item 4.</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2">
              <w:r>
                <w:rPr>
                  <w:rStyle w:val="InternetLink"/>
                  <w:rFonts w:ascii="Times New Roman;sans-serif" w:hAnsi="Times New Roman;sans-serif"/>
                  <w:b w:val="false"/>
                  <w:color w:val="0000FF"/>
                  <w:sz w:val="20"/>
                  <w:u w:val="single"/>
                </w:rPr>
                <w:t>Mine Safety Disclosures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42">
              <w:r>
                <w:rPr>
                  <w:rStyle w:val="InternetLink"/>
                  <w:rFonts w:ascii="Times New Roman;sans-serif" w:hAnsi="Times New Roman;sans-serif"/>
                  <w:b w:val="false"/>
                  <w:color w:val="0000FF"/>
                  <w:sz w:val="20"/>
                  <w:u w:val="single"/>
                </w:rPr>
                <w:t>44</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5">
              <w:r>
                <w:rPr>
                  <w:rStyle w:val="InternetLink"/>
                  <w:rFonts w:ascii="Times New Roman;sans-serif" w:hAnsi="Times New Roman;sans-serif"/>
                  <w:b w:val="false"/>
                  <w:strike w:val="false"/>
                  <w:dstrike w:val="false"/>
                  <w:color w:val="0000FF"/>
                  <w:sz w:val="20"/>
                  <w:u w:val="none"/>
                  <w:effect w:val="none"/>
                </w:rPr>
                <w:t>Item 5.</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5">
              <w:r>
                <w:rPr>
                  <w:rStyle w:val="InternetLink"/>
                  <w:rFonts w:ascii="Times New Roman;sans-serif" w:hAnsi="Times New Roman;sans-serif"/>
                  <w:b w:val="false"/>
                  <w:color w:val="0000FF"/>
                  <w:sz w:val="20"/>
                  <w:u w:val="single"/>
                </w:rPr>
                <w:t>Other Information</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45">
              <w:r>
                <w:rPr>
                  <w:rStyle w:val="InternetLink"/>
                  <w:rFonts w:ascii="Times New Roman;sans-serif" w:hAnsi="Times New Roman;sans-serif"/>
                  <w:b w:val="false"/>
                  <w:color w:val="0000FF"/>
                  <w:sz w:val="20"/>
                  <w:u w:val="single"/>
                </w:rPr>
                <w:t>44</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8">
              <w:r>
                <w:rPr>
                  <w:rStyle w:val="InternetLink"/>
                  <w:rFonts w:ascii="Times New Roman;sans-serif" w:hAnsi="Times New Roman;sans-serif"/>
                  <w:b w:val="false"/>
                  <w:strike w:val="false"/>
                  <w:dstrike w:val="false"/>
                  <w:color w:val="0000FF"/>
                  <w:sz w:val="20"/>
                  <w:u w:val="none"/>
                  <w:effect w:val="none"/>
                </w:rPr>
                <w:t>Item 6.</w:t>
              </w:r>
            </w:hyperlink>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48">
              <w:r>
                <w:rPr>
                  <w:rStyle w:val="InternetLink"/>
                  <w:rFonts w:ascii="Times New Roman;sans-serif" w:hAnsi="Times New Roman;sans-serif"/>
                  <w:b w:val="false"/>
                  <w:color w:val="0000FF"/>
                  <w:sz w:val="20"/>
                  <w:u w:val="single"/>
                </w:rPr>
                <w:t>Exhibits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48">
              <w:r>
                <w:rPr>
                  <w:rStyle w:val="InternetLink"/>
                  <w:rFonts w:ascii="Times New Roman;sans-serif" w:hAnsi="Times New Roman;sans-serif"/>
                  <w:b w:val="false"/>
                  <w:color w:val="0000FF"/>
                  <w:sz w:val="20"/>
                  <w:u w:val="single"/>
                </w:rPr>
                <w:t>44</w:t>
              </w:r>
            </w:hyperlink>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51">
              <w:r>
                <w:rPr>
                  <w:rStyle w:val="InternetLink"/>
                  <w:rFonts w:ascii="Times New Roman;sans-serif" w:hAnsi="Times New Roman;sans-serif"/>
                  <w:b w:val="false"/>
                  <w:color w:val="0000FF"/>
                  <w:sz w:val="20"/>
                  <w:u w:val="single"/>
                </w:rPr>
                <w:t>Index to Exhibits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51">
              <w:r>
                <w:rPr>
                  <w:rStyle w:val="InternetLink"/>
                  <w:rFonts w:ascii="Times New Roman;sans-serif" w:hAnsi="Times New Roman;sans-serif"/>
                  <w:b w:val="false"/>
                  <w:color w:val="0000FF"/>
                  <w:sz w:val="20"/>
                  <w:u w:val="single"/>
                </w:rPr>
                <w:t>45</w:t>
              </w:r>
            </w:hyperlink>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154">
              <w:r>
                <w:rPr>
                  <w:rStyle w:val="InternetLink"/>
                  <w:rFonts w:ascii="Times New Roman;sans-serif" w:hAnsi="Times New Roman;sans-serif"/>
                  <w:b w:val="false"/>
                  <w:color w:val="0000FF"/>
                  <w:sz w:val="20"/>
                  <w:u w:val="single"/>
                </w:rPr>
                <w:t>Signatures</w:t>
              </w:r>
            </w:hyperlink>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c3198ec3244e3ebc60b8cbfa7199b1_154">
              <w:r>
                <w:rPr>
                  <w:rStyle w:val="InternetLink"/>
                  <w:rFonts w:ascii="Times New Roman;sans-serif" w:hAnsi="Times New Roman;sans-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4"/>
        <w:gridCol w:w="1453"/>
        <w:gridCol w:w="14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3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99"/>
        <w:gridCol w:w="1636"/>
        <w:gridCol w:w="1574"/>
        <w:gridCol w:w="211"/>
        <w:gridCol w:w="511"/>
        <w:gridCol w:w="109"/>
        <w:gridCol w:w="109"/>
        <w:gridCol w:w="109"/>
        <w:gridCol w:w="109"/>
        <w:gridCol w:w="211"/>
        <w:gridCol w:w="665"/>
        <w:gridCol w:w="109"/>
        <w:gridCol w:w="109"/>
        <w:gridCol w:w="109"/>
        <w:gridCol w:w="109"/>
        <w:gridCol w:w="211"/>
        <w:gridCol w:w="511"/>
        <w:gridCol w:w="109"/>
        <w:gridCol w:w="109"/>
        <w:gridCol w:w="109"/>
        <w:gridCol w:w="109"/>
        <w:gridCol w:w="211"/>
        <w:gridCol w:w="665"/>
        <w:gridCol w:w="109"/>
        <w:gridCol w:w="109"/>
        <w:gridCol w:w="109"/>
        <w:gridCol w:w="109"/>
        <w:gridCol w:w="156"/>
      </w:tblGrid>
      <w:tr>
        <w:trPr/>
        <w:tc>
          <w:tcPr>
            <w:tcW w:w="189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translation adjustment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net of tax</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 loss on derivative instruments to net income, net of 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securities, net of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adjustments, net of 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27" w:type="dxa"/>
        <w:jc w:val="center"/>
        <w:tblInd w:w="0" w:type="dxa"/>
        <w:tblLayout w:type="fixed"/>
        <w:tblCellMar>
          <w:top w:w="28" w:type="dxa"/>
          <w:left w:w="28" w:type="dxa"/>
          <w:bottom w:w="28" w:type="dxa"/>
          <w:right w:w="28" w:type="dxa"/>
        </w:tblCellMar>
      </w:tblPr>
      <w:tblGrid>
        <w:gridCol w:w="2463"/>
        <w:gridCol w:w="2163"/>
        <w:gridCol w:w="2169"/>
        <w:gridCol w:w="244"/>
        <w:gridCol w:w="596"/>
        <w:gridCol w:w="109"/>
        <w:gridCol w:w="109"/>
        <w:gridCol w:w="109"/>
        <w:gridCol w:w="109"/>
        <w:gridCol w:w="211"/>
        <w:gridCol w:w="691"/>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items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long-lived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receivable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acquisitions, net of cash acquired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convertible debt investments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and bank lines of credit and term loans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and bank lines of credit and term loans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and issuance fees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Shares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$22.3, $16.8 and $14.4,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pledged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$805.3, $778.4 and $777.9,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and capital in excess of $0.01 stated value per share; shares outstanding of 56.1, 55.4 and 55.5,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12.0, 12.8 and 12.8 shares,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Nature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North America consumer lawn and garden business is highly seasonal, with approximately 75% of its annual net sales occurring in the second and third fiscal quarters. The Company’s Hawthorne segment sales are also impacted by seasonal patterns for certain product categories due to the timing of outdoor growing in North America during the second and third fiscal quarters, and the timing of certain controlled agricultural lighting project sales during the third and fourth fiscal quarters.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unaudited condensed consolidated financial statements for the three and nine months ended July 1, 2023 and July 2, 2022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July 1, 2023 (this “Form 10-Q”) should be read in conjunction with Scotts Miracle-Gro’s Annual Report on Form 10-K for the fiscal year ended September 30, 2022 (the “2022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Balance Sheet at September 30, 2022 has been derived from the Company’s audited Consolidated Balance Sheet at that date, but does not include all of the information and footnotes required by GAAP for complete financial statements.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Long-Lived Assets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non-cash investing activities of $7.6 and $13.3 during the nine months ended July 1, 2023 and July 2, 2022, respectively, representing unpaid liabilities to acquire property, plant and equipment.</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Statements of Cash Flows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was as follows: </w:t>
      </w:r>
    </w:p>
    <w:tbl>
      <w:tblPr>
        <w:tblW w:w="5093" w:type="dxa"/>
        <w:jc w:val="left"/>
        <w:tblInd w:w="0" w:type="dxa"/>
        <w:tblLayout w:type="fixed"/>
        <w:tblCellMar>
          <w:top w:w="28" w:type="dxa"/>
          <w:left w:w="28" w:type="dxa"/>
          <w:bottom w:w="28" w:type="dxa"/>
          <w:right w:w="28" w:type="dxa"/>
        </w:tblCellMar>
      </w:tblPr>
      <w:tblGrid>
        <w:gridCol w:w="1070"/>
        <w:gridCol w:w="938"/>
        <w:gridCol w:w="946"/>
        <w:gridCol w:w="211"/>
        <w:gridCol w:w="616"/>
        <w:gridCol w:w="109"/>
        <w:gridCol w:w="109"/>
        <w:gridCol w:w="109"/>
        <w:gridCol w:w="109"/>
        <w:gridCol w:w="211"/>
        <w:gridCol w:w="51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 (refunds),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for the nine months ended July 1, 2023 was favorably impacted by extended payment terms with vendors for payments originally due in the final weeks of the third quarter of fiscal 2023 that were paid in the fourth quarter of fiscal 2023. The Company also received proceeds of $37.0 during the nine months ended July 1, 2023 related to the payoff of seller financing that the Company provided in connection with a fiscal 2017 divestiture, which was classified as an investing activity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 ACQUISITIONS AND INVESTMENTS </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Cyco</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 (i) $1.3 of inventory, (ii) $10.5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Luxx Lighting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of Scotts Miracle-Gro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True Liberty Bags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 (ii) $5.8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The Hawthorne Collective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24, 2021, the Company’s wholly-owned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On April 22, 2022, pursuant to its follow-on investment rights, the Company made an additional investment in RIV Capital in the form of a $25.0 convertible note. The notes accrue interest at 2 percent annually for the first two years and mature on August 24, 2027. Accrued interest will be payable to THC at maturity or will be included in the conversion value of the notes at the time of conversion.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3.  GOODWILL AND INTANGIBLE ASSETS</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2022, the Company performed an interim impairment review of its goodwill and a recoverability test for long-lived assets as of July 2, 2022. The Company concluded that the carrying value of long-lived assets exceeded their estimated fair value and recorded impairment charges of $69.0 related to trade names and $41.0 related to customer relationships in the “Impairment, restructuring and other” line in the Condensed Consolidated Statements of Operations during the three and nine months ended July 2, 2022.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appropriate discount rate. These fair value estimates utilize significant unobservable inputs and thus represent Level 3 fair value measurements.</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After adjusting the carrying values of the finite-lived intangible assets, the Company completed an interim quantitative impairment test for goodwill. This quantitative test resulted in a non-cash, pre-tax goodwill impairment charge of $522.4 related to the Hawthorne reporting unit, which was recorded in the “Impairment, restructuring and other” line in the Condensed Consolidated Statements of Operations during the three and nine months ended July 2, 2022. The carrying value of goodwill of the Hawthorne reporting unit, after recognizing the impairment, is zero. The estimated fair value of the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INVESTMENT IN UNCONSOLIDATED AFFILIATES</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agreed to amend the joint venture agreement to allow AFC to make an additional equity contribution to Bonnie Plants, LLC, and, subsequent to this contribution by AFC, the Company now owns a 45% equity interest in Bonnie Plants, LLC. The Company’s interest is accounted for using the equity method of accounting, with the Company’s proportionate share of Bonnie Plants, LLC’s earnings reflected in the Condensed Consolidated Statements of Operations. During the three and nine months ended July 1, 2023, the Company recorded equity in income of unconsolidated affiliates associated with Bonnie Plants, LLC of $22.2 and $3.5, respectively, as compared to $15.1 and $1.3 during the three and nine months ended July 2,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IMPAIRMENT, RESTRUCTURING AND 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924" w:type="dxa"/>
        <w:jc w:val="left"/>
        <w:tblInd w:w="0" w:type="dxa"/>
        <w:tblLayout w:type="fixed"/>
        <w:tblCellMar>
          <w:top w:w="28" w:type="dxa"/>
          <w:left w:w="28" w:type="dxa"/>
          <w:bottom w:w="28" w:type="dxa"/>
          <w:right w:w="28" w:type="dxa"/>
        </w:tblCellMar>
      </w:tblPr>
      <w:tblGrid>
        <w:gridCol w:w="1543"/>
        <w:gridCol w:w="1356"/>
        <w:gridCol w:w="1360"/>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834" w:type="dxa"/>
            <w:gridSpan w:val="18"/>
            <w:tcBorders/>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liabilities associated with restructuring activities during the nine months ended July 1, 2023:</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September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July 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1, 2023, restructuring accruals include $8.5 that is classified as long-term.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began implementing a series of Company-wide organizational changes and initiatives intended to create operational and management-level efficiencies. As part of this restructuring initiative, the Company is reducing the size of its supply chain network, reducing staffing levels and implementing other cost-reduction initiatives. During the second quarter of fiscal 2023, the Company accelerated the optimization of its Hawthorne supply chain network by announcing the closure of four additional distribution centers. In addition, to reduce its on hand inventory to align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optimized network capacity, the Company sold its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for $5.0 during the second quarter of fiscal 2023 and has commenced plans to accelerate the reduction of certain other Hawthorne inventory, primarily lighting, growing environments and hardware products. During the third quarter of fiscal 2023, the Company commenced plans to close several additional supply chain network facilities within its U.S. Consumer and Hawthorne segments. During the three and nine months ended July 1, 2023, the Company incurred costs of $34.5 and $185.8, respectively, associated with this restructuring initiative primarily related to inventory write-down charges, employee termination benefits, facility closure costs and impairment of right-of-use assets and property, plant and equipment. The Company incurred costs of $7.1 and $8.2 in its U.S. Consumer segment and $25.7 and $152.6 in its Hawthorne segment in the “Cost of sales—impairment, restructuring and other” line in the Condensed Consolidated Statements of Operations during the three and nine months ended July 1, 2023, respectively. The Company incurred costs of $0.0 and $0.1 in its U.S. Consumer segment, $1.9 and $20.1 in its Hawthorne segment, $0.0 and $0.2 in its Other segment and $0.0 and $4.5 at Corporate in the “Impairment, restructuring and other” line in the Condensed Consolidated Statements of Operations during the three and nine months ended July 1, 2023, respectively. Costs incurred from the inception of this restructuring initiative through July 1, 2023 were $207.9 for the Hawthorne segment, $30.0 for the U.S. Consumer segment, $0.9 for the Other segment and $12.2 for Corporate.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2, 2022, the Company incurred costs of $40.7 and $46.1, respectively, associated with this restructuring initiative primarily related to employee termination benefits and impairment of property, plant and equipment. The Company incurred costs of $9.5 in its U.S. Consumer segment and $10.4 and $15.6 in its Hawthorne segment in the “Cost of sales—impairment, restructuring and other” line in the Condensed Consolidated Statements of Operations during the three and nine months ended July 2, 2022, respectively. The Company incurred costs of $7.4 in its U.S. Consumer segment, $7.1 in its Hawthorne segment and $6.3 at Corporate in the “Impairment, restructuring and other” line in the Condensed Consolidated Statements of Operations during the three and nine months ended July 2, 2022,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July 2, 2022, the Company recognized non-cash, pre-tax goodwill and intangible asset impairment charges of $632.4 related to its Hawthorne segment in the “Impairment, restructuring and other” line in the Condensed Consolidated Statements of Operations, comprised of $522.4 of goodwill impairment charges and $110.0 of finite-lived intangible asset impairment charges.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2, 2022, the Company incurred inventory write-down charges of $45.9 in the “Cost of sales—impairment, restructuring and other” line in the Condensed Consolidated Statements of Operations associated with its decision to discontinue and exit the market for certain lighting products and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INVENTORIES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each of the periods presented:</w:t>
      </w:r>
    </w:p>
    <w:tbl>
      <w:tblPr>
        <w:tblW w:w="5317" w:type="dxa"/>
        <w:jc w:val="left"/>
        <w:tblInd w:w="0" w:type="dxa"/>
        <w:tblLayout w:type="fixed"/>
        <w:tblCellMar>
          <w:top w:w="28" w:type="dxa"/>
          <w:left w:w="28" w:type="dxa"/>
          <w:bottom w:w="28" w:type="dxa"/>
          <w:right w:w="28" w:type="dxa"/>
        </w:tblCellMar>
      </w:tblPr>
      <w:tblGrid>
        <w:gridCol w:w="559"/>
        <w:gridCol w:w="447"/>
        <w:gridCol w:w="450"/>
        <w:gridCol w:w="211"/>
        <w:gridCol w:w="616"/>
        <w:gridCol w:w="109"/>
        <w:gridCol w:w="109"/>
        <w:gridCol w:w="109"/>
        <w:gridCol w:w="109"/>
        <w:gridCol w:w="211"/>
        <w:gridCol w:w="766"/>
        <w:gridCol w:w="109"/>
        <w:gridCol w:w="109"/>
        <w:gridCol w:w="109"/>
        <w:gridCol w:w="109"/>
        <w:gridCol w:w="221"/>
        <w:gridCol w:w="803"/>
        <w:gridCol w:w="161"/>
      </w:tblGrid>
      <w:tr>
        <w:trPr/>
        <w:tc>
          <w:tcPr>
            <w:tcW w:w="5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MARKETING AGREEMENT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Scotts Company LLC (“Scotts LLC”) is the exclusive agent of Monsanto Company, a subsidiary of Bayer AG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Company may terminate the Third Restated Agreement upon the insolvency or bankruptcy of Monsanto;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10005" w:type="dxa"/>
        <w:jc w:val="left"/>
        <w:tblInd w:w="0" w:type="dxa"/>
        <w:tblLayout w:type="fixed"/>
        <w:tblCellMar>
          <w:top w:w="28" w:type="dxa"/>
          <w:left w:w="28" w:type="dxa"/>
          <w:bottom w:w="28" w:type="dxa"/>
          <w:right w:w="28" w:type="dxa"/>
        </w:tblCellMar>
      </w:tblPr>
      <w:tblGrid>
        <w:gridCol w:w="1973"/>
        <w:gridCol w:w="1732"/>
        <w:gridCol w:w="174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9"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Reimbursements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net sales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DEBT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the Company entered into Amendment No. 1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the Company entered into Amendment No. 2 (“Amendment No. 2”) to the Sixth A&amp;R Credit Agreement. Pursuant to Amendment No. 2, the Sixth A&amp;R Credit Agreement was amended to (i) reduce the revolving loan commitments by $250.0; (ii) increase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 the interest coverage covenant with a fixed charge coverage covenant; (iv) increase the interest rate applicable to borrowings under the revolving credit facility and the term loan facility by 0.25% for each existing pricing tier and add a pricing tier that is applicable for periods when the leverage ratio is in excess of 6.0; (v) limit the amount of certain incremental investments, loans and advances to $25.0 during the Leverage Adjustment Period; and (vi) add the Company’s intellectual property (subject to certain agreed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Amendment No. 2 also requires pro forma compliance with certain leverage levels specified in Amendment No. 2 with respect to the Company’s ability to make certain investments. Pursuant to Amendment No. 2, the Sixth A&amp;R Credit Agreement is secured by (i) a perfected first priority security interest in all of the accounts receivable, inventory, equipment and intellectual property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July 1, 2023, the Company had letters of credit outstanding in the aggregate principal amount of $5.0 and had $1,349.9 of borrowing availability under the Sixth A&amp;R Credit Agreement. The weighted average interest rates on average borrowings under the credit facilities, excluding the impact of interest rate swaps, were 7.3% and 2.1% for the nine months ended July 1, 2023 and July 2, 2022,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7.00 for the third quarter of fiscal 2023, (ii) 7.75 for the fourth quarter of fiscal 2023, (iii) 8.25 for the first quarter of fiscal 2024, (iv) 7.75 for the second quarter of fiscal 2024, (v) 6.50 for the third quarter of fiscal 2024, (vi) 6.00 for the fourth quarter of fiscal 2024, (vii) 5.50 for the first quarter of fiscal 2025, (viii) 5.25 for the second quarter of fiscal 2025, (ix) 5.00 for the third quarter of fiscal 2025, (x) 4.75 for the fourth quarter of fiscal 2025, and (xi) 4.50 for the first quarter of fiscal 2026 and thereafter. The Company’s leverage ratio was 6.15 at July 1, 2023. Pursuant to Amendment No. 2, the Sixth A&amp;R Credit Agreement also contains an affirmative covenant regarding the Company’s fixed charge coverage ratio determined as of the end of each of its fiscal quarters ending on or after September 30, 2023. The fixed charge coverage ratio is calculated as Adjusted EBITDA minus capital expenditures and expense for taxes paid in cash, divided by the sum of interest expense plus restricted payments, as described in Amendment No. 2. The minimum required fixed charge coverage ratio is (i) 0.75 for the fourth quarter of fiscal 2023 through the third quarter of fiscal 2024 and (ii) 1.00 for the fourth quarter of fiscal 2024 and thereafter.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1, 2023,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July 1, 2023, the Company’s indebtedness under the Sixth A&amp;R Credit Agreement and Senior Notes was $2,682.6. The Company does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that began on February 24, 2023 and ended on June 16, 2023 was $160.0. The Receivables Facility expires on August 18, 2023.</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the sale of receivables under the Receivables Facility as short-term debt and continues to carry the receivables on its Condensed Consolidated Balance Sheets, primarily as a result of the Company’s requirement to repurchase receivables sold. As of July 1, 2023 and July 2, 2022, there were $398.0 and $250.0, respectively, in borrowings on receivables pledged as collateral under the Receivables Facility, and the carrying value of the receivables pledged as collateral was $442.2 and $277.8, respectively.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July 1, 2023, July 2, 2022 and September 30, 2022 had a maximum total U.S. dollar equivalent notional amount of $600.0, $800.0, and $800.0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notional amount, effective date, expiration date and rate of each of the swap agreements outstanding at July 1, 2023 are shown in the table below:</w:t>
      </w:r>
    </w:p>
    <w:tbl>
      <w:tblPr>
        <w:tblW w:w="4700"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19"/>
        <w:gridCol w:w="319"/>
        <w:gridCol w:w="321"/>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Weighted Average Interest 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interest rates on the Company’s debt, including the impact of interest rate swaps, were 5.3% and 3.4% for the nine months ended July 1, 2023 and July 2,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EQUITY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changes in equity for each of the periods indicated:</w:t>
      </w:r>
    </w:p>
    <w:tbl>
      <w:tblPr>
        <w:tblW w:w="10205" w:type="dxa"/>
        <w:jc w:val="left"/>
        <w:tblInd w:w="0" w:type="dxa"/>
        <w:tblLayout w:type="fixed"/>
        <w:tblCellMar>
          <w:top w:w="28" w:type="dxa"/>
          <w:left w:w="28" w:type="dxa"/>
          <w:bottom w:w="28" w:type="dxa"/>
          <w:right w:w="28" w:type="dxa"/>
        </w:tblCellMar>
      </w:tblPr>
      <w:tblGrid>
        <w:gridCol w:w="1073"/>
        <w:gridCol w:w="907"/>
        <w:gridCol w:w="910"/>
        <w:gridCol w:w="236"/>
        <w:gridCol w:w="691"/>
        <w:gridCol w:w="122"/>
        <w:gridCol w:w="109"/>
        <w:gridCol w:w="109"/>
        <w:gridCol w:w="109"/>
        <w:gridCol w:w="211"/>
        <w:gridCol w:w="766"/>
        <w:gridCol w:w="109"/>
        <w:gridCol w:w="109"/>
        <w:gridCol w:w="109"/>
        <w:gridCol w:w="109"/>
        <w:gridCol w:w="211"/>
        <w:gridCol w:w="834"/>
        <w:gridCol w:w="109"/>
        <w:gridCol w:w="109"/>
        <w:gridCol w:w="109"/>
        <w:gridCol w:w="109"/>
        <w:gridCol w:w="283"/>
        <w:gridCol w:w="866"/>
        <w:gridCol w:w="148"/>
        <w:gridCol w:w="109"/>
        <w:gridCol w:w="109"/>
        <w:gridCol w:w="109"/>
        <w:gridCol w:w="109"/>
        <w:gridCol w:w="109"/>
        <w:gridCol w:w="109"/>
        <w:gridCol w:w="109"/>
        <w:gridCol w:w="211"/>
        <w:gridCol w:w="616"/>
        <w:gridCol w:w="158"/>
      </w:tblGrid>
      <w:tr>
        <w:trPr/>
        <w:tc>
          <w:tcPr>
            <w:tcW w:w="10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7"/>
        <w:gridCol w:w="862"/>
        <w:gridCol w:w="864"/>
        <w:gridCol w:w="234"/>
        <w:gridCol w:w="685"/>
        <w:gridCol w:w="121"/>
        <w:gridCol w:w="109"/>
        <w:gridCol w:w="109"/>
        <w:gridCol w:w="109"/>
        <w:gridCol w:w="211"/>
        <w:gridCol w:w="766"/>
        <w:gridCol w:w="109"/>
        <w:gridCol w:w="109"/>
        <w:gridCol w:w="109"/>
        <w:gridCol w:w="109"/>
        <w:gridCol w:w="211"/>
        <w:gridCol w:w="830"/>
        <w:gridCol w:w="109"/>
        <w:gridCol w:w="109"/>
        <w:gridCol w:w="109"/>
        <w:gridCol w:w="109"/>
        <w:gridCol w:w="279"/>
        <w:gridCol w:w="852"/>
        <w:gridCol w:w="145"/>
        <w:gridCol w:w="109"/>
        <w:gridCol w:w="109"/>
        <w:gridCol w:w="109"/>
        <w:gridCol w:w="109"/>
        <w:gridCol w:w="109"/>
        <w:gridCol w:w="109"/>
        <w:gridCol w:w="109"/>
        <w:gridCol w:w="211"/>
        <w:gridCol w:w="766"/>
        <w:gridCol w:w="159"/>
      </w:tblGrid>
      <w:tr>
        <w:trPr/>
        <w:tc>
          <w:tcPr>
            <w:tcW w:w="10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2022</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2, 2022</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11"/>
        <w:gridCol w:w="674"/>
        <w:gridCol w:w="537"/>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1046"/>
        <w:gridCol w:w="587"/>
        <w:gridCol w:w="589"/>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 Repurchases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 xml:space="preserve">three and nine </w:t>
      </w:r>
      <w:r>
        <w:rPr>
          <w:rFonts w:ascii="Times New Roman;sans-serif" w:hAnsi="Times New Roman;sans-serif"/>
          <w:b w:val="false"/>
          <w:color w:val="000000"/>
          <w:sz w:val="20"/>
          <w:shd w:fill="FFFFFF" w:val="clear"/>
        </w:rPr>
        <w:t xml:space="preserve">months ended July 2, 2022, Scotts Miracle-Gro repurchased 0.0 million and 1.1 million Common Shares under this share repurchase authorization for $0.0 and $175.0, respectively. Treasury share purchases also include cash paid to tax authorities to satisfy statutory income tax withholding obligations related to share-based compensation of $2.8 and $9.3 for the </w:t>
      </w:r>
      <w:r>
        <w:rPr>
          <w:rFonts w:ascii="Times New Roman;sans-serif" w:hAnsi="Times New Roman;sans-serif"/>
          <w:b w:val="false"/>
          <w:color w:val="000000"/>
          <w:sz w:val="20"/>
        </w:rPr>
        <w:t xml:space="preserve">three and nine </w:t>
      </w:r>
      <w:r>
        <w:rPr>
          <w:rFonts w:ascii="Times New Roman;sans-serif" w:hAnsi="Times New Roman;sans-serif"/>
          <w:b w:val="false"/>
          <w:color w:val="000000"/>
          <w:sz w:val="20"/>
          <w:shd w:fill="FFFFFF" w:val="clear"/>
        </w:rPr>
        <w:t xml:space="preserve">months ended July 1, 2023, respectively, and $0.1 and $82.7 for the </w:t>
      </w:r>
      <w:r>
        <w:rPr>
          <w:rFonts w:ascii="Times New Roman;sans-serif" w:hAnsi="Times New Roman;sans-serif"/>
          <w:b w:val="false"/>
          <w:color w:val="000000"/>
          <w:sz w:val="20"/>
        </w:rPr>
        <w:t>three and nine months ended July 2, 2022, respectively.</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Awards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was as follows for each of the periods indicated:</w:t>
      </w:r>
    </w:p>
    <w:tbl>
      <w:tblPr>
        <w:tblW w:w="6825" w:type="dxa"/>
        <w:jc w:val="left"/>
        <w:tblInd w:w="0" w:type="dxa"/>
        <w:tblLayout w:type="fixed"/>
        <w:tblCellMar>
          <w:top w:w="28" w:type="dxa"/>
          <w:left w:w="28" w:type="dxa"/>
          <w:bottom w:w="28" w:type="dxa"/>
          <w:right w:w="28" w:type="dxa"/>
        </w:tblCellMar>
      </w:tblPr>
      <w:tblGrid>
        <w:gridCol w:w="946"/>
        <w:gridCol w:w="830"/>
        <w:gridCol w:w="834"/>
        <w:gridCol w:w="211"/>
        <w:gridCol w:w="48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414"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 recognized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months ended July 1, 2023, a</w:t>
      </w:r>
      <w:r>
        <w:rPr>
          <w:color w:val="000000"/>
        </w:rPr>
        <w:t xml:space="preserve"> </w:t>
      </w:r>
      <w:r>
        <w:rPr>
          <w:rFonts w:ascii="Times New Roman;sans-serif" w:hAnsi="Times New Roman;sans-serif"/>
          <w:b w:val="false"/>
          <w:color w:val="000000"/>
          <w:sz w:val="20"/>
        </w:rPr>
        <w:t>cumulative adjustment was recognized to share-based compensation expense for certain performance-based award units to reflect management’s assessment of a lower probability of achievement of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EARNINGS PER COMMON SHARE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weighted average number of shares outstanding (in millions) used to calculate basic and diluted net income (loss) per Common Share:</w:t>
      </w:r>
    </w:p>
    <w:tbl>
      <w:tblPr>
        <w:tblW w:w="10205" w:type="dxa"/>
        <w:jc w:val="left"/>
        <w:tblInd w:w="0" w:type="dxa"/>
        <w:tblLayout w:type="fixed"/>
        <w:tblCellMar>
          <w:top w:w="28" w:type="dxa"/>
          <w:left w:w="28" w:type="dxa"/>
          <w:bottom w:w="28" w:type="dxa"/>
          <w:right w:w="28" w:type="dxa"/>
        </w:tblCellMar>
      </w:tblPr>
      <w:tblGrid>
        <w:gridCol w:w="2251"/>
        <w:gridCol w:w="1641"/>
        <w:gridCol w:w="1653"/>
        <w:gridCol w:w="211"/>
        <w:gridCol w:w="511"/>
        <w:gridCol w:w="109"/>
        <w:gridCol w:w="109"/>
        <w:gridCol w:w="109"/>
        <w:gridCol w:w="109"/>
        <w:gridCol w:w="211"/>
        <w:gridCol w:w="665"/>
        <w:gridCol w:w="109"/>
        <w:gridCol w:w="109"/>
        <w:gridCol w:w="109"/>
        <w:gridCol w:w="109"/>
        <w:gridCol w:w="211"/>
        <w:gridCol w:w="511"/>
        <w:gridCol w:w="109"/>
        <w:gridCol w:w="109"/>
        <w:gridCol w:w="109"/>
        <w:gridCol w:w="109"/>
        <w:gridCol w:w="211"/>
        <w:gridCol w:w="665"/>
        <w:gridCol w:w="156"/>
      </w:tblGrid>
      <w:tr>
        <w:trPr/>
        <w:tc>
          <w:tcPr>
            <w:tcW w:w="225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2517" w:type="dxa"/>
            <w:gridSpan w:val="12"/>
            <w:tcBorders/>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(loss) per common share</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(loss) per common share</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outstanding</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loss per common share calculation for the three and nine months ended July 2, 2022 were 55.4 million and 55.6 million, respectively, which excluded potential Common Shares of 0.4 million and 0.6 million, respectively, because the effect of their inclusion would be anti-dilutive as the Company incurred a net loss for the three and nine months ended July 2,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nine months ended July 1, 2023 and July 2, 2022 were 17.7% and 24.1%,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July 2, 2022, the Company recognized non-cash, pre-tax goodwill and intangible asset impairment charges of $632.4 related to its Hawthorne segment in the “Impairment, restructuring and other” line in the Condensed Consolidated Statements of Operations. The tax impact of the impairment charges was a benefit of $138.0, which is net of the impact of non-deductible goodwill of $18.5, for the three and nine months ended July 2, 2022 and was recorded in the “Income tax expense (benefit)” line in the Condensed Consolidated Statements of Operations. The tax impact of non-deductible goodwill was considered a discrete item because the Company has no remaining non-deductible goodwill. This discrete item decreased the effective tax rate by approximately 640 bps for the nine months ended July 2, 2022 because the Company incurred a net loss during this period.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2020. There are currently no ongoing audits with respect to the U.S. federal jurisdiction. With respect to the foreign jurisdictions, a German audit covering fiscal years 2018 through 2020 and a Canadian audit covering fiscal years 2020 through 2021 are in process. The Company is currently under examination by certain U.S. state and local tax authorities covering various periods from fiscal years 2017 through 2021.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CONTINGENCIES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July 1, 2023, the Company had recorded liabilities of $2.5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DERIVATIVE INSTRUMENTS AND HEDGING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Exchange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$121.7, $167.7 and $178.6 at July 1, 2023, July 2, 2022 and September 30, 2022, respectively. Contracts outstanding at July 1, 2023 will mature over the next fiscal quarter.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July 1, 2023, July 2, 2022 and September 30, 2022 had a maximum total U.S. dollar equivalent notional amount of $600.0, $800.0 and $800.0, respectively. Refer to “NOTE 8. DEBT” for the terms of the swap agreements outstanding at July 1, 2023. Included in the AOCL balance at July 1, 2023 was a gain of $12.0 related to interest rate swap agreements that is expected to be reclassified to earnings during the next twelve months, consistent with the timing of the underlying hedged transactions.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Commodity Price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July 1, 2023 was a loss of $5.0 related to commodity hedges that is expected to be reclassified to earnings during the next twelve months, consistent with the timing of the underlying hedged transactions.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outstanding commodity contracts that were entered into to hedge forecasted purchases:</w:t>
      </w:r>
    </w:p>
    <w:tbl>
      <w:tblPr>
        <w:tblW w:w="6814"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522"/>
        <w:gridCol w:w="522"/>
        <w:gridCol w:w="531"/>
        <w:gridCol w:w="109"/>
        <w:gridCol w:w="109"/>
        <w:gridCol w:w="109"/>
        <w:gridCol w:w="522"/>
        <w:gridCol w:w="522"/>
        <w:gridCol w:w="531"/>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1,218,000 gallons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Fair Values of Derivative Instruments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which represent Level 2 fair value measurements, were as follows:</w:t>
      </w:r>
    </w:p>
    <w:tbl>
      <w:tblPr>
        <w:tblW w:w="10205" w:type="dxa"/>
        <w:jc w:val="left"/>
        <w:tblInd w:w="0" w:type="dxa"/>
        <w:tblLayout w:type="fixed"/>
        <w:tblCellMar>
          <w:top w:w="28" w:type="dxa"/>
          <w:left w:w="28" w:type="dxa"/>
          <w:bottom w:w="28" w:type="dxa"/>
          <w:right w:w="28" w:type="dxa"/>
        </w:tblCellMar>
      </w:tblPr>
      <w:tblGrid>
        <w:gridCol w:w="1316"/>
        <w:gridCol w:w="1156"/>
        <w:gridCol w:w="1160"/>
        <w:gridCol w:w="109"/>
        <w:gridCol w:w="109"/>
        <w:gridCol w:w="109"/>
        <w:gridCol w:w="824"/>
        <w:gridCol w:w="824"/>
        <w:gridCol w:w="825"/>
        <w:gridCol w:w="109"/>
        <w:gridCol w:w="109"/>
        <w:gridCol w:w="109"/>
        <w:gridCol w:w="211"/>
        <w:gridCol w:w="511"/>
        <w:gridCol w:w="109"/>
        <w:gridCol w:w="109"/>
        <w:gridCol w:w="109"/>
        <w:gridCol w:w="109"/>
        <w:gridCol w:w="211"/>
        <w:gridCol w:w="511"/>
        <w:gridCol w:w="109"/>
        <w:gridCol w:w="109"/>
        <w:gridCol w:w="109"/>
        <w:gridCol w:w="109"/>
        <w:gridCol w:w="270"/>
        <w:gridCol w:w="657"/>
        <w:gridCol w:w="203"/>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 (Liabilities)</w:t>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615" w:type="dxa"/>
            <w:gridSpan w:val="12"/>
            <w:tcBorders/>
          </w:tcPr>
          <w:p>
            <w:pPr>
              <w:pStyle w:val="TableContents"/>
              <w:bidi w:val="0"/>
              <w:spacing w:before="0" w:after="283"/>
              <w:jc w:val="left"/>
              <w:rPr>
                <w:sz w:val="4"/>
                <w:szCs w:val="4"/>
              </w:rPr>
            </w:pPr>
            <w:r>
              <w:rPr>
                <w:sz w:val="4"/>
                <w:szCs w:val="4"/>
              </w:rPr>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Not Designated as Hedging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effect of derivative instruments on AOCL, net of tax, and the </w:t>
      </w:r>
      <w:r>
        <w:rPr>
          <w:rFonts w:ascii="Times New Roman;sans-serif" w:hAnsi="Times New Roman;sans-serif"/>
          <w:b w:val="false"/>
          <w:color w:val="000000"/>
          <w:sz w:val="20"/>
          <w:shd w:fill="FFFFFF" w:val="clear"/>
        </w:rPr>
        <w:t xml:space="preserve">Condensed </w:t>
      </w:r>
      <w:r>
        <w:rPr>
          <w:rFonts w:ascii="Times New Roman;sans-serif" w:hAnsi="Times New Roman;sans-serif"/>
          <w:b w:val="false"/>
          <w:color w:val="000000"/>
          <w:sz w:val="20"/>
        </w:rPr>
        <w:t>Consolidated Statements of Operations for each of the periods presented was as follows:</w:t>
      </w:r>
    </w:p>
    <w:tbl>
      <w:tblPr>
        <w:tblW w:w="8111"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211"/>
        <w:gridCol w:w="406"/>
        <w:gridCol w:w="109"/>
        <w:gridCol w:w="109"/>
        <w:gridCol w:w="109"/>
        <w:gridCol w:w="109"/>
        <w:gridCol w:w="211"/>
        <w:gridCol w:w="481"/>
        <w:gridCol w:w="109"/>
        <w:gridCol w:w="109"/>
        <w:gridCol w:w="109"/>
        <w:gridCol w:w="109"/>
        <w:gridCol w:w="211"/>
        <w:gridCol w:w="481"/>
        <w:gridCol w:w="109"/>
        <w:gridCol w:w="109"/>
        <w:gridCol w:w="109"/>
        <w:gridCol w:w="109"/>
        <w:gridCol w:w="211"/>
        <w:gridCol w:w="51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 Recognized in AOCL</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459" w:type="dxa"/>
            <w:gridSpan w:val="18"/>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6"/>
        <w:gridCol w:w="1113"/>
        <w:gridCol w:w="1120"/>
        <w:gridCol w:w="109"/>
        <w:gridCol w:w="109"/>
        <w:gridCol w:w="109"/>
        <w:gridCol w:w="629"/>
        <w:gridCol w:w="622"/>
        <w:gridCol w:w="618"/>
        <w:gridCol w:w="109"/>
        <w:gridCol w:w="109"/>
        <w:gridCol w:w="109"/>
        <w:gridCol w:w="211"/>
        <w:gridCol w:w="406"/>
        <w:gridCol w:w="109"/>
        <w:gridCol w:w="109"/>
        <w:gridCol w:w="109"/>
        <w:gridCol w:w="109"/>
        <w:gridCol w:w="211"/>
        <w:gridCol w:w="478"/>
        <w:gridCol w:w="109"/>
        <w:gridCol w:w="109"/>
        <w:gridCol w:w="109"/>
        <w:gridCol w:w="109"/>
        <w:gridCol w:w="211"/>
        <w:gridCol w:w="511"/>
        <w:gridCol w:w="109"/>
        <w:gridCol w:w="109"/>
        <w:gridCol w:w="109"/>
        <w:gridCol w:w="109"/>
        <w:gridCol w:w="211"/>
        <w:gridCol w:w="478"/>
        <w:gridCol w:w="158"/>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Reclassified from</w:t>
              <w:br/>
              <w:t>AOCL into</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457" w:type="dxa"/>
            <w:gridSpan w:val="18"/>
            <w:tcBorders/>
          </w:tcPr>
          <w:p>
            <w:pPr>
              <w:pStyle w:val="TableContents"/>
              <w:bidi w:val="0"/>
              <w:spacing w:before="0" w:after="283"/>
              <w:jc w:val="left"/>
              <w:rPr>
                <w:sz w:val="4"/>
                <w:szCs w:val="4"/>
              </w:rPr>
            </w:pPr>
            <w:r>
              <w:rPr>
                <w:sz w:val="4"/>
                <w:szCs w:val="4"/>
              </w:rPr>
            </w:r>
          </w:p>
        </w:tc>
      </w:tr>
      <w:tr>
        <w:trPr/>
        <w:tc>
          <w:tcPr>
            <w:tcW w:w="3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8"/>
        <w:gridCol w:w="1003"/>
        <w:gridCol w:w="1006"/>
        <w:gridCol w:w="109"/>
        <w:gridCol w:w="109"/>
        <w:gridCol w:w="109"/>
        <w:gridCol w:w="668"/>
        <w:gridCol w:w="668"/>
        <w:gridCol w:w="669"/>
        <w:gridCol w:w="109"/>
        <w:gridCol w:w="109"/>
        <w:gridCol w:w="109"/>
        <w:gridCol w:w="211"/>
        <w:gridCol w:w="466"/>
        <w:gridCol w:w="109"/>
        <w:gridCol w:w="109"/>
        <w:gridCol w:w="109"/>
        <w:gridCol w:w="109"/>
        <w:gridCol w:w="211"/>
        <w:gridCol w:w="511"/>
        <w:gridCol w:w="109"/>
        <w:gridCol w:w="109"/>
        <w:gridCol w:w="109"/>
        <w:gridCol w:w="109"/>
        <w:gridCol w:w="211"/>
        <w:gridCol w:w="571"/>
        <w:gridCol w:w="109"/>
        <w:gridCol w:w="109"/>
        <w:gridCol w:w="109"/>
        <w:gridCol w:w="109"/>
        <w:gridCol w:w="211"/>
        <w:gridCol w:w="511"/>
        <w:gridCol w:w="158"/>
      </w:tblGrid>
      <w:tr>
        <w:trPr/>
        <w:tc>
          <w:tcPr>
            <w:tcW w:w="116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in</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583" w:type="dxa"/>
            <w:gridSpan w:val="18"/>
            <w:tcBorders/>
          </w:tcPr>
          <w:p>
            <w:pPr>
              <w:pStyle w:val="TableContents"/>
              <w:bidi w:val="0"/>
              <w:spacing w:before="0" w:after="283"/>
              <w:jc w:val="left"/>
              <w:rPr>
                <w:sz w:val="4"/>
                <w:szCs w:val="4"/>
              </w:rPr>
            </w:pPr>
            <w:r>
              <w:rPr>
                <w:sz w:val="4"/>
                <w:szCs w:val="4"/>
              </w:rPr>
            </w:r>
          </w:p>
        </w:tc>
      </w:tr>
      <w:tr>
        <w:trPr/>
        <w:tc>
          <w:tcPr>
            <w:tcW w:w="3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14. FAIR VALUE MEASUREMENTS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7"/>
        <w:gridCol w:w="610"/>
        <w:gridCol w:w="613"/>
        <w:gridCol w:w="109"/>
        <w:gridCol w:w="109"/>
        <w:gridCol w:w="109"/>
        <w:gridCol w:w="286"/>
        <w:gridCol w:w="286"/>
        <w:gridCol w:w="288"/>
        <w:gridCol w:w="109"/>
        <w:gridCol w:w="109"/>
        <w:gridCol w:w="109"/>
        <w:gridCol w:w="226"/>
        <w:gridCol w:w="436"/>
        <w:gridCol w:w="119"/>
        <w:gridCol w:w="109"/>
        <w:gridCol w:w="109"/>
        <w:gridCol w:w="109"/>
        <w:gridCol w:w="243"/>
        <w:gridCol w:w="468"/>
        <w:gridCol w:w="126"/>
        <w:gridCol w:w="109"/>
        <w:gridCol w:w="109"/>
        <w:gridCol w:w="109"/>
        <w:gridCol w:w="211"/>
        <w:gridCol w:w="511"/>
        <w:gridCol w:w="109"/>
        <w:gridCol w:w="109"/>
        <w:gridCol w:w="109"/>
        <w:gridCol w:w="109"/>
        <w:gridCol w:w="213"/>
        <w:gridCol w:w="518"/>
        <w:gridCol w:w="110"/>
        <w:gridCol w:w="109"/>
        <w:gridCol w:w="109"/>
        <w:gridCol w:w="109"/>
        <w:gridCol w:w="211"/>
        <w:gridCol w:w="511"/>
        <w:gridCol w:w="109"/>
        <w:gridCol w:w="109"/>
        <w:gridCol w:w="109"/>
        <w:gridCol w:w="109"/>
        <w:gridCol w:w="213"/>
        <w:gridCol w:w="517"/>
        <w:gridCol w:w="165"/>
      </w:tblGrid>
      <w:tr>
        <w:trPr/>
        <w:tc>
          <w:tcPr>
            <w:tcW w:w="8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Level 3 convertible debt investments carried at fair value are presented below. There were no transfers into or out of Level 3.</w:t>
      </w:r>
    </w:p>
    <w:tbl>
      <w:tblPr>
        <w:tblW w:w="9404" w:type="dxa"/>
        <w:jc w:val="left"/>
        <w:tblInd w:w="0" w:type="dxa"/>
        <w:tblLayout w:type="fixed"/>
        <w:tblCellMar>
          <w:top w:w="28" w:type="dxa"/>
          <w:left w:w="28" w:type="dxa"/>
          <w:bottom w:w="28" w:type="dxa"/>
          <w:right w:w="28" w:type="dxa"/>
        </w:tblCellMar>
      </w:tblPr>
      <w:tblGrid>
        <w:gridCol w:w="1716"/>
        <w:gridCol w:w="1509"/>
        <w:gridCol w:w="1514"/>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included in net earnings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OCI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convertible debt investments was $225.0, $221.1, and $222.1 at July 1, 2023, July 2, 2022, and September 30, 2022, respectively. At July 1, 2023, July 2, 2022, and September 30, 2022, gross unrealized losses on convertible debt investments were $138.5, $82.0, and $105.1 respectively. These investments have been in a continuous unrealized loss position for greater than 12 months as of July 1, 2023. The decline in fair value of the convertible debt investments is related to a decline in the value of the underlying conversion options and is not reflective of a credit risk associated with the notes. The Company believes it will recover its cost basis in the convertible debt securities and that the Company has the ability to hold the securities until they recover in value and had no intent to sell or convert them at July 1, 2023. At July 1, 2023, the period until scheduled maturity of the Company’s convertible debt investments was between 4.2 years and 6.2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15. LEASES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July 1, 2023, the Company had entered into operating leases that were yet to commence with a combined total expected lease liability of $19.1. From time to time, the Company will sublease portions of its facilities, resulting in sublease income. Sublease income and the related cash flows were not material to the condensed consolidated financial statements for the three and nine months ended July 1, 2023 and July 2, 2022.</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July 1, 2023, the Company’s residual value guarantee would have approximated $3.9.</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cost were as follows:</w:t>
      </w:r>
    </w:p>
    <w:tbl>
      <w:tblPr>
        <w:tblW w:w="7259" w:type="dxa"/>
        <w:jc w:val="left"/>
        <w:tblInd w:w="0" w:type="dxa"/>
        <w:tblLayout w:type="fixed"/>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(a)Operating lease cost includes amortization of right-of-use assets of $20.1 and $62.9 for the three and nine months ended July 1, 2023, respectively, and $18.5 and $55.4 for the three and nine months ended July 2, 2022, respectively. Short-term lease expense is excluded from operating lease cost and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the Company’s leases were as follows:</w:t>
      </w:r>
    </w:p>
    <w:tbl>
      <w:tblPr>
        <w:tblW w:w="8994" w:type="dxa"/>
        <w:jc w:val="left"/>
        <w:tblInd w:w="0" w:type="dxa"/>
        <w:tblLayout w:type="fixed"/>
        <w:tblCellMar>
          <w:top w:w="28" w:type="dxa"/>
          <w:left w:w="28" w:type="dxa"/>
          <w:bottom w:w="28" w:type="dxa"/>
          <w:right w:w="28" w:type="dxa"/>
        </w:tblCellMar>
      </w:tblPr>
      <w:tblGrid>
        <w:gridCol w:w="2196"/>
        <w:gridCol w:w="1927"/>
        <w:gridCol w:w="1937"/>
        <w:gridCol w:w="109"/>
        <w:gridCol w:w="109"/>
        <w:gridCol w:w="130"/>
        <w:gridCol w:w="130"/>
        <w:gridCol w:w="130"/>
        <w:gridCol w:w="130"/>
        <w:gridCol w:w="252"/>
        <w:gridCol w:w="611"/>
        <w:gridCol w:w="130"/>
        <w:gridCol w:w="109"/>
        <w:gridCol w:w="109"/>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and discount rate for the Company’s leases were as follows:</w:t>
      </w:r>
    </w:p>
    <w:tbl>
      <w:tblPr>
        <w:tblW w:w="7740" w:type="dxa"/>
        <w:jc w:val="left"/>
        <w:tblInd w:w="0" w:type="dxa"/>
        <w:tblLayout w:type="fixed"/>
        <w:tblCellMar>
          <w:top w:w="28" w:type="dxa"/>
          <w:left w:w="28" w:type="dxa"/>
          <w:bottom w:w="28" w:type="dxa"/>
          <w:right w:w="28" w:type="dxa"/>
        </w:tblCellMar>
      </w:tblPr>
      <w:tblGrid>
        <w:gridCol w:w="1603"/>
        <w:gridCol w:w="1408"/>
        <w:gridCol w:w="1413"/>
        <w:gridCol w:w="203"/>
        <w:gridCol w:w="203"/>
        <w:gridCol w:w="333"/>
        <w:gridCol w:w="109"/>
        <w:gridCol w:w="109"/>
        <w:gridCol w:w="109"/>
        <w:gridCol w:w="203"/>
        <w:gridCol w:w="203"/>
        <w:gridCol w:w="333"/>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the Company’s leases as of July 1, 2023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16. SEGMENT INFORMATION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financial information for the Company’s reportable segments for the periods indicated:</w:t>
      </w:r>
    </w:p>
    <w:tbl>
      <w:tblPr>
        <w:tblW w:w="9165" w:type="dxa"/>
        <w:jc w:val="left"/>
        <w:tblInd w:w="0" w:type="dxa"/>
        <w:tblLayout w:type="fixed"/>
        <w:tblCellMar>
          <w:top w:w="28" w:type="dxa"/>
          <w:left w:w="28" w:type="dxa"/>
          <w:bottom w:w="28" w:type="dxa"/>
          <w:right w:w="28" w:type="dxa"/>
        </w:tblCellMar>
      </w:tblPr>
      <w:tblGrid>
        <w:gridCol w:w="1372"/>
        <w:gridCol w:w="1202"/>
        <w:gridCol w:w="122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product category for the periods indicated:</w:t>
      </w:r>
    </w:p>
    <w:tbl>
      <w:tblPr>
        <w:tblW w:w="8699" w:type="dxa"/>
        <w:jc w:val="left"/>
        <w:tblInd w:w="0" w:type="dxa"/>
        <w:tblLayout w:type="fixed"/>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Nutrients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environments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hardware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geographic area for the periods indicated:</w:t>
      </w:r>
    </w:p>
    <w:tbl>
      <w:tblPr>
        <w:tblW w:w="6570" w:type="dxa"/>
        <w:jc w:val="left"/>
        <w:tblInd w:w="0" w:type="dxa"/>
        <w:tblLayout w:type="fixed"/>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Management’s Discussion and Analysis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Critical accounting policies and estimates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2022 (the “2022 Annual Report”) and our condensed consolidated financial statements included in this Quarterly Report on Form 10-Q.</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rodent control and animal repellent products. We also have a presence in similar branded consumer products in China. We are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manufacturer, marketer and distributor of lighting, nutrients, growing media, growing environments and hardware products for indoor and hydroponic gardening. Our key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Can-Filters</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HydroLogic™.</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tbl>
      <w:tblPr>
        <w:tblW w:w="4925" w:type="dxa"/>
        <w:jc w:val="left"/>
        <w:tblInd w:w="0" w:type="dxa"/>
        <w:tblLayout w:type="fixed"/>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Net Sales from Continuing </w:t>
              <w:br/>
              <w:t>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Events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During the second quarter of fiscal 2023, we accelerated the optimization of our Hawthorne supply chain network by announcing the closure of four additional distribution centers. In addition, to reduce our on hand inventory to align with the optimized network capacity, we sold our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for $5.0 during the second quarter of fiscal 2023 and have commenced plans to accelerate the reduction of certain other Hawthorne inventory, primarily lighting, growing environments and hardware products. During the third quarter of fiscal 2023, we commenced plans to close several additional supply chain network facilities within our U.S. Consumer and Hawthorne segments. As a result of our continued focus on cost control and optimization efforts, we now expect to deliver run-rate annualized savings of at least $300.0. We expect to substantially complete the remaining actions required to achieve the majority of the expected savings by the end of fiscal 2023, and expect to incur at least $10.0 of additional restructuring charges associated with these actions during the fourth quarter of fiscal 2023. The restructuring initiative is expected to improve our gross margin rate and decrease SG&amp;A. During the three and nine months ended July 1, 2023, we incurred costs of $32.7 and $160.9, respectively, in the “Cost of sales—impairment, restructuring and other” line in the Condensed Consolidated Statements of Operations and $1.7 and $24.9, respectively,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 Costs incurred from the inception of this restructuring initiative through July 1, 2023 were $251.0.</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2022, we entered into Amendment No. 1 to the Sixth A&amp;R Credit Agreement which increased the maximum permitted leverage ratio for the quarterly leverage covenant effective for the third quarter of fiscal 2022 until April 1, 2024. During the third quarter of fiscal 2023, we experienced an unexpected shortfall in earnings that affected our ability to remain in compliance with the leverage ratio covenant of Amendment No. 1. On July 31, 2023, we entered into Amendment No. 2 to the Sixth A&amp;R Credit Agreement. Pursuant to Amendment No. 2, the Sixth A&amp;R Credit Agreement was amended to (i) reduce the revolving loan commitments by $250.0; (ii) increase the maximum permitted leverage ratio for the quarterly leverage covenant during the Leverage Adjustment Period; (iii) replace the interest coverage covenant with a fixed charge coverage covenant; (iv) increase the interest rate applicable to borrowings under the revolving credit facility and the term loan facility by 0.25% for each existing pricing tier and add a pricing tier that is applicable for periods when the leverage ratio is in excess of 6.0; (v) limit the amount of certain incremental investments, loans and advances to $25.0 during the Leverage Adjustment Period; and (vi) add our intellectual property (subject to certain agreed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requires pro forma compliance with certain leverage levels specified in Amendment No. 2 with respect to our ability to make certain investments. Refer to the “LIQUIDITY AND CAPITAL RESOURCES” section of this MD&amp;A for more information regarding Amendment No. 2.</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sales volume decreased for the three and nine months ended July 1, 2023 as compared to the three and nine months ended July 2, 2022 as a result of continued challenges in the hydroponic industry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and the market impacts of the COVID-19 pandemic.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1, 2023, we continued to experience the impacts of cost inflation resulting in persistently high manufacturing and logistics costs as well as volatile commodity costs, due in part to the negative impact of the war in Ukraine on the global economy. The higher costs required us to implement significant price increases across our business in fiscal 2022 and 2023. An inflationary environment marked by higher manufacturing and logistics costs, volatile commodity costs and higher interest rates is expected to continue. The impact that these trends will continue to have on our operational and financial performance will depend on future developments, including inflationary and macroeconomic conditions and their impact on consumer behavior, which are difficult to predict considering the rapidly evolving landscape.</w:t>
      </w:r>
    </w:p>
    <w:p>
      <w:pPr>
        <w:pStyle w:val="TextBody"/>
        <w:bidi w:val="0"/>
        <w:spacing w:before="100" w:after="283"/>
        <w:ind w:left="0" w:right="0" w:firstLine="495"/>
        <w:jc w:val="both"/>
        <w:rPr/>
      </w:pPr>
      <w:r>
        <w:rPr/>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three months ended July 1, 2023 and July 2, 2022:</w:t>
      </w:r>
    </w:p>
    <w:tbl>
      <w:tblPr>
        <w:tblW w:w="9537" w:type="dxa"/>
        <w:jc w:val="left"/>
        <w:tblInd w:w="0" w:type="dxa"/>
        <w:tblLayout w:type="fixed"/>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nine months ended July 1, 2023 and July 2, 2022:</w:t>
      </w:r>
    </w:p>
    <w:tbl>
      <w:tblPr>
        <w:tblW w:w="9537" w:type="dxa"/>
        <w:jc w:val="left"/>
        <w:tblInd w:w="0" w:type="dxa"/>
        <w:tblLayout w:type="fixed"/>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for the three months ended July 1, 2023 were $1,118.7, a decrease of 5.7% from net sales of $1,186.1 for the three months ended July 2, 2022. Net sales for the nine months ended July 1, 2023 were $3,176.8, a decrease of 7.4% from net sales of $3,430.4 for the nine months ended July 2, 2022. Factors contributing to the change in net sales are outlined in the following table:</w:t>
      </w:r>
    </w:p>
    <w:tbl>
      <w:tblPr>
        <w:tblW w:w="5484" w:type="dxa"/>
        <w:jc w:val="left"/>
        <w:tblInd w:w="0" w:type="dxa"/>
        <w:tblLayout w:type="fixed"/>
        <w:tblCellMar>
          <w:top w:w="28" w:type="dxa"/>
          <w:left w:w="28" w:type="dxa"/>
          <w:bottom w:w="28" w:type="dxa"/>
          <w:right w:w="28" w:type="dxa"/>
        </w:tblCellMar>
      </w:tblPr>
      <w:tblGrid>
        <w:gridCol w:w="721"/>
        <w:gridCol w:w="635"/>
        <w:gridCol w:w="638"/>
        <w:gridCol w:w="355"/>
        <w:gridCol w:w="355"/>
        <w:gridCol w:w="894"/>
        <w:gridCol w:w="109"/>
        <w:gridCol w:w="109"/>
        <w:gridCol w:w="109"/>
        <w:gridCol w:w="318"/>
        <w:gridCol w:w="318"/>
        <w:gridCol w:w="923"/>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Volume and mix</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net sales</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three months ended July 1, 2023 as compared to the three months ended July 2, 2022 was primarily driven by:</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sales volume in our Hawthorne segment driven by hardware, lighting, nutrients, growing media and growing environments products and decreased sales volume in our Other segment, partially offset by increased sales volume in our U.S. Consumer segment driven by soils, mulch and controls products;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unfavorable impact of foreign exchange rates as a result of the strengthening of the U.S. dollar relative to the Canadian dollar;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increased pricing in our Other segment.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nine months ended July 1, 2023 as compared to the nine months ended July 2, 2022 was primarily driven by:</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sales volume in our U.S. Consumer segment driven by fertilizer and grass seed products, our Hawthorne segment driven by hardware, lighting, nutrients, growing media and growing environments products and decreased sales volume in our Other segment;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unfavorable impact of foreign exchange rates as a result of the strengthening of the U.S. dollar relative to the euro and the Canadian dollar;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increased pricing in our U.S. Consumer, Hawthorne and Other segments.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major components of cost of sales for the periods indicated:</w:t>
      </w:r>
    </w:p>
    <w:tbl>
      <w:tblPr>
        <w:tblW w:w="9615" w:type="dxa"/>
        <w:jc w:val="left"/>
        <w:tblInd w:w="0" w:type="dxa"/>
        <w:tblLayout w:type="fixed"/>
        <w:tblCellMar>
          <w:top w:w="28" w:type="dxa"/>
          <w:left w:w="28" w:type="dxa"/>
          <w:bottom w:w="28" w:type="dxa"/>
          <w:right w:w="28" w:type="dxa"/>
        </w:tblCellMar>
      </w:tblPr>
      <w:tblGrid>
        <w:gridCol w:w="1643"/>
        <w:gridCol w:w="1444"/>
        <w:gridCol w:w="145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warehousing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labor and overhead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contributing to the change in cost of sales are outlined in the following table:</w:t>
      </w:r>
    </w:p>
    <w:tbl>
      <w:tblPr>
        <w:tblW w:w="8035" w:type="dxa"/>
        <w:jc w:val="left"/>
        <w:tblInd w:w="0" w:type="dxa"/>
        <w:tblLayout w:type="fixed"/>
        <w:tblCellMar>
          <w:top w:w="28" w:type="dxa"/>
          <w:left w:w="28" w:type="dxa"/>
          <w:bottom w:w="28" w:type="dxa"/>
          <w:right w:w="28" w:type="dxa"/>
        </w:tblCellMar>
      </w:tblPr>
      <w:tblGrid>
        <w:gridCol w:w="1647"/>
        <w:gridCol w:w="1446"/>
        <w:gridCol w:w="1451"/>
        <w:gridCol w:w="374"/>
        <w:gridCol w:w="1038"/>
        <w:gridCol w:w="193"/>
        <w:gridCol w:w="109"/>
        <w:gridCol w:w="109"/>
        <w:gridCol w:w="109"/>
        <w:gridCol w:w="311"/>
        <w:gridCol w:w="1021"/>
        <w:gridCol w:w="227"/>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 changes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cost of sales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three months ended July 1, 2023 as compared to the three months ended July 2,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impairment, restructuring and other charges;</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sales volume in our Hawthorne and Other segments, partially offset by increased sales volume in our U.S. Consumer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favorable impact of foreign exchange rates as a result of the strengthening of the U.S. dollar relative to the Canadian dollar;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higher manufacturing costs, primarily labor, included within “volume, mix and other” in our U.S. Consumer, Hawthorne and Other segments;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included within “volume, mix and other” associated with our U.S. Consumer segment;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nine months ended July 1, 2023 as compared to the nine months ended July 2,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sales volume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favorable impact of foreign exchange rates as a result of the strengthening of the U.S. dollar relative to the euro and the Canadian dollar;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impairment, restructuring and other charges;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manufacturing costs, primarily labor, included within “volume, mix and other”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included within “volume, mix and other” associated with our U.S. Consumer segment;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our gross margin rate was 18.4% and 19.9% for the three months ended July 1, 2023 and July 2, 2022, respectively, and was 22.5% and 27.5% for the nine months ended July 1, 2023 and July 2, 2022, respectively. Factors contributing to the change in gross margin rate are outlined in the following table:</w:t>
      </w:r>
    </w:p>
    <w:tbl>
      <w:tblPr>
        <w:tblW w:w="7255" w:type="dxa"/>
        <w:jc w:val="left"/>
        <w:tblInd w:w="0" w:type="dxa"/>
        <w:tblLayout w:type="fixed"/>
        <w:tblCellMar>
          <w:top w:w="28" w:type="dxa"/>
          <w:left w:w="28" w:type="dxa"/>
          <w:bottom w:w="28" w:type="dxa"/>
          <w:right w:w="28" w:type="dxa"/>
        </w:tblCellMar>
      </w:tblPr>
      <w:tblGrid>
        <w:gridCol w:w="1365"/>
        <w:gridCol w:w="1198"/>
        <w:gridCol w:w="1202"/>
        <w:gridCol w:w="355"/>
        <w:gridCol w:w="355"/>
        <w:gridCol w:w="894"/>
        <w:gridCol w:w="109"/>
        <w:gridCol w:w="109"/>
        <w:gridCol w:w="109"/>
        <w:gridCol w:w="318"/>
        <w:gridCol w:w="318"/>
        <w:gridCol w:w="923"/>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costs</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commissions and reimbursements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gross margin rate for the three months ended July 1, 2023 as compared to the three months ended July 2,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included within “volume, mix and other” associated with our U.S. Consumer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unfavorable leverage of fixed costs driven by lower sales and/or production volume in our U.S. Consumer, Hawthorne and Other segments;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manufacturing costs, primarily labor, included within “volume, mix and other”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a decrease in impairment, restructuring and other charges;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increased pricing in our Other segment;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gross margin rate for the nine months ended July 1, 2023 as compared to the nine months ended July 2,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higher manufacturing costs, primarily labor, included within “volume, mix and other” in our U.S. Consumer, Hawthorne and Other segments;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unfavorable leverage of fixed costs driven by lower sales and production volume in our U.S. Consumer, Hawthorne and Other segments;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an increase in impairment, restructuring and other charges;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included within “volume, mix and other” associated with our U.S. Consumer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partially offset by increased pricing in our U.S. Consumer, Hawthorne and Other segments;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selling, general and administrative expenses (“SG&amp;A”) for the periods indicated:</w:t>
      </w:r>
    </w:p>
    <w:tbl>
      <w:tblPr>
        <w:tblW w:w="8190" w:type="dxa"/>
        <w:jc w:val="left"/>
        <w:tblInd w:w="0" w:type="dxa"/>
        <w:tblLayout w:type="fixed"/>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decreased $7.3, or 5.4%, during the three months ended July 1, 2023 as compared to the three months ended July 2, 2022. Advertising expense increased $16.6, or 55.3%, during the three months ended July 1, 2023 driven by increased media spending and the timing of media spending in our U.S. Consumer segment. Share-based compensation expense, which excludes certain advertising expenses paid for in Common Shares, decreased $19.0, or 345.5%, driven by the recognition of a cumulative adjustment for certain performance-based award units to reflect management’s assessment of a lower probability of achievement of performance goals. Amortization expense decreased $1.7, or 22.1%, during the three months ended July 1, 2023 driven by the impairment of certain Hawthorne segment intangible assets during fiscal 2022. Other SG&amp;A and research and development costs decreased by a combined $3.2, or 3.5%, during the three months ended July 1, 2023 due to reductions in staffing levels and other cost-reduction initiatives.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SG&amp;A decreased $51.3, or 10.4%, during the nine months ended July 1, 2023 as compared to the nine months ended July 2, 2022. Advertising expense increased $17.0, or 17.5%, during the nine months ended July 1, 2023 driven by increased media spending and the timing of media spending in our U.S. Consumer segment. Share-based compensation expense, which excludes certain advertising expenses paid for in Common Shares, increased $5.4, or 18.9%, driven by short-term variable incentive compensation that was provided to employees as share-based awards for fiscal 2023 in lieu of a cash-based program, partially offset by the recognition of a cumulative adjustment for certain performance-based award units to reflect management’s assessment of a lower probability of achievement of performance goals. Amortization expense decreased $5.1, or 21.3%, during the nine months ended July 1, 2023 driven by the impairment of certain Hawthorne segment intangible assets during fiscal 2022. Other SG&amp;A and research and development costs decreased by a combined $68.6, or 19.9%, during the nine months ended July 1, 2023 driven by reductions in staffing levels and other cost-reduction initiatives.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924" w:type="dxa"/>
        <w:jc w:val="left"/>
        <w:tblInd w:w="0" w:type="dxa"/>
        <w:tblLayout w:type="fixed"/>
        <w:tblCellMar>
          <w:top w:w="28" w:type="dxa"/>
          <w:left w:w="28" w:type="dxa"/>
          <w:bottom w:w="28" w:type="dxa"/>
          <w:right w:w="28" w:type="dxa"/>
        </w:tblCellMar>
      </w:tblPr>
      <w:tblGrid>
        <w:gridCol w:w="1543"/>
        <w:gridCol w:w="1356"/>
        <w:gridCol w:w="1360"/>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During the second quarter of fiscal 2023, we accelerated the optimization of our Hawthorne supply chain network by announcing the closure of four additional distribution centers. In addition, to reduce our on hand inventory to align with the optimized network capacity, we sold our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for $5.0 during the second quarter of fiscal 2023 and have commenced plans to accelerate the reduction of certain other Hawthorne inventory, primarily lighting, growing environments and hardware products. During the third quarter of fiscal 2023, we commenced plans to close several additional supply chain network facilities within our U.S. Consumer and Hawthorne segments. During the three and nine months ended July 1, 2023, we incurred costs of $34.5 and $185.8, respectively, associated with this restructuring initiative primarily related to inventory write-down charges, employee termination benefits, facility closure costs and impairment of right-of-use assets and property, plant and equipment. We incurred costs of $7.1 and $8.2 in our U.S. Consumer segment and $25.7 and $152.6 in our Hawthorne segment in the “Cost of sales—impairment, restructuring and other” line in the Condensed Consolidated Statements of Operations during the three and nine months ended July 1, 2023, respectively. We incurred costs of $0.0 and $0.1 in our U.S. Consumer segment, $1.9 and $20.1 in our Hawthorne segment, $0.0 and $0.2 in our Other segment and $0.0 and $4.5 at Corporate in the “Impairment, restructuring and other” line in the Condensed Consolidated Statements of Operations during the three and nine months ended July 1, 2023, respectively. Costs incurred from the inception of this restructuring initiative through July 1, 2023 were $207.9 for our Hawthorne segment, $30.0 for our U.S. Consumer segment, $0.9 for our Other segment and $12.2 for Corporate. We continue to evaluate additional network and organizational changes, which, if executed, may result in additional restructuring charges in future periods.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July 2, 2022, we incurred costs of $40.7 and $46.1, respectively, associated with this restructuring initiative primarily related to employee termination benefits and impairment of property, plant and equipment. We incurred costs of $9.5 in our U.S. Consumer segment and $10.4 and $15.6 in our Hawthorne segment in the “Cost of sales—impairment, restructuring and other” line in the Condensed Consolidated Statements of Operations during the three and nine months ended July 2, 2022, respectively. We incurred costs of $7.4 in our U.S. Consumer segment, $7.1 in our Hawthorne segment and $6.3 at Corporate in the “Impairment, restructuring and other” line in the Condensed Consolidated Statements of Operations during the three and nine months ended July 2, 2022, respectively.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2, 2022, we recognized non-cash, pre-tax goodwill and intangible asset impairment charges of $632.4 related to our Hawthorne segment in the “Impairment, restructuring and other” line in the Condensed Consolidated Statements of Operations, comprised of $522.4 of goodwill impairment charges and $110.0 of finite-lived intangible asset impairment charges.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2, 2022, we incurred inventory write-down charges of $45.9 in the “Cost of sales—impairment, restructuring and other” line in the Condensed Consolidated Statements of Operations associated with our decision to discontinue and exit the market for certain lighting products and brands.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is comprised of activities such as royalty income from the licensing of certain of our brand names and foreign exchange transaction gains and losses. Other (income) expense was $(1.6) and $4.9 for the three months ended July 1, 2023 and July 2, 2022, respectively; and was $(2.7) and $(1.0) for the nine months ended July 1, 2023 and July 2, 2022, respectively. The increase was primarily due to foreign exchange transaction gains and losses as well as gains and losses on the sale of long-lived assets during fiscal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(Loss) from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operations was $77.3 for the three months ended July 1, 2023, an increase of 113.7% as compared to $(562.5) for the three months ended July 2, 2022; and was $241.7 for the nine months ended July 1, 2023, an increase of 215.0% as compared to $(210.1) for the nine months ended July 2, 2022. The increase was primarily due to lower impairment, restructuring and other charges, lower SG&amp;A and higher other income, partially offset by lower net sales and a decrease in gross margin rate.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Equity in Income of Unconsolidated Affiliates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income of unconsolidated affiliates associated with Bonnie Plants, LLC was $22.2 and $15.1 for the three months ended July 1, 2023 and July 2, 2022, respectively; and was $3.5 and $1.3 for the nine months ended July 1, 2023 and July 2,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$47.1 for the three months ended July 1, 2023, an increase of 51.9% as compared to $31.0 for the three months ended July 2, 2022. The increase was driven by an increase in our weighted average interest rate, net of the impact of interest rate swaps, of 210 basis points, partially offset by lower average borrowings of $203.4. The increase in our weighted average interest rate was primarily driven by higher borrowing rates on the Sixth A&amp;R Credit Agreement. The decrease in average borrowings was primarily due to lower inventory levels.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$138.1 for the nine months ended July 1, 2023, an increase of 66.2% as compared to $83.1 for the nine months ended July 2, 2022. The increase was driven by higher average borrowings of $175.3 and an increase in our weighted average interest rate, net of the impact of interest rate swaps, of 190 basis points. The increase in average borrowings was due to acquisition activity, capital expenditures and repurchases of our Common Shares. The increase in our weighted average interest rate was primarily driven by higher borrowing rates on the Sixth A&amp;R Credit Agreement.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nine months ended July 1, 2023 and July 2, 2022 were 17.7% and 24.1%,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2, 2022, we recognized non-cash, pre-tax goodwill and intangible asset impairment charges of $632.4 related to our Hawthorne segment in the “Impairment, restructuring and other” line in the Condensed Consolidated Statements of Operations. The tax impact of the impairment charges was a benefit of $138.0, which is net of the impact of non-deductible goodwill of $18.5, for the three and nine months ended July 2, 2022 and was recorded in the “Income tax expense (benefit)” line in the Condensed Consolidated Statements of Operations. The tax impact of non-deductible goodwill was considered a discrete item because we have no remaining non-deductible goodwill. This discrete item decreased the effective tax rate by approximately 640 bps for the nine months ended July 2, 2022 because we incurred a net loss during this period.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was $43.7, or $0.77 per diluted share, for the three months ended July 1, 2023 as compared to $(443.9), or $(8.01) per diluted share, for the three months ended July 2, 2022. The increase was driven by lower impairment, restructuring and other charges, higher other income, higher equity in income of unconsolidated affiliates and lower SG&amp;A, partially offset by lower net sales, a decrease in gross margin rate, higher interest expense, lower other non-operating income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net income per common share calculation for the three months ended July 1, 2023 were 56.6 million, which included dilutive potential Common Shares of 0.4 million. Diluted average common shares used in the diluted net loss per common share calculation for the three months ended July 2, 2022 were 55.4 million, which excluded potential Common Shares of 0.4 million because the effect of their inclusion would be anti-dilutive as we incurred a net loss for the three months ended July 2, 2022. The increase in average common shares was primarily the result of the exercise and issuance of share-based compensation awards.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was $88.3, or $1.57 per diluted share, for the nine months ended July 1, 2023 as compared to $(217.5), or $(3.91) per diluted share, for the nine months ended July 2, 2022. The increase was driven by lower impairment, restructuring and other charges, higher other income, higher equity in income of unconsolidated affiliates and lower SG&amp;A, partially offset by lower net sales, a decrease in gross margin rate, higher interest expense, lower other non-operating income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Diluted average common shares used in the diluted net income per common share calculation for the nine months ended July 1, 2023 were 56.3 million, which included dilutive potential Common Shares of 0.4 million. Diluted average common shares used in the diluted net loss per common share calculation for the nine months ended July 2, 2022 were 55.6 million, which excluded potential Common Shares of 0.6 million because the effect of their inclusion would be anti-dilutive as we incurred a net loss for the nine months ended July 2, 2022. The increase in average common shares was primarily the result of the exercise and issuance of share-based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by segment:</w:t>
      </w:r>
    </w:p>
    <w:tbl>
      <w:tblPr>
        <w:tblW w:w="6690" w:type="dxa"/>
        <w:jc w:val="left"/>
        <w:tblInd w:w="0" w:type="dxa"/>
        <w:tblLayout w:type="fixed"/>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Segment Profit (Loss) as well as a reconciliation to income (loss) before income taxes, the most directly comparable GAAP measure:</w:t>
      </w:r>
    </w:p>
    <w:tbl>
      <w:tblPr>
        <w:tblW w:w="8715" w:type="dxa"/>
        <w:jc w:val="left"/>
        <w:tblInd w:w="0" w:type="dxa"/>
        <w:tblLayout w:type="fixed"/>
        <w:tblCellMar>
          <w:top w:w="28" w:type="dxa"/>
          <w:left w:w="28" w:type="dxa"/>
          <w:bottom w:w="28" w:type="dxa"/>
          <w:right w:w="28" w:type="dxa"/>
        </w:tblCellMar>
      </w:tblPr>
      <w:tblGrid>
        <w:gridCol w:w="1372"/>
        <w:gridCol w:w="1207"/>
        <w:gridCol w:w="1216"/>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 (Non-GAAP)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U.S. Consumer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net sales were $916.4 in the third quarter of fiscal 2023, an increase of 1.3% from the third quarter of fiscal 2022 net sales of $904.5; and were $2,642.7 for the first nine months of fiscal 2023, an increase of 0.6% from the first nine months of fiscal 2022 net sales of $2,626.7. For the third quarter of fiscal 2023, the increase was driven by higher sales volume of 1.3%. For the nine months ended July 1, 2023, the increase was driven by increased pricing of 6.3%, partially offset by lower sales volume of 5.7%. The increase in sales volume for the third quarter of fiscal 2023 was driven by soils, mulch and controls products, partially offset by lower sales volume for fertilizer and grass seed products. The decrease in sales volume for the nine months ended July 1, 2023 was driven by fertilizer and grass seed products, partially offset by higher sales volume for soils, mulch and controls products.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$124.8 in the third quarter of fiscal 2023, a decrease of 31.1% from the third quarter of fiscal 2022 Segment Profit of $181.1; and Segment Profit was $553.5 for the first nine months of fiscal 2023, a decrease of 10.8% from the first nine months of fiscal 2022 Segment Profit of $620.7. For the three and nine months ended July 1, 2023, the decrease was primarily due to a lower gross margin rate and higher SG&amp;A, partially offset by higher net sales.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Hawthorne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segment net sales were $93.4 in the third quarter of fiscal 2023, a decrease of 39.5% from the third quarter of fiscal 2022 net sales of $154.5; and were $317.6 for the first nine months of fiscal 2023, a decrease of 42.0% from the first nine months of fiscal 2022 net sales of $547.7. For the third quarter of fiscal 2023, the decrease was driven by lower sales volume and decreased pricing of 38.6% and 0.9%, respectively. For the nine months ended July 1, 2023, the decrease was driven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lower sales volume and unfavorable foreign exchange rates of 45.6% and 1.0%, respectively, partially offset by increased pricing and acquisitions of 3.4% and 1.1%, respectively. The decrease in sales volume for the three and nine months ended July 1, 2023 was driven by hardware, lighting, nutrients, growing media and growing environments products.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Segment Loss was $8.7 in the third quarter of fiscal 2023 as compared to Segment Profit of $4.1 for the third quarter of fiscal 2022; and Segment Loss was $41.7 for the first nine months of fiscal 2023 as compared to Segment Profit of $2.0 for the first nine months of fiscal 2022. For the three and nine months ended July 1, 2023, the change was driven by lower net sales and a lower gross margin rate, partially offset by lower SG&amp;A.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net sales were $108.9 in the third quarter of fiscal 2023, a decrease of 14.3% from the third quarter of fiscal 2022 net sales of $127.1; and were $216.5 for the first nine months of fiscal 2023, a decrease of 15.4% from the first nine months of fiscal 2022 net sales of $256.0. For the third quarter of fiscal 2023, the decrease was driven by lower sales volume and unfavorable foreign exchange rates of 18.0% and 4.4%, respectively, partially offset by increased pricing of 8.1%. For the nine months ended July 1, 2023, the decrease was driven by lower sales volume and unfavorable foreign exchange rates of 18.0% and 5.0%, respectively, partially offset by increased pricing of 7.6%.</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Segment Profit was $5.8 in the third quarter of fiscal 2023, a decrease of 46.8% from the third quarter of fiscal 2022 Segment Profit of $10.9; and Segment Profit was $21.8 for the first nine months of fiscal 2023, a decrease of 4.0% from the first nine months of fiscal 2022 Segment Profit of $22.7. For the three months ended July 1, 2023, the decrease was driven by lower net sales, a lower gross margin rate and higher SG&amp;A. For the nine months ended July 1, 2023, the decrease was driven by lower net sales, partially offset by a higher gross margin rate and lower SG&amp;A.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$3.4 in the third quarter of fiscal 2023, a decrease of 86.5% from the third quarter of fiscal 2022 expenses of $25.2; and were $77.4 for the first nine months of fiscal 2023, a decrease of 19.1% from the first nine months of fiscal 2022 expenses of $95.7. For the three and nine months ended July 1, 2023, the decrease was primarily driven by lower share-based compensation expense due to the recognition of a cumulative adjustment for certain performance-based award units to reflect management’s assessment of a lower probability of achievement of performance goals, and reductions in staffing levels and other cost-reduction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activities:</w:t>
      </w:r>
    </w:p>
    <w:tbl>
      <w:tblPr>
        <w:tblW w:w="6399" w:type="dxa"/>
        <w:jc w:val="left"/>
        <w:tblInd w:w="0" w:type="dxa"/>
        <w:tblLayout w:type="fixed"/>
        <w:tblCellMar>
          <w:top w:w="28" w:type="dxa"/>
          <w:left w:w="28" w:type="dxa"/>
          <w:bottom w:w="28" w:type="dxa"/>
          <w:right w:w="28" w:type="dxa"/>
        </w:tblCellMar>
      </w:tblPr>
      <w:tblGrid>
        <w:gridCol w:w="1525"/>
        <w:gridCol w:w="1343"/>
        <w:gridCol w:w="1347"/>
        <w:gridCol w:w="211"/>
        <w:gridCol w:w="481"/>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totaled $4.3 for the nine months ended July 1, 2023 as compared to $679.6 for the nine months ended July 2, 2022. This decrease was driven by lower inventory production, accounts payable timing, lower short-term variable cash incentive compensation payouts, higher income tax refunds received and lower SG&amp;A, partially offset by lower gross margin, higher accounts receivable, higher interest payments and higher payments associated with restructuring activities. Accounts payable timing is driven by lower inventory production and the favorable impact of extended payment terms with vendors for payments originally due in the final weeks of the third quarter of fiscal 2023 that were paid in the fourth quarter of fiscal 2023. Higher accounts receivable is driven by the timing of sales.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totaled $44.6 for the nine months ended July 1, 2023 as compared to $334.5 for the nine months ended July 2, 2022. Cash used for investments in property, plant and equipment during the first nine months of fiscal 2023 and 2022 was $73.8 and $99.0, respectively. We also received proceeds of $37.0 during the nine months ended July 1, 2023 related to the payoff of seller financing that we provided in connection with a fiscal 2017 divestiture. In addition, we had other investing cash outflows of $9.7 during the nine months ended July 1, 2023, comprised of cash outflows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currency forward contracts partially offset by proceeds from the sale of the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During the nine months ended July 2, 2022, we completed the acquisitions of Luxx Lighting, Inc., True Liberty Bags and Cyco in exchange for cash payments of $237.3, as well as the issuance of 0.1 million Common Shares, a non-cash investing and financing activity, with a fair value of $21.0 based on the share price at the time of payment. In addition, during the nine months ended July 2, 2022, we made payments of $25.0 in connection with a minority non-equity convertible debt investment, received proceeds from the sale of long-lived assets of $9.4 and received $17.4 associated with currency forward contracts.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Cash used in financing activities totaled $11.0 for the nine months ended July 1, 2023 as compared to cash provided by financing activities of $797.9 for the nine months ended July 2, 2022. During the nine months ended July 1, 2023, we had net borrowings under our credit facilities of $112.6 and paid dividends of $112.0. During the nine months ended July 2, 2022, we had net borrowings under our credit facilities of $1,186.7, paid dividends of $129.6 and paid financing and issuance fees of $9.7. During the nine months ended July 1, 2023 and July 2, 2022, Common Share repurchases were $9.3 and $257.7, respectively (which includes </w:t>
      </w:r>
      <w:r>
        <w:rPr>
          <w:rFonts w:ascii="Times New Roman;sans-serif" w:hAnsi="Times New Roman;sans-serif"/>
          <w:b w:val="false"/>
          <w:color w:val="000000"/>
          <w:sz w:val="20"/>
          <w:shd w:fill="FFFFFF" w:val="clear"/>
        </w:rPr>
        <w:t>cash paid to tax authorities to satisfy statutory income tax withholding obligations related to share-based compensation)</w:t>
      </w:r>
      <w:r>
        <w:rPr>
          <w:rFonts w:ascii="Times New Roman;sans-serif" w:hAnsi="Times New Roman;sans-serif"/>
          <w:b w:val="false"/>
          <w:color w:val="000000"/>
          <w:sz w:val="20"/>
        </w:rPr>
        <w: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 xml:space="preserve">three and nine </w:t>
      </w:r>
      <w:r>
        <w:rPr>
          <w:rFonts w:ascii="Times New Roman;sans-serif" w:hAnsi="Times New Roman;sans-serif"/>
          <w:b w:val="false"/>
          <w:color w:val="000000"/>
          <w:sz w:val="20"/>
          <w:shd w:fill="FFFFFF" w:val="clear"/>
        </w:rPr>
        <w:t xml:space="preserve">months ended July 2, 2022, Scotts Miracle-Gro repurchased 0.0 million and 1.1 million Common Shares under this share repurchase authorization for $0.0 and $175.0, respectively. Treasury share purchases also include cash paid to tax authorities to satisfy statutory income tax withholding obligations related to share-based compensation of $2.8 and $9.3 for the </w:t>
      </w:r>
      <w:r>
        <w:rPr>
          <w:rFonts w:ascii="Times New Roman;sans-serif" w:hAnsi="Times New Roman;sans-serif"/>
          <w:b w:val="false"/>
          <w:color w:val="000000"/>
          <w:sz w:val="20"/>
        </w:rPr>
        <w:t xml:space="preserve">three and nine </w:t>
      </w:r>
      <w:r>
        <w:rPr>
          <w:rFonts w:ascii="Times New Roman;sans-serif" w:hAnsi="Times New Roman;sans-serif"/>
          <w:b w:val="false"/>
          <w:color w:val="000000"/>
          <w:sz w:val="20"/>
          <w:shd w:fill="FFFFFF" w:val="clear"/>
        </w:rPr>
        <w:t xml:space="preserve">months ended July 1, 2023, respectively, and $0.1 and $82.7 for the </w:t>
      </w:r>
      <w:r>
        <w:rPr>
          <w:rFonts w:ascii="Times New Roman;sans-serif" w:hAnsi="Times New Roman;sans-serif"/>
          <w:b w:val="false"/>
          <w:color w:val="000000"/>
          <w:sz w:val="20"/>
        </w:rPr>
        <w:t>three and nine months ended July 2, 2022,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of $27.4, $27.8 and $86.8 as of July 1, 2023, July 2, 2022 and September 30, 2022, respectively, included $17.7, $4.0 and $4.2, respectively, held by controlled foreign corporations. As of July 1, 2023, we maintain our assertion of indefinite reinvestment of the earnings of all material foreign subsidiaries.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 Agreements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we entered into Amendment No. 2 to the Sixth A&amp;R Credit Agreement. Pursuant to Amendment No. 2, the Sixth A&amp;R Credit Agreement was amended to (i) reduce the revolving loan commitments by $250.0; (ii) increase the maximum permitted leverage ratio for the quarterly leverage covenant during the Leverage Adjustment Period; (iii) replace the interest coverage covenant with a fixed charge coverage covenant; (iv) increase the interest rate applicable to borrowings under the revolving credit facility and the term loan facility by 0.25% for each existing pricing tier and add a pricing tier that is applicable for periods when the leverage ratio is in excess of 6.0; (v) limit the amount of certain incremental investments, loans and advances to $25.0 during the Leverage Adjustment Period; and (vi) add our intellectual property (subject to certain agreed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requires pro forma compliance with certain leverage levels specified in Amendment No. 2 with respect to our ability to make certain investments. Pursuant to Amendment No. 2, the Sixth A&amp;R Credit Agreement is secured by (i) a perfected first priority security interest in all of the accounts receivable, inventory, equipment and intellectual property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July 1, 2023, we had letters of credit outstanding in the aggregate principal amount of $5.0 and had $1,349.9 of borrowing availability under the Sixth A&amp;R Credit Agreement. The weighted average interest rates on average borrowings under the credit facilities, excluding the impact of interest rate swaps, were 7.3% and 2.1% for the nine months ended July 1, 2023 and July 2, 2022,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Adjusted EBITDA. Pursuant to Amendment No. 2, the maximum permitted leverage ratio is (i) 7.00 for the third quarter of fiscal 2023, (ii) 7.75 for the fourth quarter of fiscal 2023, (iii) 8.25 for the first quarter of fiscal 2024, (iv) 7.75 for the second quarter of fiscal 2024, (v) 6.50 for the third quarter of fiscal 2024, (vi) 6.00 for the fourth quarter of fiscal 2024, (vii) 5.50 for the first quarter of fiscal 2025, (viii) 5.25 for the second quarter of fiscal 2025, (ix) 5.00 for the third quarter of fiscal 2025, (x) 4.75 for the fourth quarter of fiscal 2025, and (xi) 4.50 for the first quarter of fiscal 2026 and thereafter. Our leverage ratio was 6.15 at July 1, 2023. Pursuant to Amendment No. 2, the Sixth A&amp;R Credit Agreement also contains an affirmative covenant regarding our fixed charge coverage ratio determined as of the end of each of our fiscal quarters ending on or after September 30, 2023. The fixed charge coverage ratio is calculated as Adjusted EBITDA minus capital expenditures and expense for taxes paid in cash, divided by the sum of interest expense plus restricted payments, as described in Amendment No. 2. The minimum required fixed charge coverage ratio is (i) 0.75 for the fourth quarter of fiscal 2023 through the third quarter of fiscal 2024 and (ii) 1.00 for the fourth quarter of fiscal 2024 and thereafter.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1, 2023,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July 1, 2023, our indebtedness under the Sixth A&amp;R Credit Agreement and Senior Notes was $2,682.6. We do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that began on February 24, 2023 and ended on June 16, 2023 was $160.0. The Receivables Facility expires on August 18, 2023.</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the sale of receivables under the Receivables Facility as short-term debt and continue to carry the receivables on our Condensed Consolidated Balance Sheets, primarily as a result of our requirement to repurchase receivables sold. As of July 1, 2023 and July 2, 2022, there were $398.0 and $250.0, respectively, in borrowings on receivables pledged as collateral under the Receivables Facility, and the carrying value of the receivables pledged as collateral was $442.2 and $277.8, respectively.</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July 1, 2023, July 2, 2022 and September 30, 2022 had a maximum total U.S. dollar equivalent notional amount of $600.0, $800.0, and $800.0 respectively. The notional amount, effective date, expiration date and rate of each of the swap agreements outstanding at July 1, 2023 are shown in the table below:</w:t>
      </w:r>
    </w:p>
    <w:tbl>
      <w:tblPr>
        <w:tblW w:w="4700"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19"/>
        <w:gridCol w:w="319"/>
        <w:gridCol w:w="321"/>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Availability and Use of Cash</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2022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21"/>
        <w:gridCol w:w="804"/>
        <w:gridCol w:w="114"/>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amounts due from Non-Guarantor subsidiaries of $31.2 and $46.7, respectively.</w:t>
      </w:r>
    </w:p>
    <w:tbl>
      <w:tblPr>
        <w:tblW w:w="4751" w:type="dxa"/>
        <w:jc w:val="left"/>
        <w:tblInd w:w="0" w:type="dxa"/>
        <w:tblLayout w:type="fixed"/>
        <w:tblCellMar>
          <w:top w:w="28" w:type="dxa"/>
          <w:left w:w="28" w:type="dxa"/>
          <w:bottom w:w="28" w:type="dxa"/>
          <w:right w:w="28" w:type="dxa"/>
        </w:tblCellMar>
      </w:tblPr>
      <w:tblGrid>
        <w:gridCol w:w="624"/>
        <w:gridCol w:w="547"/>
        <w:gridCol w:w="553"/>
        <w:gridCol w:w="294"/>
        <w:gridCol w:w="1069"/>
        <w:gridCol w:w="152"/>
        <w:gridCol w:w="109"/>
        <w:gridCol w:w="109"/>
        <w:gridCol w:w="109"/>
        <w:gridCol w:w="221"/>
        <w:gridCol w:w="803"/>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(a)</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intercompany income (expense) from Non-Guarantor subsidiaries of $(7.5) and $14.1,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Judicial and Administrative Proceedings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2022 Annual Report, under “ITEM 1. BUSINESS — Regulatory Considerations” and “ITEM 3. LEGAL PROCEEDINGS.”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risks have not changed materially from those disclosed in the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the participation of the principal executive officer and principal financial officer of the Registrant, the Registrant’s management has evaluated the effectiveness of the Registrant’s disclosure controls and procedures (as defined in Rule 13a-15(e) under the Exchange Act,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July 1,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were no changes in the Registrant’s internal control over financial reporting (as defined in Rule 13a-15(f) under the Exchange Act) that occurred during the Registrant’s fiscal quarter ended July 1, 2023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 is made to the legal proceedings that have been previously disclosed in Part I, Item 3 of the 2022 Annual Report. There have been no material developments to the pending legal proceedings set forth therein.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risk factors, as of July 1, 2023, have not materially changed from those described in Part I, Item 1A of the 2022 Annual Report.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exhibits hereto and the information incorporated by reference herein, contains “forward-looking statements” within the meaning of Section 27A of the Securities Act of 1933, as amended, and Section 21E of the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contained in this Quarterly Report on Form 10-Q are predictions only and actual results could differ materially from management’s expectations due to a variety of factors, including those described in “ITEM 1A. RISK FACTORS” in the 2022 Annual Report. All forward-looking statements attributable to us or persons working on our behalf are expressly qualified in their entirety by such risk factors.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following table shows the purchases of Common Shares made by or on behalf of Scotts Miracle-Gro or any “affiliated purchaser” (as defined in Rule 10b-18(a)(3) under the Exchange Act, as amended) of Scotts Miracle-Gro for each of the three fiscal months in the quarter ended July 1, 2023:</w:t>
      </w:r>
      <w:r>
        <w:rPr>
          <w:color w:val="000000"/>
        </w:rPr>
        <w:t> </w:t>
      </w:r>
    </w:p>
    <w:tbl>
      <w:tblPr>
        <w:tblW w:w="10161" w:type="dxa"/>
        <w:jc w:val="left"/>
        <w:tblInd w:w="0" w:type="dxa"/>
        <w:tblLayout w:type="fixed"/>
        <w:tblCellMar>
          <w:top w:w="28" w:type="dxa"/>
          <w:left w:w="28" w:type="dxa"/>
          <w:bottom w:w="28" w:type="dxa"/>
          <w:right w:w="28" w:type="dxa"/>
        </w:tblCellMar>
      </w:tblPr>
      <w:tblGrid>
        <w:gridCol w:w="1017"/>
        <w:gridCol w:w="892"/>
        <w:gridCol w:w="910"/>
        <w:gridCol w:w="440"/>
        <w:gridCol w:w="440"/>
        <w:gridCol w:w="441"/>
        <w:gridCol w:w="109"/>
        <w:gridCol w:w="109"/>
        <w:gridCol w:w="109"/>
        <w:gridCol w:w="338"/>
        <w:gridCol w:w="958"/>
        <w:gridCol w:w="189"/>
        <w:gridCol w:w="109"/>
        <w:gridCol w:w="109"/>
        <w:gridCol w:w="109"/>
        <w:gridCol w:w="520"/>
        <w:gridCol w:w="520"/>
        <w:gridCol w:w="521"/>
        <w:gridCol w:w="109"/>
        <w:gridCol w:w="109"/>
        <w:gridCol w:w="109"/>
        <w:gridCol w:w="583"/>
        <w:gridCol w:w="583"/>
        <w:gridCol w:w="828"/>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Common Shares</w:t>
              <w:br/>
              <w:t>That May Yet be</w:t>
              <w:br/>
              <w:t>Purchased Under the</w:t>
              <w:br/>
              <w:t>Plans or Programs (3)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 2023 through April 29, 2023</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30, 2023 through May 27, 2023</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28, 2023 through July 1, 2023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Common Shares purchased during the third quarter of fiscal 2023 were purchased in open market transactions. The Common Shares purchased during the quarter consisted of 6,387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333333"/>
          <w:sz w:val="20"/>
        </w:rPr>
        <w:t>(3)</w:t>
      </w:r>
      <w:r>
        <w:rPr>
          <w:rFonts w:ascii="Times New Roman;sans-serif" w:hAnsi="Times New Roman;sans-serif"/>
          <w:b w:val="false"/>
          <w:color w:val="000000"/>
          <w:sz w:val="20"/>
        </w:rPr>
        <w:t>On February 6, 2020, the Company announced a repurchase program allowing for repurchases of up to $750.0 million of Common Shares from April 30, 2020 through March 25, 2023. As of the date of this Form 10-Q, the Company does not have an active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no director or officer of the Company adopted or terminated a “Rule 10b5-1 trading arrangement” or “non-Rule 10b5-1 trading arrangement,” as such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Exhibits at page 45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JULY 1,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90"/>
        <w:gridCol w:w="255"/>
        <w:gridCol w:w="257"/>
        <w:gridCol w:w="109"/>
        <w:gridCol w:w="109"/>
        <w:gridCol w:w="109"/>
        <w:gridCol w:w="1493"/>
        <w:gridCol w:w="1434"/>
        <w:gridCol w:w="1450"/>
        <w:gridCol w:w="109"/>
        <w:gridCol w:w="109"/>
        <w:gridCol w:w="109"/>
        <w:gridCol w:w="175"/>
        <w:gridCol w:w="175"/>
        <w:gridCol w:w="176"/>
        <w:gridCol w:w="142"/>
        <w:gridCol w:w="142"/>
        <w:gridCol w:w="142"/>
        <w:gridCol w:w="240"/>
        <w:gridCol w:w="240"/>
        <w:gridCol w:w="241"/>
        <w:gridCol w:w="142"/>
        <w:gridCol w:w="142"/>
        <w:gridCol w:w="142"/>
        <w:gridCol w:w="270"/>
        <w:gridCol w:w="270"/>
        <w:gridCol w:w="272"/>
        <w:gridCol w:w="109"/>
        <w:gridCol w:w="109"/>
        <w:gridCol w:w="109"/>
        <w:gridCol w:w="327"/>
        <w:gridCol w:w="327"/>
        <w:gridCol w:w="480"/>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21smg20230701.htm">
              <w:r>
                <w:rPr>
                  <w:rStyle w:val="InternetLink"/>
                  <w:rFonts w:ascii="Times New Roman;sans-serif" w:hAnsi="Times New Roman;sans-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20230701.htm">
              <w:r>
                <w:rPr>
                  <w:rStyle w:val="InternetLink"/>
                  <w:rFonts w:ascii="Times New Roman;sans-serif" w:hAnsi="Times New Roman;sans-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20230701.htm">
              <w:r>
                <w:rPr>
                  <w:rStyle w:val="InternetLink"/>
                  <w:rFonts w:ascii="Times New Roman;sans-serif" w:hAnsi="Times New Roman;sans-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20230701.htm">
              <w:r>
                <w:rPr>
                  <w:rStyle w:val="InternetLink"/>
                  <w:rFonts w:ascii="Times New Roman;sans-serif" w:hAnsi="Times New Roman;sans-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20230701.htm">
              <w:r>
                <w:rPr>
                  <w:rStyle w:val="InternetLink"/>
                  <w:rFonts w:ascii="Times New Roman;sans-serif" w:hAnsi="Times New Roman;sans-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1c3198ec3244e3ebc60b8cbfa7199b1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0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443"/>
        <w:gridCol w:w="1443"/>
        <w:gridCol w:w="2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 AND INDIRECT SUBSIDIARIES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Directly owned subsidiaries, as of July 1, 2023, are located at the left margin, each subsidiary tier thereunder is indented. Subsidiaries are listed under the names of their respective parent entities. Unless otherwise noted, the subsidiaries are wholly-owned.</w:t>
      </w:r>
    </w:p>
    <w:tbl>
      <w:tblPr>
        <w:tblW w:w="8246" w:type="dxa"/>
        <w:jc w:val="left"/>
        <w:tblInd w:w="0" w:type="dxa"/>
        <w:tblLayout w:type="fixed"/>
        <w:tblCellMar>
          <w:top w:w="28" w:type="dxa"/>
          <w:left w:w="28" w:type="dxa"/>
          <w:bottom w:w="28" w:type="dxa"/>
          <w:right w:w="28" w:type="dxa"/>
        </w:tblCellMar>
      </w:tblPr>
      <w:tblGrid>
        <w:gridCol w:w="1728"/>
        <w:gridCol w:w="1530"/>
        <w:gridCol w:w="1541"/>
        <w:gridCol w:w="109"/>
        <w:gridCol w:w="109"/>
        <w:gridCol w:w="109"/>
        <w:gridCol w:w="912"/>
        <w:gridCol w:w="912"/>
        <w:gridCol w:w="1296"/>
      </w:tblGrid>
      <w:tr>
        <w:trPr/>
        <w:tc>
          <w:tcPr>
            <w:tcW w:w="172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Bonnie Plants, LLC</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C.V.2</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Gardening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Gavita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Lighting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Agrolux Nederland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39" w:type="dxa"/>
        <w:jc w:val="left"/>
        <w:tblInd w:w="0" w:type="dxa"/>
        <w:tblLayout w:type="fixed"/>
        <w:tblCellMar>
          <w:top w:w="28" w:type="dxa"/>
          <w:left w:w="28" w:type="dxa"/>
          <w:bottom w:w="28" w:type="dxa"/>
          <w:right w:w="28" w:type="dxa"/>
        </w:tblCellMar>
      </w:tblPr>
      <w:tblGrid>
        <w:gridCol w:w="2191"/>
        <w:gridCol w:w="1926"/>
        <w:gridCol w:w="2722"/>
      </w:tblGrid>
      <w:tr>
        <w:trPr/>
        <w:tc>
          <w:tcPr>
            <w:tcW w:w="219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Scotts Live Goods Holdings, Inc.’s ownership is 50.0%.</w:t>
            </w:r>
          </w:p>
          <w:p>
            <w:pPr>
              <w:pStyle w:val="TableContents"/>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Scotts Professional Products Co. owns 50% and Scotts Products Co. owns 50.0%.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ans-serif" w:hAnsi="Times New Roman;sans-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Laketon Peat Moss Inc.</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de Mexico SA de CV</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The Scotts Miracle-Gro Foundation</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Scotts Canada Ltd.'s ownership is 50.0%.</w:t>
            </w:r>
          </w:p>
          <w:p>
            <w:pPr>
              <w:pStyle w:val="TableContents"/>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ans-serif" w:hAnsi="Times New Roman;sans-serif"/>
          <w:b w:val="false"/>
          <w:color w:val="333333"/>
          <w:sz w:val="20"/>
        </w:rPr>
      </w:pPr>
      <w:r>
        <w:rPr>
          <w:rFonts w:ascii="Times New Roman;sans-serif" w:hAnsi="Times New Roman;sans-serif"/>
          <w:b w:val="false"/>
          <w:color w:val="333333"/>
          <w:sz w:val="20"/>
        </w:rPr>
        <w:t>The following subsidiaries of The Scotts Miracle-Gro Company (the "Company") were, as of July 1, 2023,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July 1, 2023;</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70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404"/>
        <w:gridCol w:w="1404"/>
        <w:gridCol w:w="19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and Chairman of the Board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Matthew E. Garth,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July 1, 2023;</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83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441"/>
        <w:gridCol w:w="1441"/>
        <w:gridCol w:w="20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Scotts Miracle-Gro Company (the “Company”) for the fiscal quarter ended July 1, 2023 as filed with the Securities and Exchange Commission on the date hereof (the “Report”), the undersigned James Hagedorn, Chief Executive Officer and Chairman of the Board of the Company, and Matthew E. Garth, Executive Vice President and Chief Financial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consolidated financial condition and results of operations of the Company and its subsidiaries.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07"/>
        <w:gridCol w:w="1507"/>
        <w:gridCol w:w="1512"/>
        <w:gridCol w:w="109"/>
        <w:gridCol w:w="109"/>
        <w:gridCol w:w="109"/>
        <w:gridCol w:w="109"/>
        <w:gridCol w:w="109"/>
        <w:gridCol w:w="109"/>
        <w:gridCol w:w="1371"/>
        <w:gridCol w:w="1364"/>
        <w:gridCol w:w="1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and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25483</Words>
  <Characters>139929</Characters>
  <CharactersWithSpaces>163600</CharactersWithSpaces>
  <Paragraphs>3509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