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6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619"/>
        <w:spacing w:after="0" w:line="238" w:lineRule="auto"/>
        <w:rPr>
          <w:sz w:val="20"/>
          <w:szCs w:val="20"/>
          <w:color w:val="auto"/>
        </w:rPr>
      </w:pPr>
      <w:r>
        <w:rPr>
          <w:rFonts w:ascii="Courier New" w:cs="Courier New" w:eastAsia="Courier New" w:hAnsi="Courier New"/>
          <w:sz w:val="18"/>
          <w:szCs w:val="18"/>
          <w:color w:val="auto"/>
        </w:rPr>
        <w:t>Washington, D.C. 20594</w:t>
      </w:r>
    </w:p>
    <w:p>
      <w:pPr>
        <w:spacing w:after="0" w:line="200" w:lineRule="exact"/>
        <w:rPr>
          <w:sz w:val="24"/>
          <w:szCs w:val="24"/>
          <w:color w:val="auto"/>
        </w:rPr>
      </w:pPr>
    </w:p>
    <w:p>
      <w:pPr>
        <w:spacing w:after="0" w:line="204" w:lineRule="exact"/>
        <w:rPr>
          <w:sz w:val="24"/>
          <w:szCs w:val="24"/>
          <w:color w:val="auto"/>
        </w:rPr>
      </w:pPr>
    </w:p>
    <w:p>
      <w:pPr>
        <w:jc w:val="center"/>
        <w:ind w:right="261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2 )*</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The Scotts Company</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Class A Common Stock</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810186106</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9"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447" w:right="1440" w:bottom="1440" w:gutter="0" w:footer="0" w:header="0"/>
        </w:sectPr>
      </w:pPr>
    </w:p>
    <w:bookmarkStart w:id="1" w:name="page2"/>
    <w:bookmarkEnd w:id="1"/>
    <w:p>
      <w:pPr>
        <w:ind w:left="540" w:hanging="427"/>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540" w:right="45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The Capital Group Companies, Inc.</w:t>
      </w:r>
    </w:p>
    <w:p>
      <w:pPr>
        <w:spacing w:after="0" w:line="1"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86-0206507</w:t>
      </w:r>
    </w:p>
    <w:p>
      <w:pPr>
        <w:spacing w:after="0" w:line="202" w:lineRule="exact"/>
        <w:rPr>
          <w:sz w:val="20"/>
          <w:szCs w:val="20"/>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w:t>
      </w:r>
    </w:p>
    <w:p>
      <w:pPr>
        <w:spacing w:after="0" w:line="200" w:lineRule="exact"/>
        <w:rPr>
          <w:sz w:val="20"/>
          <w:szCs w:val="20"/>
          <w:color w:val="auto"/>
        </w:rPr>
      </w:pPr>
    </w:p>
    <w:p>
      <w:pPr>
        <w:spacing w:after="0" w:line="204" w:lineRule="exact"/>
        <w:rPr>
          <w:sz w:val="20"/>
          <w:szCs w:val="20"/>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40" w:right="5899" w:hanging="427"/>
        <w:spacing w:after="0" w:line="470"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14" w:lineRule="exact"/>
        <w:rPr>
          <w:sz w:val="20"/>
          <w:szCs w:val="20"/>
          <w:color w:val="auto"/>
        </w:rPr>
      </w:pPr>
    </w:p>
    <w:p>
      <w:pPr>
        <w:ind w:left="1900" w:right="6519" w:hanging="417"/>
        <w:spacing w:after="0" w:line="470" w:lineRule="auto"/>
        <w:tabs>
          <w:tab w:leader="none" w:pos="19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451,700</w:t>
      </w:r>
    </w:p>
    <w:p>
      <w:pPr>
        <w:spacing w:after="0" w:line="209" w:lineRule="exact"/>
        <w:rPr>
          <w:sz w:val="20"/>
          <w:szCs w:val="20"/>
          <w:color w:val="auto"/>
        </w:rPr>
      </w:pPr>
    </w:p>
    <w:p>
      <w:pPr>
        <w:ind w:left="1480"/>
        <w:spacing w:after="0"/>
        <w:tabs>
          <w:tab w:leader="none" w:pos="18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rPr>
          <w:sz w:val="20"/>
          <w:szCs w:val="20"/>
          <w:color w:val="auto"/>
        </w:rPr>
      </w:pPr>
      <w:r>
        <w:rPr>
          <w:rFonts w:ascii="Courier New" w:cs="Courier New" w:eastAsia="Courier New" w:hAnsi="Courier New"/>
          <w:sz w:val="18"/>
          <w:szCs w:val="18"/>
          <w:color w:val="auto"/>
        </w:rPr>
        <w:t>SHARES</w:t>
      </w:r>
    </w:p>
    <w:p>
      <w:pPr>
        <w:ind w:left="1900"/>
        <w:spacing w:after="0" w:line="237" w:lineRule="auto"/>
        <w:rPr>
          <w:sz w:val="20"/>
          <w:szCs w:val="20"/>
          <w:color w:val="auto"/>
        </w:rPr>
      </w:pPr>
      <w:r>
        <w:rPr>
          <w:rFonts w:ascii="Courier New" w:cs="Courier New" w:eastAsia="Courier New" w:hAnsi="Courier New"/>
          <w:sz w:val="18"/>
          <w:szCs w:val="18"/>
          <w:color w:val="auto"/>
        </w:rPr>
        <w:t>NONE</w:t>
      </w:r>
    </w:p>
    <w:p>
      <w:pPr>
        <w:spacing w:after="0" w:line="5" w:lineRule="exact"/>
        <w:rPr>
          <w:sz w:val="20"/>
          <w:szCs w:val="20"/>
          <w:color w:val="auto"/>
        </w:rPr>
      </w:pPr>
    </w:p>
    <w:p>
      <w:pPr>
        <w:jc w:val="right"/>
        <w:ind w:right="9059"/>
        <w:spacing w:after="0"/>
        <w:rPr>
          <w:sz w:val="20"/>
          <w:szCs w:val="20"/>
          <w:color w:val="auto"/>
        </w:rPr>
      </w:pPr>
      <w:r>
        <w:rPr>
          <w:rFonts w:ascii="Courier New" w:cs="Courier New" w:eastAsia="Courier New" w:hAnsi="Courier New"/>
          <w:sz w:val="16"/>
          <w:szCs w:val="16"/>
          <w:color w:val="auto"/>
        </w:rPr>
        <w:t>BENEFICIALL</w:t>
      </w:r>
    </w:p>
    <w:p>
      <w:pPr>
        <w:spacing w:after="0" w:line="16" w:lineRule="exact"/>
        <w:rPr>
          <w:sz w:val="20"/>
          <w:szCs w:val="20"/>
          <w:color w:val="auto"/>
        </w:rPr>
      </w:pPr>
    </w:p>
    <w:p>
      <w:pPr>
        <w:jc w:val="right"/>
        <w:ind w:right="9059"/>
        <w:spacing w:after="0"/>
        <w:rPr>
          <w:sz w:val="20"/>
          <w:szCs w:val="20"/>
          <w:color w:val="auto"/>
        </w:rPr>
      </w:pPr>
      <w:r>
        <w:rPr>
          <w:rFonts w:ascii="Courier New" w:cs="Courier New" w:eastAsia="Courier New" w:hAnsi="Courier New"/>
          <w:sz w:val="18"/>
          <w:szCs w:val="18"/>
          <w:color w:val="auto"/>
        </w:rPr>
        <w:t>Y OWNED BY</w:t>
      </w:r>
    </w:p>
    <w:p>
      <w:pPr>
        <w:ind w:left="1480"/>
        <w:spacing w:after="0" w:line="238" w:lineRule="auto"/>
        <w:tabs>
          <w:tab w:leader="none" w:pos="18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rPr>
          <w:sz w:val="20"/>
          <w:szCs w:val="20"/>
          <w:color w:val="auto"/>
        </w:rPr>
      </w:pPr>
      <w:r>
        <w:rPr>
          <w:rFonts w:ascii="Courier New" w:cs="Courier New" w:eastAsia="Courier New" w:hAnsi="Courier New"/>
          <w:sz w:val="18"/>
          <w:szCs w:val="18"/>
          <w:color w:val="auto"/>
        </w:rPr>
        <w:t>EACH</w:t>
      </w:r>
    </w:p>
    <w:p>
      <w:pPr>
        <w:ind w:left="120"/>
        <w:spacing w:after="0" w:line="237" w:lineRule="auto"/>
        <w:rPr>
          <w:sz w:val="20"/>
          <w:szCs w:val="20"/>
          <w:color w:val="auto"/>
        </w:rPr>
      </w:pPr>
      <w:r>
        <w:rPr>
          <w:rFonts w:ascii="Courier New" w:cs="Courier New" w:eastAsia="Courier New" w:hAnsi="Courier New"/>
          <w:sz w:val="18"/>
          <w:szCs w:val="18"/>
          <w:color w:val="auto"/>
        </w:rPr>
        <w:t>REPORTING</w:t>
      </w:r>
    </w:p>
    <w:p>
      <w:pPr>
        <w:ind w:left="1900"/>
        <w:spacing w:after="0" w:line="238" w:lineRule="auto"/>
        <w:rPr>
          <w:sz w:val="20"/>
          <w:szCs w:val="20"/>
          <w:color w:val="auto"/>
        </w:rPr>
      </w:pPr>
      <w:r>
        <w:rPr>
          <w:rFonts w:ascii="Courier New" w:cs="Courier New" w:eastAsia="Courier New" w:hAnsi="Courier New"/>
          <w:sz w:val="18"/>
          <w:szCs w:val="18"/>
          <w:color w:val="auto"/>
        </w:rPr>
        <w:t>491,700</w:t>
      </w:r>
    </w:p>
    <w:p>
      <w:pPr>
        <w:spacing w:after="0"/>
        <w:rPr>
          <w:sz w:val="20"/>
          <w:szCs w:val="20"/>
          <w:color w:val="auto"/>
        </w:rPr>
      </w:pPr>
      <w:r>
        <w:rPr>
          <w:rFonts w:ascii="Courier New" w:cs="Courier New" w:eastAsia="Courier New" w:hAnsi="Courier New"/>
          <w:sz w:val="18"/>
          <w:szCs w:val="18"/>
          <w:color w:val="auto"/>
        </w:rPr>
        <w:t>PERSON WITH</w:t>
      </w:r>
    </w:p>
    <w:p>
      <w:pPr>
        <w:spacing w:after="0" w:line="200" w:lineRule="exact"/>
        <w:rPr>
          <w:sz w:val="20"/>
          <w:szCs w:val="20"/>
          <w:color w:val="auto"/>
        </w:rPr>
      </w:pPr>
    </w:p>
    <w:p>
      <w:pPr>
        <w:spacing w:after="0" w:line="209" w:lineRule="exact"/>
        <w:rPr>
          <w:sz w:val="20"/>
          <w:szCs w:val="20"/>
          <w:color w:val="auto"/>
        </w:rPr>
      </w:pPr>
    </w:p>
    <w:p>
      <w:pPr>
        <w:ind w:left="1900" w:right="5779" w:hanging="417"/>
        <w:spacing w:after="0" w:line="470" w:lineRule="auto"/>
        <w:tabs>
          <w:tab w:leader="none" w:pos="19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214" w:lineRule="exact"/>
        <w:rPr>
          <w:sz w:val="20"/>
          <w:szCs w:val="20"/>
          <w:color w:val="auto"/>
        </w:rPr>
      </w:pPr>
    </w:p>
    <w:p>
      <w:pPr>
        <w:ind w:left="540" w:right="2939" w:hanging="427"/>
        <w:spacing w:after="0" w:line="470"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491,700 Beneficial ownership disclaimed pursuant to Rule 13d-4</w:t>
      </w:r>
    </w:p>
    <w:p>
      <w:pPr>
        <w:spacing w:after="0" w:line="214"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31" w:lineRule="exact"/>
        <w:rPr>
          <w:rFonts w:ascii="Courier New" w:cs="Courier New" w:eastAsia="Courier New" w:hAnsi="Courier New"/>
          <w:sz w:val="16"/>
          <w:szCs w:val="16"/>
          <w:color w:val="auto"/>
        </w:rPr>
      </w:pPr>
    </w:p>
    <w:p>
      <w:pPr>
        <w:ind w:left="540" w:right="4739" w:hanging="427"/>
        <w:spacing w:after="0" w:line="470"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2.6%</w:t>
      </w:r>
    </w:p>
    <w:p>
      <w:pPr>
        <w:spacing w:after="0" w:line="214" w:lineRule="exact"/>
        <w:rPr>
          <w:rFonts w:ascii="Courier New" w:cs="Courier New" w:eastAsia="Courier New" w:hAnsi="Courier New"/>
          <w:sz w:val="18"/>
          <w:szCs w:val="18"/>
          <w:color w:val="auto"/>
        </w:rPr>
      </w:pPr>
    </w:p>
    <w:p>
      <w:pPr>
        <w:ind w:left="540" w:right="7059" w:hanging="427"/>
        <w:spacing w:after="0" w:line="470"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pacing w:after="0" w:line="208" w:lineRule="exact"/>
        <w:rPr>
          <w:rFonts w:ascii="Courier New" w:cs="Courier New" w:eastAsia="Courier New" w:hAnsi="Courier New"/>
          <w:sz w:val="18"/>
          <w:szCs w:val="18"/>
          <w:color w:val="auto"/>
        </w:rPr>
      </w:pPr>
    </w:p>
    <w:p>
      <w:pPr>
        <w:ind w:left="18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 BEFORE FILLING OUT!</w:t>
      </w:r>
    </w:p>
    <w:p>
      <w:pPr>
        <w:sectPr>
          <w:pgSz w:w="11900" w:h="16838" w:orient="portrait"/>
          <w:cols w:equalWidth="0" w:num="1">
            <w:col w:w="10219"/>
          </w:cols>
          <w:pgMar w:left="240" w:top="919" w:right="1440" w:bottom="1440" w:gutter="0" w:footer="0" w:header="0"/>
        </w:sectPr>
      </w:pPr>
    </w:p>
    <w:bookmarkStart w:id="2" w:name="page3"/>
    <w:bookmarkEnd w:id="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 w:name="page4"/>
    <w:bookmarkEnd w:id="3"/>
    <w:p>
      <w:pPr>
        <w:jc w:val="center"/>
        <w:ind w:right="26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6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8"/>
          <w:szCs w:val="18"/>
          <w:color w:val="auto"/>
        </w:rPr>
        <w:t>Schedule 13G</w:t>
      </w:r>
    </w:p>
    <w:p>
      <w:pPr>
        <w:jc w:val="center"/>
        <w:ind w:right="273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The Scotts Company</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14111 Scottslawn Road</w:t>
      </w:r>
    </w:p>
    <w:p>
      <w:pPr>
        <w:ind w:left="740"/>
        <w:spacing w:after="0"/>
        <w:rPr>
          <w:sz w:val="20"/>
          <w:szCs w:val="20"/>
          <w:color w:val="auto"/>
        </w:rPr>
      </w:pPr>
      <w:r>
        <w:rPr>
          <w:rFonts w:ascii="Courier New" w:cs="Courier New" w:eastAsia="Courier New" w:hAnsi="Courier New"/>
          <w:sz w:val="18"/>
          <w:szCs w:val="18"/>
          <w:color w:val="auto"/>
        </w:rPr>
        <w:t>Marysville, OH 43041</w:t>
      </w:r>
    </w:p>
    <w:p>
      <w:pPr>
        <w:spacing w:after="0" w:line="200"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ind w:left="740"/>
        <w:spacing w:after="0" w:line="238" w:lineRule="auto"/>
        <w:rPr>
          <w:sz w:val="20"/>
          <w:szCs w:val="20"/>
          <w:color w:val="auto"/>
        </w:rPr>
      </w:pPr>
      <w:r>
        <w:rPr>
          <w:rFonts w:ascii="Courier New" w:cs="Courier New" w:eastAsia="Courier New" w:hAnsi="Courier New"/>
          <w:sz w:val="18"/>
          <w:szCs w:val="18"/>
          <w:color w:val="auto"/>
        </w:rPr>
        <w:t>The Capital Group Companies, Inc.</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ind w:left="740"/>
        <w:spacing w:after="0" w:line="238" w:lineRule="auto"/>
        <w:rPr>
          <w:sz w:val="20"/>
          <w:szCs w:val="20"/>
          <w:color w:val="auto"/>
        </w:rPr>
      </w:pPr>
      <w:r>
        <w:rPr>
          <w:rFonts w:ascii="Courier New" w:cs="Courier New" w:eastAsia="Courier New" w:hAnsi="Courier New"/>
          <w:sz w:val="18"/>
          <w:szCs w:val="18"/>
          <w:color w:val="auto"/>
        </w:rPr>
        <w:t>333 South Hope Street</w:t>
      </w:r>
    </w:p>
    <w:p>
      <w:pPr>
        <w:ind w:left="740"/>
        <w:spacing w:after="0"/>
        <w:tabs>
          <w:tab w:leader="none" w:pos="2520" w:val="left"/>
        </w:tabs>
        <w:rPr>
          <w:sz w:val="20"/>
          <w:szCs w:val="20"/>
          <w:color w:val="auto"/>
        </w:rPr>
      </w:pPr>
      <w:r>
        <w:rPr>
          <w:rFonts w:ascii="Courier New" w:cs="Courier New" w:eastAsia="Courier New" w:hAnsi="Courier New"/>
          <w:sz w:val="18"/>
          <w:szCs w:val="18"/>
          <w:color w:val="auto"/>
        </w:rPr>
        <w:t>Los Angeles, CA</w:t>
      </w:r>
      <w:r>
        <w:rPr>
          <w:sz w:val="20"/>
          <w:szCs w:val="20"/>
          <w:color w:val="auto"/>
        </w:rPr>
        <w:tab/>
      </w:r>
      <w:r>
        <w:rPr>
          <w:rFonts w:ascii="Courier New" w:cs="Courier New" w:eastAsia="Courier New" w:hAnsi="Courier New"/>
          <w:sz w:val="16"/>
          <w:szCs w:val="16"/>
          <w:color w:val="auto"/>
        </w:rPr>
        <w:t>90071</w:t>
      </w:r>
    </w:p>
    <w:p>
      <w:pPr>
        <w:spacing w:after="0" w:line="200" w:lineRule="exact"/>
        <w:rPr>
          <w:sz w:val="20"/>
          <w:szCs w:val="20"/>
          <w:color w:val="auto"/>
        </w:rPr>
      </w:pPr>
    </w:p>
    <w:p>
      <w:pPr>
        <w:spacing w:after="0"/>
        <w:tabs>
          <w:tab w:leader="none" w:pos="1260" w:val="left"/>
          <w:tab w:leader="none" w:pos="284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Class A Common Stock</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740"/>
        <w:spacing w:after="0" w:line="238" w:lineRule="auto"/>
        <w:rPr>
          <w:sz w:val="20"/>
          <w:szCs w:val="20"/>
          <w:color w:val="auto"/>
        </w:rPr>
      </w:pPr>
      <w:r>
        <w:rPr>
          <w:rFonts w:ascii="Courier New" w:cs="Courier New" w:eastAsia="Courier New" w:hAnsi="Courier New"/>
          <w:sz w:val="18"/>
          <w:szCs w:val="18"/>
          <w:color w:val="auto"/>
        </w:rPr>
        <w:t>810186106</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person(s) filing is(are):</w:t>
      </w:r>
    </w:p>
    <w:p>
      <w:pPr>
        <w:spacing w:after="0" w:line="207" w:lineRule="exact"/>
        <w:rPr>
          <w:sz w:val="20"/>
          <w:szCs w:val="20"/>
          <w:color w:val="auto"/>
        </w:rPr>
      </w:pPr>
    </w:p>
    <w:p>
      <w:pPr>
        <w:ind w:left="1280" w:right="2939" w:hanging="535"/>
        <w:spacing w:after="0" w:line="235" w:lineRule="auto"/>
        <w:tabs>
          <w:tab w:leader="none" w:pos="149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Parent Holding Company in accordance with Section 240.13d-1(b)(1)(ii)(G).</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619"/>
        <w:spacing w:after="0" w:line="238" w:lineRule="auto"/>
        <w:rPr>
          <w:sz w:val="20"/>
          <w:szCs w:val="20"/>
          <w:color w:val="auto"/>
        </w:rPr>
      </w:pPr>
      <w:r>
        <w:rPr>
          <w:rFonts w:ascii="Courier New" w:cs="Courier New" w:eastAsia="Courier New" w:hAnsi="Courier New"/>
          <w:sz w:val="18"/>
          <w:szCs w:val="18"/>
          <w:color w:val="auto"/>
        </w:rPr>
        <w:t>The Capital Group Companies, Inc. is the parent holding company of a group of investment management companies that hold investment power and, in some cases, voting power over the securities reported in this Schedule 13G. The investment management companies, which include a "bank" as defined in Section 3(a)6 of the Securities Exchange Act of 1934 (the "Act") and several investment advisers registered under Section 203 of the Investment Advisers Act of 1940, provide investment advisory and management services for their respective clients which include registered investment companies and institutional accounts. The Capital Group Companies, Inc. does not have investment power or voting power over any of the securities reported herein; however, The Capital Group Companies, Inc. may be deemed to "beneficially own" such securities by virtue of Rule 13d-3 under the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5% or Less of a Class: [X]</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5% on Behalf of Another Person: N/A</w:t>
      </w:r>
    </w:p>
    <w:p>
      <w:pPr>
        <w:sectPr>
          <w:pgSz w:w="11900" w:h="16838" w:orient="portrait"/>
          <w:cols w:equalWidth="0" w:num="1">
            <w:col w:w="10219"/>
          </w:cols>
          <w:pgMar w:left="240" w:top="717" w:right="1440" w:bottom="1440" w:gutter="0" w:footer="0" w:header="0"/>
        </w:sectPr>
      </w:pPr>
    </w:p>
    <w:bookmarkStart w:id="4" w:name="page5"/>
    <w:bookmarkEnd w:id="4"/>
    <w:p>
      <w:pPr>
        <w:spacing w:after="0"/>
        <w:tabs>
          <w:tab w:leader="none" w:pos="940" w:val="left"/>
        </w:tabs>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w:t>
      </w:r>
    </w:p>
    <w:p>
      <w:pPr>
        <w:spacing w:after="0" w:line="4" w:lineRule="exact"/>
        <w:rPr>
          <w:sz w:val="20"/>
          <w:szCs w:val="20"/>
          <w:color w:val="auto"/>
        </w:rPr>
      </w:pPr>
    </w:p>
    <w:p>
      <w:pPr>
        <w:ind w:left="1060" w:right="2619"/>
        <w:spacing w:after="0" w:line="236" w:lineRule="auto"/>
        <w:rPr>
          <w:sz w:val="20"/>
          <w:szCs w:val="20"/>
          <w:color w:val="auto"/>
        </w:rPr>
      </w:pPr>
      <w:r>
        <w:rPr>
          <w:rFonts w:ascii="Courier New" w:cs="Courier New" w:eastAsia="Courier New" w:hAnsi="Courier New"/>
          <w:sz w:val="18"/>
          <w:szCs w:val="18"/>
          <w:color w:val="auto"/>
        </w:rPr>
        <w:t>Capital Guardian Trust Company is a bank as defined in Section 3(a)(6) of the Act and a wholly owned subsidiary of The Capital Group Companies, Inc.</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2.</w:t>
      </w:r>
    </w:p>
    <w:p>
      <w:pPr>
        <w:spacing w:after="0" w:line="4" w:lineRule="exact"/>
        <w:rPr>
          <w:sz w:val="20"/>
          <w:szCs w:val="20"/>
          <w:color w:val="auto"/>
        </w:rPr>
      </w:pPr>
    </w:p>
    <w:p>
      <w:pPr>
        <w:ind w:left="1060" w:right="2739"/>
        <w:spacing w:after="0" w:line="237" w:lineRule="auto"/>
        <w:rPr>
          <w:sz w:val="20"/>
          <w:szCs w:val="20"/>
          <w:color w:val="auto"/>
        </w:rPr>
      </w:pPr>
      <w:r>
        <w:rPr>
          <w:rFonts w:ascii="Courier New" w:cs="Courier New" w:eastAsia="Courier New" w:hAnsi="Courier New"/>
          <w:sz w:val="18"/>
          <w:szCs w:val="18"/>
          <w:color w:val="auto"/>
        </w:rPr>
        <w:t>Capital International Research and Management, Inc. dba Capital International, Inc. is an Investment Adviser registered under Section 203 of the Investment Adviser Act of 1940 and is a wholly owned subsidiary of Capital Group International, Inc. which is a wholly owned subsidiary of The Capital Group Companies, Inc.</w:t>
      </w:r>
    </w:p>
    <w:p>
      <w:pPr>
        <w:spacing w:after="0" w:line="200" w:lineRule="exact"/>
        <w:rPr>
          <w:sz w:val="20"/>
          <w:szCs w:val="20"/>
          <w:color w:val="auto"/>
        </w:rPr>
      </w:pPr>
    </w:p>
    <w:p>
      <w:pPr>
        <w:spacing w:after="0" w:line="207" w:lineRule="exact"/>
        <w:rPr>
          <w:sz w:val="20"/>
          <w:szCs w:val="20"/>
          <w:color w:val="auto"/>
        </w:rPr>
      </w:pPr>
    </w:p>
    <w:p>
      <w:pPr>
        <w:spacing w:after="0"/>
        <w:tabs>
          <w:tab w:leader="none" w:pos="940" w:val="left"/>
          <w:tab w:leader="none" w:pos="72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Members of the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940" w:val="left"/>
          <w:tab w:leader="none" w:pos="48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the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6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5"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10, 1998</w:t>
      </w:r>
    </w:p>
    <w:p>
      <w:pPr>
        <w:spacing w:after="0" w:line="200" w:lineRule="exact"/>
        <w:rPr>
          <w:sz w:val="20"/>
          <w:szCs w:val="20"/>
          <w:color w:val="auto"/>
        </w:rPr>
      </w:pPr>
    </w:p>
    <w:p>
      <w:pPr>
        <w:spacing w:after="0" w:line="204"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*Larry P. Clemmensen</w:t>
      </w:r>
    </w:p>
    <w:p>
      <w:pPr>
        <w:spacing w:after="0" w:line="201"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Larry P. Clemmensen, President</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The Capital Group Companies,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James P. Ryan</w:t>
      </w:r>
    </w:p>
    <w:p>
      <w:pPr>
        <w:ind w:left="1580"/>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7" w:lineRule="exact"/>
        <w:rPr>
          <w:sz w:val="20"/>
          <w:szCs w:val="20"/>
          <w:color w:val="auto"/>
        </w:rPr>
      </w:pPr>
    </w:p>
    <w:p>
      <w:pPr>
        <w:ind w:left="1580" w:right="2739"/>
        <w:spacing w:after="0" w:line="237" w:lineRule="auto"/>
        <w:rPr>
          <w:sz w:val="20"/>
          <w:szCs w:val="20"/>
          <w:color w:val="auto"/>
        </w:rPr>
      </w:pPr>
      <w:r>
        <w:rPr>
          <w:rFonts w:ascii="Courier New" w:cs="Courier New" w:eastAsia="Courier New" w:hAnsi="Courier New"/>
          <w:sz w:val="18"/>
          <w:szCs w:val="18"/>
          <w:color w:val="auto"/>
        </w:rPr>
        <w:t>Signed pursuant to a Power of Attorney dated December 4, 1997 included as an Exhibit to Schedule 13G filed with the Securities and Exchange Commission by The Capital Group Companies, Inc. on December 10, 1997 with respect to Viatel Inc.</w:t>
      </w:r>
    </w:p>
    <w:sectPr>
      <w:pgSz w:w="11900" w:h="16838" w:orient="portrait"/>
      <w:cols w:equalWidth="0" w:num="1">
        <w:col w:w="10219"/>
      </w:cols>
      <w:pgMar w:left="240" w:top="5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bullet"/>
      <w:start w:val="1"/>
    </w:lvl>
  </w:abstractNum>
  <w:abstractNum w:abstractNumId="1">
    <w:nsid w:val="3D1B58BA"/>
    <w:multiLevelType w:val="hybridMultilevel"/>
    <w:lvl w:ilvl="0">
      <w:lvlJc w:val="left"/>
      <w:lvlText w:val="2"/>
      <w:numFmt w:val="bullet"/>
      <w:start w:val="1"/>
    </w:lvl>
  </w:abstractNum>
  <w:abstractNum w:abstractNumId="2">
    <w:nsid w:val="507ED7AB"/>
    <w:multiLevelType w:val="hybridMultilevel"/>
    <w:lvl w:ilvl="0">
      <w:lvlJc w:val="left"/>
      <w:lvlText w:val="3"/>
      <w:numFmt w:val="bullet"/>
      <w:start w:val="1"/>
    </w:lvl>
  </w:abstractNum>
  <w:abstractNum w:abstractNumId="3">
    <w:nsid w:val="2EB141F2"/>
    <w:multiLevelType w:val="hybridMultilevel"/>
    <w:lvl w:ilvl="0">
      <w:lvlJc w:val="left"/>
      <w:lvlText w:val="4"/>
      <w:numFmt w:val="bullet"/>
      <w:start w:val="1"/>
    </w:lvl>
  </w:abstractNum>
  <w:abstractNum w:abstractNumId="4">
    <w:nsid w:val="41B71EFB"/>
    <w:multiLevelType w:val="hybridMultilevel"/>
    <w:lvl w:ilvl="0">
      <w:lvlJc w:val="left"/>
      <w:lvlText w:val="5"/>
      <w:numFmt w:val="bullet"/>
      <w:start w:val="1"/>
    </w:lvl>
  </w:abstractNum>
  <w:abstractNum w:abstractNumId="5">
    <w:nsid w:val="79E2A9E3"/>
    <w:multiLevelType w:val="hybridMultilevel"/>
    <w:lvl w:ilvl="0">
      <w:lvlJc w:val="left"/>
      <w:lvlText w:val="8"/>
      <w:numFmt w:val="bullet"/>
      <w:start w:val="1"/>
    </w:lvl>
  </w:abstractNum>
  <w:abstractNum w:abstractNumId="6">
    <w:nsid w:val="7545E146"/>
    <w:multiLevelType w:val="hybridMultilevel"/>
    <w:lvl w:ilvl="0">
      <w:lvlJc w:val="left"/>
      <w:lvlText w:val="9"/>
      <w:numFmt w:val="bullet"/>
      <w:start w:val="1"/>
    </w:lvl>
  </w:abstractNum>
  <w:abstractNum w:abstractNumId="7">
    <w:nsid w:val="515F007C"/>
    <w:multiLevelType w:val="hybridMultilevel"/>
    <w:lvl w:ilvl="0">
      <w:lvlJc w:val="left"/>
      <w:lvlText w:val="%1"/>
      <w:numFmt w:val="decimal"/>
      <w:start w:val="10"/>
    </w:lvl>
    <w:lvl w:ilvl="1">
      <w:lvlJc w:val="left"/>
      <w:lvlText w:val="*"/>
      <w:numFmt w:val="bullet"/>
      <w:start w:val="1"/>
    </w:lvl>
  </w:abstractNum>
  <w:abstractNum w:abstractNumId="8">
    <w:nsid w:val="5BD062C2"/>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2019-12-19T21:31:01Z</dcterms:created>
  <dcterms:modified xsi:type="dcterms:W3CDTF">2019-12-19T21:31:01Z</dcterms:modified>
</cp:coreProperties>
</file>