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12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29, 2025 </w:t>
      </w:r>
    </w:p>
    <w:p>
      <w:pPr>
        <w:pStyle w:val="TextBody"/>
        <w:bidi w:val="0"/>
        <w:spacing w:lineRule="auto" w:line="288" w:before="12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0" w:after="0"/>
        <w:jc w:val="center"/>
        <w:rPr/>
      </w:pPr>
      <w:r>
        <w:rPr>
          <w:rFonts w:ascii="Times New Roman;sans-serif" w:hAnsi="Times New Roman;sans-serif"/>
          <w:b/>
          <w:color w:val="000000"/>
          <w:sz w:val="20"/>
        </w:rPr>
        <w:t xml:space="preserve">Commission File Number: </w:t>
      </w:r>
      <w:r>
        <w:rPr>
          <w:rFonts w:ascii="Times New Roman;sans-serif" w:hAnsi="Times New Roman;sans-serif"/>
          <w:b w:val="false"/>
          <w:color w:val="000000"/>
          <w:sz w:val="20"/>
        </w:rPr>
        <w:t>001-11593</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p>
      <w:pPr>
        <w:pStyle w:val="TextBody"/>
        <w:bidi w:val="0"/>
        <w:spacing w:lineRule="auto" w:line="288" w:before="100" w:after="283"/>
        <w:jc w:val="center"/>
        <w:rPr>
          <w:rFonts w:ascii="Times New Roman;sans-serif" w:hAnsi="Times New Roman;sans-serif"/>
          <w:b/>
          <w:color w:val="000000"/>
          <w:sz w:val="44"/>
        </w:rPr>
      </w:pPr>
      <w:r>
        <w:rPr>
          <w:rFonts w:ascii="Times New Roman;sans-serif" w:hAnsi="Times New Roman;sans-serif"/>
          <w:b/>
          <w:color w:val="000000"/>
          <w:sz w:val="44"/>
        </w:rPr>
        <w:t>The Scotts Miracle-Gro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tbl>
      <w:tblPr>
        <w:tblW w:w="4179" w:type="dxa"/>
        <w:jc w:val="center"/>
        <w:tblInd w:w="0" w:type="dxa"/>
        <w:tblLayout w:type="fixed"/>
        <w:tblCellMar>
          <w:top w:w="28" w:type="dxa"/>
          <w:left w:w="28" w:type="dxa"/>
          <w:bottom w:w="28" w:type="dxa"/>
          <w:right w:w="28" w:type="dxa"/>
        </w:tblCellMar>
      </w:tblPr>
      <w:tblGrid>
        <w:gridCol w:w="437"/>
        <w:gridCol w:w="385"/>
        <w:gridCol w:w="385"/>
        <w:gridCol w:w="385"/>
        <w:gridCol w:w="385"/>
        <w:gridCol w:w="391"/>
        <w:gridCol w:w="109"/>
        <w:gridCol w:w="109"/>
        <w:gridCol w:w="109"/>
        <w:gridCol w:w="433"/>
        <w:gridCol w:w="433"/>
        <w:gridCol w:w="618"/>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31-1414921</w:t>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14111 Scottslawn Road, Marysville, Ohio 43041 </w:t>
      </w:r>
    </w:p>
    <w:p>
      <w:pPr>
        <w:pStyle w:val="TextBody"/>
        <w:bidi w:val="0"/>
        <w:spacing w:lineRule="auto" w:line="288" w:before="0" w:after="0"/>
        <w:jc w:val="center"/>
        <w:rPr/>
      </w:pPr>
      <w:r>
        <w:rPr>
          <w:rFonts w:ascii="Times New Roman;sans-serif" w:hAnsi="Times New Roman;sans-serif"/>
          <w:b/>
          <w:color w:val="000000"/>
          <w:sz w:val="16"/>
        </w:rPr>
        <w:t>(Address of principal executive offices)</w:t>
      </w:r>
      <w:r>
        <w:rPr>
          <w:color w:val="000000"/>
        </w:rPr>
        <w:t xml:space="preserve"> </w:t>
      </w:r>
      <w:r>
        <w:rPr>
          <w:rFonts w:ascii="Times New Roman;sans-serif" w:hAnsi="Times New Roman;sans-serif"/>
          <w:b/>
          <w:color w:val="000000"/>
          <w:sz w:val="16"/>
        </w:rPr>
        <w:t>(Zip Code)</w:t>
      </w:r>
    </w:p>
    <w:p>
      <w:pPr>
        <w:pStyle w:val="TextBody"/>
        <w:bidi w:val="0"/>
        <w:spacing w:lineRule="auto" w:line="288" w:before="120" w:after="283"/>
        <w:jc w:val="center"/>
        <w:rPr/>
      </w:pPr>
      <w:r>
        <w:rPr>
          <w:rFonts w:ascii="Times New Roman;sans-serif" w:hAnsi="Times New Roman;sans-serif"/>
          <w:b w:val="false"/>
          <w:color w:val="000000"/>
          <w:sz w:val="20"/>
        </w:rPr>
        <w:t>(937</w:t>
      </w:r>
      <w:r>
        <w:rPr>
          <w:rFonts w:ascii="Times New Roman;sans-serif" w:hAnsi="Times New Roman;sans-serif"/>
          <w:b/>
          <w:color w:val="000000"/>
          <w:sz w:val="19"/>
        </w:rPr>
        <w:t xml:space="preserve">) </w:t>
      </w:r>
      <w:r>
        <w:rPr>
          <w:rFonts w:ascii="Times New Roman;sans-serif" w:hAnsi="Times New Roman;sans-serif"/>
          <w:b w:val="false"/>
          <w:color w:val="000000"/>
          <w:sz w:val="20"/>
        </w:rPr>
        <w:t>644-0011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19"/>
        </w:rPr>
      </w:pPr>
      <w:r>
        <w:rPr>
          <w:rFonts w:ascii="Times New Roman;sans-serif" w:hAnsi="Times New Roman;sans-serif"/>
          <w:b/>
          <w:color w:val="000000"/>
          <w:sz w:val="19"/>
        </w:rPr>
        <w:t>Securities registered pursuant to Section 12(b) of the Act:</w:t>
      </w:r>
    </w:p>
    <w:tbl>
      <w:tblPr>
        <w:tblW w:w="8391" w:type="dxa"/>
        <w:jc w:val="center"/>
        <w:tblInd w:w="0" w:type="dxa"/>
        <w:tblLayout w:type="fixed"/>
        <w:tblCellMar>
          <w:top w:w="28" w:type="dxa"/>
          <w:left w:w="28" w:type="dxa"/>
          <w:bottom w:w="28" w:type="dxa"/>
          <w:right w:w="28" w:type="dxa"/>
        </w:tblCellMar>
      </w:tblPr>
      <w:tblGrid>
        <w:gridCol w:w="1086"/>
        <w:gridCol w:w="957"/>
        <w:gridCol w:w="971"/>
        <w:gridCol w:w="109"/>
        <w:gridCol w:w="109"/>
        <w:gridCol w:w="109"/>
        <w:gridCol w:w="484"/>
        <w:gridCol w:w="484"/>
        <w:gridCol w:w="486"/>
        <w:gridCol w:w="109"/>
        <w:gridCol w:w="109"/>
        <w:gridCol w:w="109"/>
        <w:gridCol w:w="956"/>
        <w:gridCol w:w="956"/>
        <w:gridCol w:w="1357"/>
      </w:tblGrid>
      <w:tr>
        <w:trPr/>
        <w:tc>
          <w:tcPr>
            <w:tcW w:w="108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Shares, $0.01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NYSE</w:t>
            </w:r>
          </w:p>
        </w:tc>
      </w:tr>
    </w:tbl>
    <w:p>
      <w:pPr>
        <w:pStyle w:val="TextBody"/>
        <w:bidi w:val="0"/>
        <w:spacing w:lineRule="auto" w:line="288" w:before="100" w:after="283"/>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jc w:val="both"/>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16"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shell company (as defined in Rule 12b-2 of the Exchange Act).  </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of May 2, 2025, there were 57,715,024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43"/>
        <w:gridCol w:w="475"/>
        <w:gridCol w:w="389"/>
        <w:gridCol w:w="2692"/>
        <w:gridCol w:w="2479"/>
        <w:gridCol w:w="2413"/>
        <w:gridCol w:w="386"/>
        <w:gridCol w:w="386"/>
        <w:gridCol w:w="442"/>
      </w:tblGrid>
      <w:tr>
        <w:trPr/>
        <w:tc>
          <w:tcPr>
            <w:tcW w:w="54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br/>
              <w:t>INDEX</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89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0">
              <w:r>
                <w:rPr>
                  <w:rStyle w:val="InternetLink"/>
                  <w:rFonts w:ascii="Times New Roman;sans-serif" w:hAnsi="Times New Roman;sans-serif"/>
                  <w:b w:val="false"/>
                  <w:strike w:val="false"/>
                  <w:dstrike w:val="false"/>
                  <w:color w:val="0000FF"/>
                  <w:sz w:val="20"/>
                  <w:u w:val="none"/>
                  <w:effect w:val="none"/>
                </w:rPr>
                <w:t>PART I. FINANCIAL INFORMATION:</w:t>
              </w:r>
            </w:hyperlink>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3">
              <w:r>
                <w:rPr>
                  <w:rStyle w:val="InternetLink"/>
                  <w:rFonts w:ascii="Times New Roman;sans-serif" w:hAnsi="Times New Roman;sans-serif"/>
                  <w:b w:val="false"/>
                  <w:strike w:val="false"/>
                  <w:dstrike w:val="false"/>
                  <w:color w:val="0000FF"/>
                  <w:sz w:val="20"/>
                  <w:u w:val="none"/>
                  <w:effect w:val="none"/>
                </w:rPr>
                <w:t>Item 1.</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3">
              <w:r>
                <w:rPr>
                  <w:rStyle w:val="InternetLink"/>
                  <w:rFonts w:ascii="Times New Roman;sans-serif" w:hAnsi="Times New Roman;sans-serif"/>
                  <w:b w:val="false"/>
                  <w:color w:val="0000FF"/>
                  <w:sz w:val="20"/>
                  <w:u w:val="single"/>
                </w:rPr>
                <w:t>Financial Statements (Unaudited)</w:t>
              </w:r>
            </w:hyperlink>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6">
              <w:r>
                <w:rPr>
                  <w:rStyle w:val="InternetLink"/>
                  <w:rFonts w:ascii="Times New Roman;sans-serif" w:hAnsi="Times New Roman;sans-serif"/>
                  <w:b w:val="false"/>
                  <w:color w:val="000080"/>
                  <w:sz w:val="20"/>
                  <w:u w:val="single"/>
                </w:rPr>
                <w:t xml:space="preserve">Condensed Consolidated Statements of Operations — Three and </w:t>
              </w:r>
            </w:hyperlink>
            <w:hyperlink w:anchor="iaf48bef3d4d94ebba46dfa10ff8cd17b_16">
              <w:r>
                <w:rPr>
                  <w:rStyle w:val="InternetLink"/>
                  <w:rFonts w:ascii="Times New Roman;sans-serif" w:hAnsi="Times New Roman;sans-serif"/>
                  <w:b w:val="false"/>
                  <w:color w:val="000080"/>
                  <w:sz w:val="20"/>
                  <w:u w:val="single"/>
                </w:rPr>
                <w:t>six</w:t>
              </w:r>
            </w:hyperlink>
            <w:hyperlink w:anchor="iaf48bef3d4d94ebba46dfa10ff8cd17b_16">
              <w:r>
                <w:rPr>
                  <w:rStyle w:val="InternetLink"/>
                  <w:rFonts w:ascii="Times New Roman;sans-serif" w:hAnsi="Times New Roman;sans-serif"/>
                  <w:b w:val="false"/>
                  <w:color w:val="000080"/>
                  <w:sz w:val="20"/>
                  <w:u w:val="single"/>
                </w:rPr>
                <w:t xml:space="preserve"> months ended </w:t>
              </w:r>
            </w:hyperlink>
            <w:hyperlink w:anchor="iaf48bef3d4d94ebba46dfa10ff8cd17b_16">
              <w:r>
                <w:rPr>
                  <w:rStyle w:val="InternetLink"/>
                  <w:rFonts w:ascii="Times New Roman;sans-serif" w:hAnsi="Times New Roman;sans-serif"/>
                  <w:b w:val="false"/>
                  <w:color w:val="000080"/>
                  <w:sz w:val="20"/>
                  <w:u w:val="single"/>
                </w:rPr>
                <w:t xml:space="preserve">March </w:t>
              </w:r>
            </w:hyperlink>
            <w:hyperlink w:anchor="iaf48bef3d4d94ebba46dfa10ff8cd17b_16">
              <w:r>
                <w:rPr>
                  <w:rStyle w:val="InternetLink"/>
                  <w:rFonts w:ascii="Times New Roman;sans-serif" w:hAnsi="Times New Roman;sans-serif"/>
                  <w:b w:val="false"/>
                  <w:color w:val="000080"/>
                  <w:sz w:val="20"/>
                  <w:u w:val="single"/>
                </w:rPr>
                <w:t>29, 202</w:t>
              </w:r>
            </w:hyperlink>
            <w:hyperlink w:anchor="iaf48bef3d4d94ebba46dfa10ff8cd17b_16">
              <w:r>
                <w:rPr>
                  <w:rStyle w:val="InternetLink"/>
                  <w:rFonts w:ascii="Times New Roman;sans-serif" w:hAnsi="Times New Roman;sans-serif"/>
                  <w:b w:val="false"/>
                  <w:color w:val="000080"/>
                  <w:sz w:val="20"/>
                  <w:u w:val="single"/>
                </w:rPr>
                <w:t>5</w:t>
              </w:r>
            </w:hyperlink>
            <w:hyperlink w:anchor="iaf48bef3d4d94ebba46dfa10ff8cd17b_16">
              <w:r>
                <w:rPr>
                  <w:rStyle w:val="InternetLink"/>
                  <w:rFonts w:ascii="Times New Roman;sans-serif" w:hAnsi="Times New Roman;sans-serif"/>
                  <w:b w:val="false"/>
                  <w:color w:val="000080"/>
                  <w:sz w:val="20"/>
                  <w:u w:val="single"/>
                </w:rPr>
                <w:t xml:space="preserve"> and </w:t>
              </w:r>
            </w:hyperlink>
            <w:hyperlink w:anchor="iaf48bef3d4d94ebba46dfa10ff8cd17b_16">
              <w:r>
                <w:rPr>
                  <w:rStyle w:val="InternetLink"/>
                  <w:rFonts w:ascii="Times New Roman;sans-serif" w:hAnsi="Times New Roman;sans-serif"/>
                  <w:b w:val="false"/>
                  <w:color w:val="000080"/>
                  <w:sz w:val="20"/>
                  <w:u w:val="single"/>
                </w:rPr>
                <w:t>March</w:t>
              </w:r>
            </w:hyperlink>
            <w:hyperlink w:anchor="iaf48bef3d4d94ebba46dfa10ff8cd17b_16">
              <w:r>
                <w:rPr>
                  <w:rStyle w:val="InternetLink"/>
                  <w:rFonts w:ascii="Times New Roman;sans-serif" w:hAnsi="Times New Roman;sans-serif"/>
                  <w:b w:val="false"/>
                  <w:color w:val="000080"/>
                  <w:sz w:val="20"/>
                  <w:u w:val="single"/>
                </w:rPr>
                <w:t xml:space="preserve"> </w:t>
              </w:r>
            </w:hyperlink>
            <w:hyperlink w:anchor="iaf48bef3d4d94ebba46dfa10ff8cd17b_16">
              <w:r>
                <w:rPr>
                  <w:rStyle w:val="InternetLink"/>
                  <w:rFonts w:ascii="Times New Roman;sans-serif" w:hAnsi="Times New Roman;sans-serif"/>
                  <w:b w:val="false"/>
                  <w:color w:val="000080"/>
                  <w:sz w:val="20"/>
                  <w:u w:val="single"/>
                </w:rPr>
                <w:t>30</w:t>
              </w:r>
            </w:hyperlink>
            <w:hyperlink w:anchor="iaf48bef3d4d94ebba46dfa10ff8cd17b_16">
              <w:r>
                <w:rPr>
                  <w:rStyle w:val="InternetLink"/>
                  <w:rFonts w:ascii="Times New Roman;sans-serif" w:hAnsi="Times New Roman;sans-serif"/>
                  <w:b w:val="false"/>
                  <w:color w:val="000080"/>
                  <w:sz w:val="20"/>
                  <w:u w:val="single"/>
                </w:rPr>
                <w:t>, 20</w:t>
              </w:r>
            </w:hyperlink>
            <w:hyperlink w:anchor="iaf48bef3d4d94ebba46dfa10ff8cd17b_16">
              <w:r>
                <w:rPr>
                  <w:rStyle w:val="InternetLink"/>
                  <w:rFonts w:ascii="Times New Roman;sans-serif" w:hAnsi="Times New Roman;sans-serif"/>
                  <w:b w:val="false"/>
                  <w:color w:val="000080"/>
                  <w:sz w:val="20"/>
                  <w:u w:val="single"/>
                </w:rPr>
                <w:t>24</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6">
              <w:r>
                <w:rPr>
                  <w:rStyle w:val="InternetLink"/>
                  <w:rFonts w:ascii="Times New Roman;sans-serif" w:hAnsi="Times New Roman;sans-serif"/>
                  <w:b w:val="false"/>
                  <w:color w:val="0000FF"/>
                  <w:sz w:val="20"/>
                  <w:u w:val="single"/>
                </w:rPr>
                <w:t>3</w:t>
              </w:r>
            </w:hyperlink>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9">
              <w:r>
                <w:rPr>
                  <w:rStyle w:val="InternetLink"/>
                  <w:rFonts w:ascii="Times New Roman;sans-serif" w:hAnsi="Times New Roman;sans-serif"/>
                  <w:b w:val="false"/>
                  <w:color w:val="000080"/>
                  <w:sz w:val="20"/>
                  <w:u w:val="single"/>
                </w:rPr>
                <w:t xml:space="preserve">Condensed Consolidated Statements of Comprehensive Income (Loss) — Three and </w:t>
              </w:r>
            </w:hyperlink>
            <w:hyperlink w:anchor="iaf48bef3d4d94ebba46dfa10ff8cd17b_19">
              <w:r>
                <w:rPr>
                  <w:rStyle w:val="InternetLink"/>
                  <w:rFonts w:ascii="Times New Roman;sans-serif" w:hAnsi="Times New Roman;sans-serif"/>
                  <w:b w:val="false"/>
                  <w:color w:val="000080"/>
                  <w:sz w:val="20"/>
                  <w:u w:val="single"/>
                </w:rPr>
                <w:t>six</w:t>
              </w:r>
            </w:hyperlink>
            <w:hyperlink w:anchor="iaf48bef3d4d94ebba46dfa10ff8cd17b_19">
              <w:r>
                <w:rPr>
                  <w:rStyle w:val="InternetLink"/>
                  <w:rFonts w:ascii="Times New Roman;sans-serif" w:hAnsi="Times New Roman;sans-serif"/>
                  <w:b w:val="false"/>
                  <w:color w:val="000080"/>
                  <w:sz w:val="20"/>
                  <w:u w:val="single"/>
                </w:rPr>
                <w:t xml:space="preserve"> months ended </w:t>
              </w:r>
            </w:hyperlink>
            <w:hyperlink w:anchor="iaf48bef3d4d94ebba46dfa10ff8cd17b_19">
              <w:r>
                <w:rPr>
                  <w:rStyle w:val="InternetLink"/>
                  <w:rFonts w:ascii="Times New Roman;sans-serif" w:hAnsi="Times New Roman;sans-serif"/>
                  <w:b w:val="false"/>
                  <w:color w:val="000080"/>
                  <w:sz w:val="20"/>
                  <w:u w:val="single"/>
                </w:rPr>
                <w:t>March</w:t>
              </w:r>
            </w:hyperlink>
            <w:hyperlink w:anchor="iaf48bef3d4d94ebba46dfa10ff8cd17b_19">
              <w:r>
                <w:rPr>
                  <w:rStyle w:val="InternetLink"/>
                  <w:rFonts w:ascii="Times New Roman;sans-serif" w:hAnsi="Times New Roman;sans-serif"/>
                  <w:b w:val="false"/>
                  <w:color w:val="000080"/>
                  <w:sz w:val="20"/>
                  <w:u w:val="single"/>
                </w:rPr>
                <w:t xml:space="preserve"> 29, 202</w:t>
              </w:r>
            </w:hyperlink>
            <w:hyperlink w:anchor="iaf48bef3d4d94ebba46dfa10ff8cd17b_19">
              <w:r>
                <w:rPr>
                  <w:rStyle w:val="InternetLink"/>
                  <w:rFonts w:ascii="Times New Roman;sans-serif" w:hAnsi="Times New Roman;sans-serif"/>
                  <w:b w:val="false"/>
                  <w:color w:val="000080"/>
                  <w:sz w:val="20"/>
                  <w:u w:val="single"/>
                </w:rPr>
                <w:t>5</w:t>
              </w:r>
            </w:hyperlink>
            <w:hyperlink w:anchor="iaf48bef3d4d94ebba46dfa10ff8cd17b_19">
              <w:r>
                <w:rPr>
                  <w:rStyle w:val="InternetLink"/>
                  <w:rFonts w:ascii="Times New Roman;sans-serif" w:hAnsi="Times New Roman;sans-serif"/>
                  <w:b w:val="false"/>
                  <w:color w:val="000080"/>
                  <w:sz w:val="20"/>
                  <w:u w:val="single"/>
                </w:rPr>
                <w:t xml:space="preserve"> and </w:t>
              </w:r>
            </w:hyperlink>
            <w:hyperlink w:anchor="iaf48bef3d4d94ebba46dfa10ff8cd17b_19">
              <w:r>
                <w:rPr>
                  <w:rStyle w:val="InternetLink"/>
                  <w:rFonts w:ascii="Times New Roman;sans-serif" w:hAnsi="Times New Roman;sans-serif"/>
                  <w:b w:val="false"/>
                  <w:color w:val="000080"/>
                  <w:sz w:val="20"/>
                  <w:u w:val="single"/>
                </w:rPr>
                <w:t>March</w:t>
              </w:r>
            </w:hyperlink>
            <w:hyperlink w:anchor="iaf48bef3d4d94ebba46dfa10ff8cd17b_19">
              <w:r>
                <w:rPr>
                  <w:rStyle w:val="InternetLink"/>
                  <w:rFonts w:ascii="Times New Roman;sans-serif" w:hAnsi="Times New Roman;sans-serif"/>
                  <w:b w:val="false"/>
                  <w:color w:val="000080"/>
                  <w:sz w:val="20"/>
                  <w:u w:val="single"/>
                </w:rPr>
                <w:t xml:space="preserve"> </w:t>
              </w:r>
            </w:hyperlink>
            <w:hyperlink w:anchor="iaf48bef3d4d94ebba46dfa10ff8cd17b_19">
              <w:r>
                <w:rPr>
                  <w:rStyle w:val="InternetLink"/>
                  <w:rFonts w:ascii="Times New Roman;sans-serif" w:hAnsi="Times New Roman;sans-serif"/>
                  <w:b w:val="false"/>
                  <w:color w:val="000080"/>
                  <w:sz w:val="20"/>
                  <w:u w:val="single"/>
                </w:rPr>
                <w:t>30</w:t>
              </w:r>
            </w:hyperlink>
            <w:hyperlink w:anchor="iaf48bef3d4d94ebba46dfa10ff8cd17b_19">
              <w:r>
                <w:rPr>
                  <w:rStyle w:val="InternetLink"/>
                  <w:rFonts w:ascii="Times New Roman;sans-serif" w:hAnsi="Times New Roman;sans-serif"/>
                  <w:b w:val="false"/>
                  <w:color w:val="000080"/>
                  <w:sz w:val="20"/>
                  <w:u w:val="single"/>
                </w:rPr>
                <w:t>, 202</w:t>
              </w:r>
            </w:hyperlink>
            <w:hyperlink w:anchor="iaf48bef3d4d94ebba46dfa10ff8cd17b_19">
              <w:r>
                <w:rPr>
                  <w:rStyle w:val="InternetLink"/>
                  <w:rFonts w:ascii="Times New Roman;sans-serif" w:hAnsi="Times New Roman;sans-serif"/>
                  <w:b w:val="false"/>
                  <w:color w:val="000080"/>
                  <w:sz w:val="20"/>
                  <w:u w:val="single"/>
                </w:rPr>
                <w:t>4</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9">
              <w:r>
                <w:rPr>
                  <w:rStyle w:val="InternetLink"/>
                  <w:rFonts w:ascii="Times New Roman;sans-serif" w:hAnsi="Times New Roman;sans-serif"/>
                  <w:b w:val="false"/>
                  <w:color w:val="0000FF"/>
                  <w:sz w:val="20"/>
                  <w:u w:val="single"/>
                </w:rPr>
                <w:t>4</w:t>
              </w:r>
            </w:hyperlink>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25">
              <w:r>
                <w:rPr>
                  <w:rStyle w:val="InternetLink"/>
                  <w:rFonts w:ascii="Times New Roman;sans-serif" w:hAnsi="Times New Roman;sans-serif"/>
                  <w:b w:val="false"/>
                  <w:color w:val="000080"/>
                  <w:sz w:val="20"/>
                  <w:u w:val="single"/>
                </w:rPr>
                <w:t>Condensed Consolidated Statements of Cash Flows —</w:t>
              </w:r>
            </w:hyperlink>
            <w:hyperlink w:anchor="iaf48bef3d4d94ebba46dfa10ff8cd17b_25">
              <w:r>
                <w:rPr>
                  <w:rStyle w:val="InternetLink"/>
                  <w:rFonts w:ascii="Times New Roman;sans-serif" w:hAnsi="Times New Roman;sans-serif"/>
                  <w:b w:val="false"/>
                  <w:color w:val="000080"/>
                  <w:sz w:val="20"/>
                  <w:u w:val="single"/>
                </w:rPr>
                <w:t xml:space="preserve"> </w:t>
              </w:r>
            </w:hyperlink>
            <w:hyperlink w:anchor="iaf48bef3d4d94ebba46dfa10ff8cd17b_25">
              <w:r>
                <w:rPr>
                  <w:rStyle w:val="InternetLink"/>
                  <w:rFonts w:ascii="Times New Roman;sans-serif" w:hAnsi="Times New Roman;sans-serif"/>
                  <w:b w:val="false"/>
                  <w:color w:val="000080"/>
                  <w:sz w:val="20"/>
                  <w:u w:val="single"/>
                </w:rPr>
                <w:t>Six</w:t>
              </w:r>
            </w:hyperlink>
            <w:hyperlink w:anchor="iaf48bef3d4d94ebba46dfa10ff8cd17b_25">
              <w:r>
                <w:rPr>
                  <w:rStyle w:val="InternetLink"/>
                  <w:rFonts w:ascii="Times New Roman;sans-serif" w:hAnsi="Times New Roman;sans-serif"/>
                  <w:b w:val="false"/>
                  <w:color w:val="000080"/>
                  <w:sz w:val="20"/>
                  <w:u w:val="single"/>
                </w:rPr>
                <w:t xml:space="preserve"> months ended </w:t>
              </w:r>
            </w:hyperlink>
            <w:hyperlink w:anchor="iaf48bef3d4d94ebba46dfa10ff8cd17b_25">
              <w:r>
                <w:rPr>
                  <w:rStyle w:val="InternetLink"/>
                  <w:rFonts w:ascii="Times New Roman;sans-serif" w:hAnsi="Times New Roman;sans-serif"/>
                  <w:b w:val="false"/>
                  <w:color w:val="000080"/>
                  <w:sz w:val="20"/>
                  <w:u w:val="single"/>
                </w:rPr>
                <w:t>M</w:t>
              </w:r>
            </w:hyperlink>
            <w:hyperlink w:anchor="iaf48bef3d4d94ebba46dfa10ff8cd17b_25">
              <w:r>
                <w:rPr>
                  <w:rStyle w:val="InternetLink"/>
                  <w:rFonts w:ascii="Times New Roman;sans-serif" w:hAnsi="Times New Roman;sans-serif"/>
                  <w:b w:val="false"/>
                  <w:color w:val="000080"/>
                  <w:sz w:val="20"/>
                  <w:u w:val="single"/>
                </w:rPr>
                <w:t>arch</w:t>
              </w:r>
            </w:hyperlink>
            <w:hyperlink w:anchor="iaf48bef3d4d94ebba46dfa10ff8cd17b_25">
              <w:r>
                <w:rPr>
                  <w:rStyle w:val="InternetLink"/>
                  <w:rFonts w:ascii="Times New Roman;sans-serif" w:hAnsi="Times New Roman;sans-serif"/>
                  <w:b w:val="false"/>
                  <w:color w:val="000080"/>
                  <w:sz w:val="20"/>
                  <w:u w:val="single"/>
                </w:rPr>
                <w:t xml:space="preserve"> 29, 202</w:t>
              </w:r>
            </w:hyperlink>
            <w:hyperlink w:anchor="iaf48bef3d4d94ebba46dfa10ff8cd17b_25">
              <w:r>
                <w:rPr>
                  <w:rStyle w:val="InternetLink"/>
                  <w:rFonts w:ascii="Times New Roman;sans-serif" w:hAnsi="Times New Roman;sans-serif"/>
                  <w:b w:val="false"/>
                  <w:color w:val="000080"/>
                  <w:sz w:val="20"/>
                  <w:u w:val="single"/>
                </w:rPr>
                <w:t>5</w:t>
              </w:r>
            </w:hyperlink>
            <w:hyperlink w:anchor="iaf48bef3d4d94ebba46dfa10ff8cd17b_25">
              <w:r>
                <w:rPr>
                  <w:rStyle w:val="InternetLink"/>
                  <w:rFonts w:ascii="Times New Roman;sans-serif" w:hAnsi="Times New Roman;sans-serif"/>
                  <w:b w:val="false"/>
                  <w:color w:val="000080"/>
                  <w:sz w:val="20"/>
                  <w:u w:val="single"/>
                </w:rPr>
                <w:t xml:space="preserve"> and </w:t>
              </w:r>
            </w:hyperlink>
            <w:hyperlink w:anchor="iaf48bef3d4d94ebba46dfa10ff8cd17b_25">
              <w:r>
                <w:rPr>
                  <w:rStyle w:val="InternetLink"/>
                  <w:rFonts w:ascii="Times New Roman;sans-serif" w:hAnsi="Times New Roman;sans-serif"/>
                  <w:b w:val="false"/>
                  <w:color w:val="000080"/>
                  <w:sz w:val="20"/>
                  <w:u w:val="single"/>
                </w:rPr>
                <w:t>March 30</w:t>
              </w:r>
            </w:hyperlink>
            <w:hyperlink w:anchor="iaf48bef3d4d94ebba46dfa10ff8cd17b_25">
              <w:r>
                <w:rPr>
                  <w:rStyle w:val="InternetLink"/>
                  <w:rFonts w:ascii="Times New Roman;sans-serif" w:hAnsi="Times New Roman;sans-serif"/>
                  <w:b w:val="false"/>
                  <w:color w:val="000080"/>
                  <w:sz w:val="20"/>
                  <w:u w:val="single"/>
                </w:rPr>
                <w:t>, 20</w:t>
              </w:r>
            </w:hyperlink>
            <w:hyperlink w:anchor="iaf48bef3d4d94ebba46dfa10ff8cd17b_25">
              <w:r>
                <w:rPr>
                  <w:rStyle w:val="InternetLink"/>
                  <w:rFonts w:ascii="Times New Roman;sans-serif" w:hAnsi="Times New Roman;sans-serif"/>
                  <w:b w:val="false"/>
                  <w:color w:val="000080"/>
                  <w:sz w:val="20"/>
                  <w:u w:val="single"/>
                </w:rPr>
                <w:t>24</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25">
              <w:r>
                <w:rPr>
                  <w:rStyle w:val="InternetLink"/>
                  <w:rFonts w:ascii="Times New Roman;sans-serif" w:hAnsi="Times New Roman;sans-serif"/>
                  <w:b w:val="false"/>
                  <w:color w:val="0000FF"/>
                  <w:sz w:val="20"/>
                  <w:u w:val="single"/>
                </w:rPr>
                <w:t>5</w:t>
              </w:r>
            </w:hyperlink>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28">
              <w:r>
                <w:rPr>
                  <w:rStyle w:val="InternetLink"/>
                  <w:rFonts w:ascii="Times New Roman;sans-serif" w:hAnsi="Times New Roman;sans-serif"/>
                  <w:b w:val="false"/>
                  <w:color w:val="000080"/>
                  <w:sz w:val="20"/>
                  <w:u w:val="single"/>
                </w:rPr>
                <w:t>Condensed Consolidated Balance Sheets</w:t>
              </w:r>
            </w:hyperlink>
            <w:hyperlink w:anchor="iaf48bef3d4d94ebba46dfa10ff8cd17b_28">
              <w:r>
                <w:rPr>
                  <w:rStyle w:val="InternetLink"/>
                  <w:rFonts w:ascii="Times New Roman;sans-serif" w:hAnsi="Times New Roman;sans-serif"/>
                  <w:b w:val="false"/>
                  <w:color w:val="000080"/>
                  <w:sz w:val="20"/>
                  <w:u w:val="single"/>
                </w:rPr>
                <w:t xml:space="preserve"> </w:t>
              </w:r>
            </w:hyperlink>
            <w:hyperlink w:anchor="iaf48bef3d4d94ebba46dfa10ff8cd17b_28">
              <w:r>
                <w:rPr>
                  <w:rStyle w:val="InternetLink"/>
                  <w:rFonts w:ascii="Times New Roman;sans-serif" w:hAnsi="Times New Roman;sans-serif"/>
                  <w:b w:val="false"/>
                  <w:color w:val="000080"/>
                  <w:sz w:val="20"/>
                  <w:u w:val="single"/>
                </w:rPr>
                <w:t>—</w:t>
              </w:r>
            </w:hyperlink>
            <w:hyperlink w:anchor="iaf48bef3d4d94ebba46dfa10ff8cd17b_28">
              <w:r>
                <w:rPr>
                  <w:rStyle w:val="InternetLink"/>
                  <w:rFonts w:ascii="Times New Roman;sans-serif" w:hAnsi="Times New Roman;sans-serif"/>
                  <w:b w:val="false"/>
                  <w:color w:val="000080"/>
                  <w:sz w:val="20"/>
                  <w:u w:val="single"/>
                </w:rPr>
                <w:t>March 29</w:t>
              </w:r>
            </w:hyperlink>
            <w:hyperlink w:anchor="iaf48bef3d4d94ebba46dfa10ff8cd17b_19">
              <w:r>
                <w:rPr>
                  <w:rStyle w:val="InternetLink"/>
                  <w:rFonts w:ascii="Times New Roman;sans-serif" w:hAnsi="Times New Roman;sans-serif"/>
                  <w:b w:val="false"/>
                  <w:color w:val="000080"/>
                  <w:sz w:val="20"/>
                  <w:u w:val="single"/>
                </w:rPr>
                <w:t>, 202</w:t>
              </w:r>
            </w:hyperlink>
            <w:hyperlink w:anchor="iaf48bef3d4d94ebba46dfa10ff8cd17b_19">
              <w:r>
                <w:rPr>
                  <w:rStyle w:val="InternetLink"/>
                  <w:rFonts w:ascii="Times New Roman;sans-serif" w:hAnsi="Times New Roman;sans-serif"/>
                  <w:b w:val="false"/>
                  <w:color w:val="000080"/>
                  <w:sz w:val="20"/>
                  <w:u w:val="single"/>
                </w:rPr>
                <w:t>5</w:t>
              </w:r>
            </w:hyperlink>
            <w:hyperlink w:anchor="iaf48bef3d4d94ebba46dfa10ff8cd17b_19">
              <w:r>
                <w:rPr>
                  <w:rStyle w:val="InternetLink"/>
                  <w:rFonts w:ascii="Times New Roman;sans-serif" w:hAnsi="Times New Roman;sans-serif"/>
                  <w:b w:val="false"/>
                  <w:color w:val="000080"/>
                  <w:sz w:val="20"/>
                  <w:u w:val="single"/>
                </w:rPr>
                <w:t xml:space="preserve">, </w:t>
              </w:r>
            </w:hyperlink>
            <w:hyperlink w:anchor="iaf48bef3d4d94ebba46dfa10ff8cd17b_19">
              <w:r>
                <w:rPr>
                  <w:rStyle w:val="InternetLink"/>
                  <w:rFonts w:ascii="Times New Roman;sans-serif" w:hAnsi="Times New Roman;sans-serif"/>
                  <w:b w:val="false"/>
                  <w:color w:val="000080"/>
                  <w:sz w:val="20"/>
                  <w:u w:val="single"/>
                </w:rPr>
                <w:t>March 30</w:t>
              </w:r>
            </w:hyperlink>
            <w:hyperlink w:anchor="iaf48bef3d4d94ebba46dfa10ff8cd17b_19">
              <w:r>
                <w:rPr>
                  <w:rStyle w:val="InternetLink"/>
                  <w:rFonts w:ascii="Times New Roman;sans-serif" w:hAnsi="Times New Roman;sans-serif"/>
                  <w:b w:val="false"/>
                  <w:color w:val="000080"/>
                  <w:sz w:val="20"/>
                  <w:u w:val="single"/>
                </w:rPr>
                <w:t>, 202</w:t>
              </w:r>
            </w:hyperlink>
            <w:hyperlink w:anchor="iaf48bef3d4d94ebba46dfa10ff8cd17b_19">
              <w:r>
                <w:rPr>
                  <w:rStyle w:val="InternetLink"/>
                  <w:rFonts w:ascii="Times New Roman;sans-serif" w:hAnsi="Times New Roman;sans-serif"/>
                  <w:b w:val="false"/>
                  <w:color w:val="000080"/>
                  <w:sz w:val="20"/>
                  <w:u w:val="single"/>
                </w:rPr>
                <w:t>4</w:t>
              </w:r>
            </w:hyperlink>
            <w:hyperlink w:anchor="iaf48bef3d4d94ebba46dfa10ff8cd17b_19">
              <w:r>
                <w:rPr>
                  <w:rStyle w:val="InternetLink"/>
                  <w:rFonts w:ascii="Times New Roman;sans-serif" w:hAnsi="Times New Roman;sans-serif"/>
                  <w:b w:val="false"/>
                  <w:color w:val="000080"/>
                  <w:sz w:val="20"/>
                  <w:u w:val="single"/>
                </w:rPr>
                <w:t xml:space="preserve"> </w:t>
              </w:r>
            </w:hyperlink>
            <w:hyperlink w:anchor="iaf48bef3d4d94ebba46dfa10ff8cd17b_28">
              <w:r>
                <w:rPr>
                  <w:rStyle w:val="InternetLink"/>
                  <w:rFonts w:ascii="Times New Roman;sans-serif" w:hAnsi="Times New Roman;sans-serif"/>
                  <w:b w:val="false"/>
                  <w:color w:val="000080"/>
                  <w:sz w:val="20"/>
                  <w:u w:val="single"/>
                </w:rPr>
                <w:t>and September 30, 20</w:t>
              </w:r>
            </w:hyperlink>
            <w:hyperlink w:anchor="iaf48bef3d4d94ebba46dfa10ff8cd17b_28">
              <w:r>
                <w:rPr>
                  <w:rStyle w:val="InternetLink"/>
                  <w:rFonts w:ascii="Times New Roman;sans-serif" w:hAnsi="Times New Roman;sans-serif"/>
                  <w:b w:val="false"/>
                  <w:color w:val="000080"/>
                  <w:sz w:val="20"/>
                  <w:u w:val="single"/>
                </w:rPr>
                <w:t>24</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28">
              <w:r>
                <w:rPr>
                  <w:rStyle w:val="InternetLink"/>
                  <w:rFonts w:ascii="Times New Roman;sans-serif" w:hAnsi="Times New Roman;sans-serif"/>
                  <w:b w:val="false"/>
                  <w:color w:val="0000FF"/>
                  <w:sz w:val="20"/>
                  <w:u w:val="single"/>
                </w:rPr>
                <w:t>6</w:t>
              </w:r>
            </w:hyperlink>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34">
              <w:r>
                <w:rPr>
                  <w:rStyle w:val="InternetLink"/>
                  <w:rFonts w:ascii="Times New Roman;sans-serif" w:hAnsi="Times New Roman;sans-serif"/>
                  <w:b w:val="false"/>
                  <w:color w:val="0000FF"/>
                  <w:sz w:val="20"/>
                  <w:u w:val="single"/>
                </w:rPr>
                <w:t>Notes to Condensed Consolidated Financial Statements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34">
              <w:r>
                <w:rPr>
                  <w:rStyle w:val="InternetLink"/>
                  <w:rFonts w:ascii="Times New Roman;sans-serif" w:hAnsi="Times New Roman;sans-serif"/>
                  <w:b w:val="false"/>
                  <w:color w:val="0000FF"/>
                  <w:sz w:val="20"/>
                  <w:u w:val="single"/>
                </w:rPr>
                <w:t>7</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12">
              <w:r>
                <w:rPr>
                  <w:rStyle w:val="InternetLink"/>
                  <w:rFonts w:ascii="Times New Roman;sans-serif" w:hAnsi="Times New Roman;sans-serif"/>
                  <w:b w:val="false"/>
                  <w:strike w:val="false"/>
                  <w:dstrike w:val="false"/>
                  <w:color w:val="0000FF"/>
                  <w:sz w:val="20"/>
                  <w:u w:val="none"/>
                  <w:effect w:val="none"/>
                </w:rPr>
                <w:t>Item 2.</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1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12">
              <w:r>
                <w:rPr>
                  <w:rStyle w:val="InternetLink"/>
                  <w:rFonts w:ascii="Times New Roman;sans-serif" w:hAnsi="Times New Roman;sans-serif"/>
                  <w:b w:val="false"/>
                  <w:color w:val="0000FF"/>
                  <w:sz w:val="20"/>
                  <w:u w:val="single"/>
                </w:rPr>
                <w:t>27</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33">
              <w:r>
                <w:rPr>
                  <w:rStyle w:val="InternetLink"/>
                  <w:rFonts w:ascii="Times New Roman;sans-serif" w:hAnsi="Times New Roman;sans-serif"/>
                  <w:b w:val="false"/>
                  <w:strike w:val="false"/>
                  <w:dstrike w:val="false"/>
                  <w:color w:val="0000FF"/>
                  <w:sz w:val="20"/>
                  <w:u w:val="none"/>
                  <w:effect w:val="none"/>
                </w:rPr>
                <w:t>Item 3.</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33">
              <w:r>
                <w:rPr>
                  <w:rStyle w:val="InternetLink"/>
                  <w:rFonts w:ascii="Times New Roman;sans-serif" w:hAnsi="Times New Roman;sans-serif"/>
                  <w:b w:val="false"/>
                  <w:color w:val="0000FF"/>
                  <w:sz w:val="20"/>
                  <w:u w:val="single"/>
                </w:rPr>
                <w:t>Quantitative and Qualitative Disclosures About Market Risk</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33">
              <w:r>
                <w:rPr>
                  <w:rStyle w:val="InternetLink"/>
                  <w:rFonts w:ascii="Times New Roman;sans-serif" w:hAnsi="Times New Roman;sans-serif"/>
                  <w:b w:val="false"/>
                  <w:color w:val="0000FF"/>
                  <w:sz w:val="20"/>
                  <w:u w:val="single"/>
                </w:rPr>
                <w:t>42</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36">
              <w:r>
                <w:rPr>
                  <w:rStyle w:val="InternetLink"/>
                  <w:rFonts w:ascii="Times New Roman;sans-serif" w:hAnsi="Times New Roman;sans-serif"/>
                  <w:b w:val="false"/>
                  <w:strike w:val="false"/>
                  <w:dstrike w:val="false"/>
                  <w:color w:val="0000FF"/>
                  <w:sz w:val="20"/>
                  <w:u w:val="none"/>
                  <w:effect w:val="none"/>
                </w:rPr>
                <w:t>Item 4.</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36">
              <w:r>
                <w:rPr>
                  <w:rStyle w:val="InternetLink"/>
                  <w:rFonts w:ascii="Times New Roman;sans-serif" w:hAnsi="Times New Roman;sans-serif"/>
                  <w:b w:val="false"/>
                  <w:color w:val="0000FF"/>
                  <w:sz w:val="20"/>
                  <w:u w:val="single"/>
                </w:rPr>
                <w:t>Controls and Procedures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36">
              <w:r>
                <w:rPr>
                  <w:rStyle w:val="InternetLink"/>
                  <w:rFonts w:ascii="Times New Roman;sans-serif" w:hAnsi="Times New Roman;sans-serif"/>
                  <w:b w:val="false"/>
                  <w:color w:val="0000FF"/>
                  <w:sz w:val="20"/>
                  <w:u w:val="single"/>
                </w:rPr>
                <w:t>42</w:t>
              </w:r>
            </w:hyperlink>
          </w:p>
        </w:tc>
      </w:tr>
      <w:tr>
        <w:trPr/>
        <w:tc>
          <w:tcPr>
            <w:tcW w:w="8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39">
              <w:r>
                <w:rPr>
                  <w:rStyle w:val="InternetLink"/>
                  <w:rFonts w:ascii="Times New Roman;sans-serif" w:hAnsi="Times New Roman;sans-serif"/>
                  <w:b w:val="false"/>
                  <w:strike w:val="false"/>
                  <w:dstrike w:val="false"/>
                  <w:color w:val="0000FF"/>
                  <w:sz w:val="20"/>
                  <w:u w:val="none"/>
                  <w:effect w:val="none"/>
                </w:rPr>
                <w:t>PART II. OTHER INFORMATION:</w:t>
              </w:r>
            </w:hyperlink>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42">
              <w:r>
                <w:rPr>
                  <w:rStyle w:val="InternetLink"/>
                  <w:rFonts w:ascii="Times New Roman;sans-serif" w:hAnsi="Times New Roman;sans-serif"/>
                  <w:b w:val="false"/>
                  <w:strike w:val="false"/>
                  <w:dstrike w:val="false"/>
                  <w:color w:val="0000FF"/>
                  <w:sz w:val="20"/>
                  <w:u w:val="none"/>
                  <w:effect w:val="none"/>
                </w:rPr>
                <w:t>Item 1.</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42">
              <w:r>
                <w:rPr>
                  <w:rStyle w:val="InternetLink"/>
                  <w:rFonts w:ascii="Times New Roman;sans-serif" w:hAnsi="Times New Roman;sans-serif"/>
                  <w:b w:val="false"/>
                  <w:color w:val="0000FF"/>
                  <w:sz w:val="20"/>
                  <w:u w:val="single"/>
                </w:rPr>
                <w:t>Legal Proceedings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42">
              <w:r>
                <w:rPr>
                  <w:rStyle w:val="InternetLink"/>
                  <w:rFonts w:ascii="Times New Roman;sans-serif" w:hAnsi="Times New Roman;sans-serif"/>
                  <w:b w:val="false"/>
                  <w:color w:val="0000FF"/>
                  <w:sz w:val="20"/>
                  <w:u w:val="single"/>
                </w:rPr>
                <w:t>43</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45">
              <w:r>
                <w:rPr>
                  <w:rStyle w:val="InternetLink"/>
                  <w:rFonts w:ascii="Times New Roman;sans-serif" w:hAnsi="Times New Roman;sans-serif"/>
                  <w:b w:val="false"/>
                  <w:strike w:val="false"/>
                  <w:dstrike w:val="false"/>
                  <w:color w:val="0000FF"/>
                  <w:sz w:val="20"/>
                  <w:u w:val="none"/>
                  <w:effect w:val="none"/>
                </w:rPr>
                <w:t>Item 1A.</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45">
              <w:r>
                <w:rPr>
                  <w:rStyle w:val="InternetLink"/>
                  <w:rFonts w:ascii="Times New Roman;sans-serif" w:hAnsi="Times New Roman;sans-serif"/>
                  <w:b w:val="false"/>
                  <w:color w:val="0000FF"/>
                  <w:sz w:val="20"/>
                  <w:u w:val="single"/>
                </w:rPr>
                <w:t>Risk Factors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45">
              <w:r>
                <w:rPr>
                  <w:rStyle w:val="InternetLink"/>
                  <w:rFonts w:ascii="Times New Roman;sans-serif" w:hAnsi="Times New Roman;sans-serif"/>
                  <w:b w:val="false"/>
                  <w:color w:val="0000FF"/>
                  <w:sz w:val="20"/>
                  <w:u w:val="single"/>
                </w:rPr>
                <w:t>43</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48">
              <w:r>
                <w:rPr>
                  <w:rStyle w:val="InternetLink"/>
                  <w:rFonts w:ascii="Times New Roman;sans-serif" w:hAnsi="Times New Roman;sans-serif"/>
                  <w:b w:val="false"/>
                  <w:strike w:val="false"/>
                  <w:dstrike w:val="false"/>
                  <w:color w:val="0000FF"/>
                  <w:sz w:val="20"/>
                  <w:u w:val="none"/>
                  <w:effect w:val="none"/>
                </w:rPr>
                <w:t>Item 2.</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48">
              <w:r>
                <w:rPr>
                  <w:rStyle w:val="InternetLink"/>
                  <w:rFonts w:ascii="Times New Roman;sans-serif" w:hAnsi="Times New Roman;sans-serif"/>
                  <w:b w:val="false"/>
                  <w:color w:val="0000FF"/>
                  <w:sz w:val="20"/>
                  <w:u w:val="single"/>
                </w:rPr>
                <w:t>Unregistered Sales of Equity Securities and Use of Proceeds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51">
              <w:r>
                <w:rPr>
                  <w:rStyle w:val="InternetLink"/>
                  <w:rFonts w:ascii="Times New Roman;sans-serif" w:hAnsi="Times New Roman;sans-serif"/>
                  <w:b w:val="false"/>
                  <w:color w:val="0000FF"/>
                  <w:sz w:val="20"/>
                  <w:u w:val="single"/>
                </w:rPr>
                <w:t>44</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51">
              <w:r>
                <w:rPr>
                  <w:rStyle w:val="InternetLink"/>
                  <w:rFonts w:ascii="Times New Roman;sans-serif" w:hAnsi="Times New Roman;sans-serif"/>
                  <w:b w:val="false"/>
                  <w:strike w:val="false"/>
                  <w:dstrike w:val="false"/>
                  <w:color w:val="0000FF"/>
                  <w:sz w:val="20"/>
                  <w:u w:val="none"/>
                  <w:effect w:val="none"/>
                </w:rPr>
                <w:t>Item 3.</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51">
              <w:r>
                <w:rPr>
                  <w:rStyle w:val="InternetLink"/>
                  <w:rFonts w:ascii="Times New Roman;sans-serif" w:hAnsi="Times New Roman;sans-serif"/>
                  <w:b w:val="false"/>
                  <w:color w:val="0000FF"/>
                  <w:sz w:val="20"/>
                  <w:u w:val="single"/>
                </w:rPr>
                <w:t>Defaults Upon Senior Securities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51">
              <w:r>
                <w:rPr>
                  <w:rStyle w:val="InternetLink"/>
                  <w:rFonts w:ascii="Times New Roman;sans-serif" w:hAnsi="Times New Roman;sans-serif"/>
                  <w:b w:val="false"/>
                  <w:color w:val="0000FF"/>
                  <w:sz w:val="20"/>
                  <w:u w:val="single"/>
                </w:rPr>
                <w:t>44</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54">
              <w:r>
                <w:rPr>
                  <w:rStyle w:val="InternetLink"/>
                  <w:rFonts w:ascii="Times New Roman;sans-serif" w:hAnsi="Times New Roman;sans-serif"/>
                  <w:b w:val="false"/>
                  <w:strike w:val="false"/>
                  <w:dstrike w:val="false"/>
                  <w:color w:val="0000FF"/>
                  <w:sz w:val="20"/>
                  <w:u w:val="none"/>
                  <w:effect w:val="none"/>
                </w:rPr>
                <w:t>Item 4.</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54">
              <w:r>
                <w:rPr>
                  <w:rStyle w:val="InternetLink"/>
                  <w:rFonts w:ascii="Times New Roman;sans-serif" w:hAnsi="Times New Roman;sans-serif"/>
                  <w:b w:val="false"/>
                  <w:color w:val="0000FF"/>
                  <w:sz w:val="20"/>
                  <w:u w:val="single"/>
                </w:rPr>
                <w:t>Mine Safety Disclosures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54">
              <w:r>
                <w:rPr>
                  <w:rStyle w:val="InternetLink"/>
                  <w:rFonts w:ascii="Times New Roman;sans-serif" w:hAnsi="Times New Roman;sans-serif"/>
                  <w:b w:val="false"/>
                  <w:color w:val="0000FF"/>
                  <w:sz w:val="20"/>
                  <w:u w:val="single"/>
                </w:rPr>
                <w:t>44</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57">
              <w:r>
                <w:rPr>
                  <w:rStyle w:val="InternetLink"/>
                  <w:rFonts w:ascii="Times New Roman;sans-serif" w:hAnsi="Times New Roman;sans-serif"/>
                  <w:b w:val="false"/>
                  <w:strike w:val="false"/>
                  <w:dstrike w:val="false"/>
                  <w:color w:val="0000FF"/>
                  <w:sz w:val="20"/>
                  <w:u w:val="none"/>
                  <w:effect w:val="none"/>
                </w:rPr>
                <w:t>Item 5.</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57">
              <w:r>
                <w:rPr>
                  <w:rStyle w:val="InternetLink"/>
                  <w:rFonts w:ascii="Times New Roman;sans-serif" w:hAnsi="Times New Roman;sans-serif"/>
                  <w:b w:val="false"/>
                  <w:color w:val="0000FF"/>
                  <w:sz w:val="20"/>
                  <w:u w:val="single"/>
                </w:rPr>
                <w:t>Other Information</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57">
              <w:r>
                <w:rPr>
                  <w:rStyle w:val="InternetLink"/>
                  <w:rFonts w:ascii="Times New Roman;sans-serif" w:hAnsi="Times New Roman;sans-serif"/>
                  <w:b w:val="false"/>
                  <w:color w:val="0000FF"/>
                  <w:sz w:val="20"/>
                  <w:u w:val="single"/>
                </w:rPr>
                <w:t>44</w:t>
              </w:r>
            </w:hyperlink>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63">
              <w:r>
                <w:rPr>
                  <w:rStyle w:val="InternetLink"/>
                  <w:rFonts w:ascii="Times New Roman;sans-serif" w:hAnsi="Times New Roman;sans-serif"/>
                  <w:b w:val="false"/>
                  <w:strike w:val="false"/>
                  <w:dstrike w:val="false"/>
                  <w:color w:val="0000FF"/>
                  <w:sz w:val="20"/>
                  <w:u w:val="none"/>
                  <w:effect w:val="none"/>
                </w:rPr>
                <w:t>Item 6.</w:t>
              </w:r>
            </w:hyperlink>
          </w:p>
        </w:tc>
        <w:tc>
          <w:tcPr>
            <w:tcW w:w="7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63">
              <w:r>
                <w:rPr>
                  <w:rStyle w:val="InternetLink"/>
                  <w:rFonts w:ascii="Times New Roman;sans-serif" w:hAnsi="Times New Roman;sans-serif"/>
                  <w:b w:val="false"/>
                  <w:color w:val="0000FF"/>
                  <w:sz w:val="20"/>
                  <w:u w:val="single"/>
                </w:rPr>
                <w:t>Exhibits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63">
              <w:r>
                <w:rPr>
                  <w:rStyle w:val="InternetLink"/>
                  <w:rFonts w:ascii="Times New Roman;sans-serif" w:hAnsi="Times New Roman;sans-serif"/>
                  <w:b w:val="false"/>
                  <w:color w:val="0000FF"/>
                  <w:sz w:val="20"/>
                  <w:u w:val="single"/>
                </w:rPr>
                <w:t>44</w:t>
              </w:r>
            </w:hyperlink>
          </w:p>
        </w:tc>
      </w:tr>
      <w:tr>
        <w:trPr/>
        <w:tc>
          <w:tcPr>
            <w:tcW w:w="89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66">
              <w:r>
                <w:rPr>
                  <w:rStyle w:val="InternetLink"/>
                  <w:rFonts w:ascii="Times New Roman;sans-serif" w:hAnsi="Times New Roman;sans-serif"/>
                  <w:b w:val="false"/>
                  <w:color w:val="0000FF"/>
                  <w:sz w:val="20"/>
                  <w:u w:val="single"/>
                </w:rPr>
                <w:t>Index to Exhibits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66">
              <w:r>
                <w:rPr>
                  <w:rStyle w:val="InternetLink"/>
                  <w:rFonts w:ascii="Times New Roman;sans-serif" w:hAnsi="Times New Roman;sans-serif"/>
                  <w:b w:val="false"/>
                  <w:color w:val="0000FF"/>
                  <w:sz w:val="20"/>
                  <w:u w:val="single"/>
                </w:rPr>
                <w:t>45</w:t>
              </w:r>
            </w:hyperlink>
          </w:p>
        </w:tc>
      </w:tr>
      <w:tr>
        <w:trPr/>
        <w:tc>
          <w:tcPr>
            <w:tcW w:w="89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169">
              <w:r>
                <w:rPr>
                  <w:rStyle w:val="InternetLink"/>
                  <w:rFonts w:ascii="Times New Roman;sans-serif" w:hAnsi="Times New Roman;sans-serif"/>
                  <w:b w:val="false"/>
                  <w:color w:val="0000FF"/>
                  <w:sz w:val="20"/>
                  <w:u w:val="single"/>
                </w:rPr>
                <w:t>Signatures</w:t>
              </w:r>
            </w:hyperlink>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8bef3d4d94ebba46dfa10ff8cd17b_169">
              <w:r>
                <w:rPr>
                  <w:rStyle w:val="InternetLink"/>
                  <w:rFonts w:ascii="Times New Roman;sans-serif" w:hAnsi="Times New Roman;sans-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34"/>
        <w:gridCol w:w="1453"/>
        <w:gridCol w:w="144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93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 plus dilutive potential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61"/>
        <w:gridCol w:w="1606"/>
        <w:gridCol w:w="162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4"/>
        <w:gridCol w:w="520"/>
        <w:gridCol w:w="110"/>
        <w:gridCol w:w="109"/>
        <w:gridCol w:w="109"/>
        <w:gridCol w:w="109"/>
        <w:gridCol w:w="158"/>
      </w:tblGrid>
      <w:tr>
        <w:trPr/>
        <w:tc>
          <w:tcPr>
            <w:tcW w:w="186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0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derivative instruments, net of tax</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unrealized gain on derivative instruments to net income,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securities,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adjustments,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78" w:type="dxa"/>
        <w:jc w:val="center"/>
        <w:tblInd w:w="0" w:type="dxa"/>
        <w:tblLayout w:type="fixed"/>
        <w:tblCellMar>
          <w:top w:w="28" w:type="dxa"/>
          <w:left w:w="28" w:type="dxa"/>
          <w:bottom w:w="28" w:type="dxa"/>
          <w:right w:w="28" w:type="dxa"/>
        </w:tblCellMar>
      </w:tblPr>
      <w:tblGrid>
        <w:gridCol w:w="2289"/>
        <w:gridCol w:w="2010"/>
        <w:gridCol w:w="2016"/>
        <w:gridCol w:w="211"/>
        <w:gridCol w:w="616"/>
        <w:gridCol w:w="109"/>
        <w:gridCol w:w="109"/>
        <w:gridCol w:w="109"/>
        <w:gridCol w:w="109"/>
        <w:gridCol w:w="217"/>
        <w:gridCol w:w="525"/>
        <w:gridCol w:w="158"/>
      </w:tblGrid>
      <w:tr>
        <w:trPr/>
        <w:tc>
          <w:tcPr>
            <w:tcW w:w="228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and bank lines of credit and term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and bank lines of credit and term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exercise of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8"/>
        <w:gridCol w:w="1941"/>
        <w:gridCol w:w="1898"/>
        <w:gridCol w:w="211"/>
        <w:gridCol w:w="766"/>
        <w:gridCol w:w="109"/>
        <w:gridCol w:w="109"/>
        <w:gridCol w:w="109"/>
        <w:gridCol w:w="109"/>
        <w:gridCol w:w="211"/>
        <w:gridCol w:w="766"/>
        <w:gridCol w:w="109"/>
        <w:gridCol w:w="109"/>
        <w:gridCol w:w="109"/>
        <w:gridCol w:w="109"/>
        <w:gridCol w:w="216"/>
        <w:gridCol w:w="786"/>
        <w:gridCol w:w="160"/>
      </w:tblGrid>
      <w:tr>
        <w:trPr/>
        <w:tc>
          <w:tcPr>
            <w:tcW w:w="237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$22.6, $18.2 and $9.6,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$827.5, $791.4 and $805.4,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 (DEFICIT)</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(deficit):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and capital in excess of $0.01 stated value per share; shares outstanding of 57.7, 56.8 and 57.1,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 10.5, 11.4 and 11.0 shares,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(deficit)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8698" w:type="dxa"/>
        <w:jc w:val="left"/>
        <w:tblInd w:w="0" w:type="dxa"/>
        <w:tblLayout w:type="fixed"/>
        <w:tblCellMar>
          <w:top w:w="28" w:type="dxa"/>
          <w:left w:w="28" w:type="dxa"/>
          <w:bottom w:w="28" w:type="dxa"/>
          <w:right w:w="28" w:type="dxa"/>
        </w:tblCellMar>
      </w:tblPr>
      <w:tblGrid>
        <w:gridCol w:w="310"/>
        <w:gridCol w:w="272"/>
        <w:gridCol w:w="274"/>
        <w:gridCol w:w="2488"/>
        <w:gridCol w:w="2488"/>
        <w:gridCol w:w="249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NOTES TO CONDENSED CONSOLIDATED FINANCIAL STATEMENTS (UNAUDITED)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Nature of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North America consumer lawn and garden business is highly seasonal, with more than 75% of its annual net sales occurring in the second and third fiscal quarters. The Company’s Hawthorne segment is also impacted by seasonal sales patterns for certain product categories due to the timing of growing patterns in North America during the second and third fiscal quarters, and the timing of certain controlled agricultural lighting project sales during the third and fourth fiscal quarters.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Organization and Basis of Presentation</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for the three and six months ended March 29, 2025 and March 30, 2024 are presented in accordance with accounting principles generally accepted in the United States of America (“GAAP”). The condensed consolidated financial statements include the accounts of Scotts Miracle-Gro and its consolidated subsidiaries. All intercompany transactions and accounts have been eliminated in consolidation. The Company consolidates all majority-owned subsidiaries and variable interest entities where the Company has been determined to be the primary beneficiary.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14, 2025, the Company sold all of the issued and outstanding shares of capital stock of its formerly wholly-owned subsidiary The Hawthorne Collective, Inc. (“THC”) to Bad Dog Holdings LLC (“BDH”) in exchange for a promissory note with a principal amount of $39.0. BDH is a newly formed legal entity owned and controlled by a strategic partner of the Company that is intended to hold and manage the investments held by THC. THC was created during fiscal 2021 as a vehicle to invest in areas of the cannabis industry that are not pursued by the Company’s Hawthorne segment. At the time of the sale, THC held non-voting exchangeable shares of Fluent Corp. (formerly Cansortium Inc.) (“Fluent”) (CSE: FNT.U) (OTCQB: CNTMF), a vertically-integrated, multi-state cannabis company, and other minority non-equity investments with a total book value of $39.0. BDH granted the Company a call option that enables the Company to reacquire all of the issued and outstanding shares of capital stock of THC in exchange for canceling the principal amount of the promissory note and making an additional payment to BDH equal to 5% of any appreciation in the fair value of THC. The Company may exercise the call option in its sole and absolute discretion, until the earlier of (i) March 14, 2035 and (ii) the date of the consummation of a merger, change in control or consolidation of BDH; or a sale, lease, transfer, exclusive license or other disposition of all or substantially all of the assets of BDH. The Company also granted BDH a put option providing BDH with the right to cause the Company to reacquire all the issued and outstanding shares of capital stock of THC in exchange for canceling the principal amount of the promissory note. The Company has determined that it has a variable interest in BDH, primarily due to the put and call options, and that BDH is a variable interest entity. Additionally, based on its assessment of the characteristics of its variable interest in BDH, including the involvement of its de facto agents, the Company has determined it is the primary beneficiary of BDH and, as a result, is required to consolidate BDH in its condensed consolidated financial statements. As of March 29, 2025, BDH had assets of $10.7 and $28.3 recorded in the “Investment in unconsolidated affiliates” and “Other assets” lines in the Condensed Consolidated Balance Sheets, respectively, and total liabilities of $39.0 associated with the promissory note due to the Company, which is eliminated in consolidation.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March 29, 2025 (this “Form 10-Q”) should be read in conjunction with Scotts Miracle-Gro’s Annual Report on Form 10-K for the fiscal year ended September 30, 2024 (the “2024 Annual Report”), which includes a complete set of footnote disclosures, including the Company’s significant accounting policies.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Condensed Consolidated Balance Sheet at September 30, 2024 has been derived from the Company’s audited Consolidated Balance Sheet at that date, but does not include all of the information and footnotes required by GAAP for complete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Accounts Receivable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27, 2023, the Company entered into the Master Receivables Purchase Agreement, under which the Company could sell up to $600.0 of available and eligible outstanding customer accounts receivable generated by sales to four specified customers. On September 1, 2024, the Company amended the Master Receivables Purchase Agreement to permit the Company to sell up to $750.0 of available and eligible outstanding customer accounts receivable generated by sales to five specified customers. The agreement is uncommitted and expires on September 1, 2025. The receivable sales are non-recourse to the Company, other than with respect to (i) repurchase obligations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The Company records the discount on sales in the “Other expense, net” line in the Condensed Consolidated Statements of Operations. At March 29, 2025, March 30, 2024 and September 30, 2024, net receivables derecognized were $598.2, $582.8 and $186.6, respectively. During the three months ended March 29, 2025 and March 30, 2024, proceeds from the sale of receivables under the Master Receivables Purchase Agreement totaled $748.2 and $758.2, respectively, and the total discount recorded on sales was $7.9 and $10.7, respectively. During the six months ended March 29, 2025 and March 30, 2024, proceeds from the sale of receivables under the Master Receivables Purchase Agreement totaled $1,022.2 and $955.5, respectively, and the total discount recorded on sales was $11.2 and $12.9, respectively.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Supplier Finance Program</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were $32.5, $38.5 and $12.5 at March 29, 2025, March 30, 2024 and September 30, 2024, respectively, and are recorded within accounts payable in the Condensed Consolidated Balance Sheets. The associated payments were $155.4 and $153.0 for the six months ended March 29, 2025 and March 30, 2024, respectively, and are classified as operating activities in the Condensed Consolidated Statements of Cash Flows.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Long-Lived Assets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non-cash investing activities of $6.2 and $10.1 during the six months ended March 29, 2025 and March 30, 2024, respectively, representing unpaid liabilities to acquire property, plant and equipment.</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Statements of Cash Flows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information was as follows: </w:t>
      </w:r>
    </w:p>
    <w:tbl>
      <w:tblPr>
        <w:tblW w:w="4901" w:type="dxa"/>
        <w:jc w:val="left"/>
        <w:tblInd w:w="0" w:type="dxa"/>
        <w:tblLayout w:type="fixed"/>
        <w:tblCellMar>
          <w:top w:w="28" w:type="dxa"/>
          <w:left w:w="28" w:type="dxa"/>
          <w:bottom w:w="28" w:type="dxa"/>
          <w:right w:w="28" w:type="dxa"/>
        </w:tblCellMar>
      </w:tblPr>
      <w:tblGrid>
        <w:gridCol w:w="1021"/>
        <w:gridCol w:w="895"/>
        <w:gridCol w:w="903"/>
        <w:gridCol w:w="217"/>
        <w:gridCol w:w="526"/>
        <w:gridCol w:w="112"/>
        <w:gridCol w:w="109"/>
        <w:gridCol w:w="109"/>
        <w:gridCol w:w="109"/>
        <w:gridCol w:w="217"/>
        <w:gridCol w:w="525"/>
        <w:gridCol w:w="158"/>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27" w:type="dxa"/>
            <w:gridSpan w:val="6"/>
            <w:tcBorders/>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(refunded), net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30, 2024, the Company acquired an additional equity interest in Bonnie Plants, LLC for $21.4, which was classified as an investing activity in the Condensed Consolidated Statements of Cash Flows.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RECENTLY ISSUED ACCOUNTING PRONOUNCEMENTS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No. 2023-07, “Segment Reporting (Topic 280): Improvements to Reportable Segment Disclosures.”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and is effective for the Company’s fiscal year beginning October 1, 2024, and for interim periods within the Company’s fiscal year beginning October 1, 2025, with early adoption permitted. The Company is currently evaluating the impact that the adoption of this guidance will have on the Company’s disclosures.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ASU No. 2023-09 is to be applied prospectively, with the option to apply the standard retrospectively, effective for fiscal years beginning after December 15, 2024. The Company is currently evaluating the impact that the adoption of this guidance will have on the Company’s disclosures.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FASB issued ASU No. 2024-03, “Income Statement — Reporting Comprehensive Income — Expense Disaggregation Disclosures (Subtopic 220-40): Disaggregation of Income Statement Expenses.” This ASU requires disaggregated disclosures on an annual and interim basis, in the notes to the financial statements, of certain categories of expenses that are included in expense line items on the face of the statement of operations. ASU No. 2024-03 is to be applied prospectively, with the option to apply the standard retrospectively, effective for fiscal years beginning after December 15, 2026, and interim periods within fiscal years beginning after December 15, 2027. The Company is currently evaluating the impact that the adoption of this guidance will have on the Company’s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2. INVESTMENT IN UNCONSOLIDATED AFFILIATES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Bonnie Plants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a 50% equity interest in Bonnie Plants, LLC, a joint venture with Alabama Farmers Cooperative, Inc. (“AFC”) focused on planting, growing, developing, distributing, marketing and selling live plants.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On November 7, 2023, the Company purchased an additional 5% equity interest in Bonnie Plants, LLC from AFC for $21.4, which restored its total equity interest back to 50%. The Company’s interest is accounted for using the equity method of accounting, with the Company’s proportionate share of Bonnie Plants, LLC earnings reflected in the Condensed Consolidated Statements of Operations.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March 29, 2025, the Company recorded equity in loss of unconsolidated affiliates associated with Bonnie Plants, LLC of $5.9 and $15.8, respectively, compared to $7.0 and $29.5 during the three and six months ended March 30, 2024, respectively. During the three and six months ended March 30, 2024, the Company recorded a pre-tax impairment charge of $0.0 and $10.4, respectively, associated with its investment in Bonnie Plants, LLC in the “Equity in loss of unconsolidated affiliates” line in the Condensed Consolidated Statements of Operations.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Fluent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19, 2024, Fluent acquired all of the issued and outstanding common shares of RIV Capital Inc. (“RIV Capital”) in exchange for Fluent shares (the “Transaction”). In connection with the Transaction, Fluent and THC entered into an exchange and protection agreement on December 18, 2024, pursuant to which THC exchanged its existing convertible debt investment in RIV Capital for 153.1 million non-voting exchangeable shares of Fluent. These exchangeable shares are convertible, at THC’s discretion, into approximately 23% of the common shares of Fluent. The exchange and protection agreement prohibits THC from converting the exchangeable shares into common shares above a defined 19.99% threshold unless and until Fluent has received the shareholder approval required by the Canadian Stock Exchange. THC and Fluent also entered into an investor rights agreement which allows THC to nominate up to two members to the Fluent board of directors, and provides THC with certain participation rights in order to maintain its pro rata investment position in Fluent in connection with any offering of Fluent shares.</w:t>
      </w:r>
    </w:p>
    <w:p>
      <w:pPr>
        <w:pStyle w:val="TextBody"/>
        <w:bidi w:val="0"/>
        <w:spacing w:before="16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THC’s convertible debt investment in RIV Capital, which was previously recorded in the “Other assets” line in the Condensed Consolidated Balance Sheets, had a carrying value of $17.7 on December 18, 2024. The exchange of the RIV Capital convertible debt investment for non-voting exchangeable shares of Fluent, a non-cash investing and financing activity, resulted in a loss of $7.0 that was recorded in the “Impairment, restructuring and other” line in the Condensed Consolidated Statements of Operations during the three months ended December 28, 2024.</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THC’s interest in Fluent had an initial fair value of $10.7 and is recorded in the “Investment in unconsolidated affiliates” line in the Condensed Consolidated Balance Sheets. The estimated fair value of the non-voting exchangeable shares of Fluent was determined based upon the quoted market price of Fluent common shares as of the date of the exchange and represents a Level 2 nonrecurring fair value measurement. This investment is accounted for using the equity method of accounting, with THC’s proportionate share of Fluent earnings subsequent to December 18, 2024 reflected in the Condensed Consolidated Statements of Operations on a one quarter lag.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 SUMMARY OF SIGNIFICANT ACCOUNTING POLICIES” for further details related to the Company’s sale of THC to BDH on March 14, 2025. BDH is a variable interest entity that is consolidated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3. IMPAIRMENT, RESTRUCTURING AND 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tbl>
      <w:tblPr>
        <w:tblW w:w="9276" w:type="dxa"/>
        <w:jc w:val="left"/>
        <w:tblInd w:w="0" w:type="dxa"/>
        <w:tblLayout w:type="fixed"/>
        <w:tblCellMar>
          <w:top w:w="28" w:type="dxa"/>
          <w:left w:w="28" w:type="dxa"/>
          <w:bottom w:w="28" w:type="dxa"/>
          <w:right w:w="28" w:type="dxa"/>
        </w:tblCellMar>
      </w:tblPr>
      <w:tblGrid>
        <w:gridCol w:w="1750"/>
        <w:gridCol w:w="1538"/>
        <w:gridCol w:w="1542"/>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591" w:type="dxa"/>
            <w:gridSpan w:val="18"/>
            <w:tcBorders/>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expenses—impairment, restructuring and other:</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(recoveries), net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exchange of convertible debt investment</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liabilities associated with restructuring activities during the six months ended March 29, 2025:</w:t>
      </w:r>
    </w:p>
    <w:tbl>
      <w:tblPr>
        <w:tblW w:w="4266" w:type="dxa"/>
        <w:jc w:val="left"/>
        <w:tblInd w:w="0" w:type="dxa"/>
        <w:tblLayout w:type="fixed"/>
        <w:tblCellMar>
          <w:top w:w="28" w:type="dxa"/>
          <w:left w:w="28" w:type="dxa"/>
          <w:bottom w:w="28" w:type="dxa"/>
          <w:right w:w="28" w:type="dxa"/>
        </w:tblCellMar>
      </w:tblPr>
      <w:tblGrid>
        <w:gridCol w:w="1226"/>
        <w:gridCol w:w="1080"/>
        <w:gridCol w:w="1084"/>
        <w:gridCol w:w="211"/>
        <w:gridCol w:w="51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March 29,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29, 2025, restructuring accruals include $4.9 that is classified as long-term.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March 29, 2025, the Company incurred employee and executive severance charges of $3.6 in the “Cost of sales—impairment, restructuring and other” line in the Condensed Consolidated Statements of Operations and $5.4 and $14.9, respectively, in the “Impairment, restructuring and other” line in the Condensed Consolidated Statements of Operations. The Company incurred charges of $3.0 in its U.S. Consumer segment and $0.6 in its Hawthorne segment in the “Cost of sales—impairment, restructuring and other” line in the Condensed Consolidated Statements of Operations during the three and six months ended March 29, 2025. The Company incurred charges of $3.3 in its U.S. Consumer segment and $2.1 and $11.6 at Corporate in the “Impairment, restructuring and other” line in the Condensed Consolidated Statements of Operations during the three and six months ended March 29, 2025,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March 29, 2025, the Company incurred a non-cash loss of $0.0 and $7.0, respectively, in the “Impairment, restructuring and other” line in the Condensed Consolidated Statements of Operations related to the exchange of its convertible debt investment in RIV Capital for non-voting exchangeable shares of Fluent. Refer to “NOTE 2. INVESTMENT IN UNCONSOLIDATED AFFILIATES”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The Company also accelerated the reduction of certain Hawthorne inventory, primarily lighting, growing environments and hardware products, to reduce on hand inventory to align with the reduced network capacity. The Company incurred costs of $2.3 and $3.7 in its U.S. Consumer segment and $1.4 and $5.1 in its Hawthorne segment associated with this restructuring initiative in the “Cost of sales—impairment, restructuring and other” line in the Condensed Consolidated Statements of Operations during the three and six months ended March 29, 2025, respectively. During the three and six months ended March 30, 2024, the Company incurred costs of $77.0 and $73.2, respectively, associated with this restructuring initiative primarily related to inventory write-down charges, employee termination benefits, facility closure costs and impairment of right-of-use assets and property, plant and equipment. The Company recorded recoveries of $0.5 and incurred costs of $1.4 in its U.S. Consumer segment and incurred costs of $75.4 and $67.8 in its Hawthorne segment in the “Cost of sales—impairment, restructuring and other” line in the Condensed Consolidated Statements of Operations during the three and six months ended March 30, 2024, respectively. The Company recorded recoveries of $0.1 and $0.9 in its U.S. Consumer segment and incurred costs of $1.9 and $2.3 in its Hawthorne segment and $0.0 and $2.4 at Corporate in the “Impairment, restructuring and other” line in the Condensed Consolidated Statements of Operations during the three and six months ended March 30, 2024, respectively. Costs incurred since the inception of this restructuring initiative through March 29, 2025 were $302.3 for the Hawthorne segment, $62.0 for the U.S. Consumer segment, $2.9 for the Other segment and $25.1 for Corporate.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March 30, 2024, the Company recorded a gain of $0.0 and $12.1, respectively,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INVENTORIES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for each of the periods presented:</w:t>
      </w:r>
    </w:p>
    <w:tbl>
      <w:tblPr>
        <w:tblW w:w="5571" w:type="dxa"/>
        <w:jc w:val="left"/>
        <w:tblInd w:w="0" w:type="dxa"/>
        <w:tblLayout w:type="fixed"/>
        <w:tblCellMar>
          <w:top w:w="28" w:type="dxa"/>
          <w:left w:w="28" w:type="dxa"/>
          <w:bottom w:w="28" w:type="dxa"/>
          <w:right w:w="28" w:type="dxa"/>
        </w:tblCellMar>
      </w:tblPr>
      <w:tblGrid>
        <w:gridCol w:w="714"/>
        <w:gridCol w:w="571"/>
        <w:gridCol w:w="575"/>
        <w:gridCol w:w="211"/>
        <w:gridCol w:w="616"/>
        <w:gridCol w:w="109"/>
        <w:gridCol w:w="109"/>
        <w:gridCol w:w="109"/>
        <w:gridCol w:w="109"/>
        <w:gridCol w:w="211"/>
        <w:gridCol w:w="616"/>
        <w:gridCol w:w="109"/>
        <w:gridCol w:w="109"/>
        <w:gridCol w:w="109"/>
        <w:gridCol w:w="109"/>
        <w:gridCol w:w="255"/>
        <w:gridCol w:w="744"/>
        <w:gridCol w:w="186"/>
      </w:tblGrid>
      <w:tr>
        <w:trPr/>
        <w:tc>
          <w:tcPr>
            <w:tcW w:w="7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5. MARKETING AGREEMENT</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Scotts Company LLC (“Scotts LLC”) is the exclusive agent of Monsanto Company, a subsidiary of Bayer AG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business, subject to reduction pursuant to the Third Restated Agreement for any program year in which the Program EBIT does not equal or exceed $36.0.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Unless Monsanto terminates the Third Restated Agreement due to an event of default by the Company, termination rights under the Third Restated Agreement include the following: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Company may terminate the Third Restated Agreement upon the insolvency or bankruptcy of Monsanto;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the lawn and garden market (a “Brand Decommissioning Termination”);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Each party may terminate the Third Restated Agreement if Program EBIT falls below $50.0 and, in such case, no termination fee would be payable to either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elements of the net commission and reimbursements earned under the Third Restated Agreement and included in the “Net sales” line in the Condensed Consolidated Statements of Operations are as follows:</w:t>
      </w:r>
    </w:p>
    <w:tbl>
      <w:tblPr>
        <w:tblW w:w="9891" w:type="dxa"/>
        <w:jc w:val="left"/>
        <w:tblInd w:w="0" w:type="dxa"/>
        <w:tblLayout w:type="fixed"/>
        <w:tblCellMar>
          <w:top w:w="28" w:type="dxa"/>
          <w:left w:w="28" w:type="dxa"/>
          <w:bottom w:w="28" w:type="dxa"/>
          <w:right w:w="28" w:type="dxa"/>
        </w:tblCellMar>
      </w:tblPr>
      <w:tblGrid>
        <w:gridCol w:w="1973"/>
        <w:gridCol w:w="1732"/>
        <w:gridCol w:w="1740"/>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591" w:type="dxa"/>
            <w:gridSpan w:val="18"/>
            <w:tcBorders/>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commission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expenses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commission</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Reimbursements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net sales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DEBT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debt are as follows:</w:t>
      </w:r>
    </w:p>
    <w:tbl>
      <w:tblPr>
        <w:tblW w:w="7146" w:type="dxa"/>
        <w:jc w:val="left"/>
        <w:tblInd w:w="0" w:type="dxa"/>
        <w:tblLayout w:type="fixed"/>
        <w:tblCellMar>
          <w:top w:w="28" w:type="dxa"/>
          <w:left w:w="28" w:type="dxa"/>
          <w:bottom w:w="28" w:type="dxa"/>
          <w:right w:w="28" w:type="dxa"/>
        </w:tblCellMar>
      </w:tblPr>
      <w:tblGrid>
        <w:gridCol w:w="1134"/>
        <w:gridCol w:w="997"/>
        <w:gridCol w:w="1004"/>
        <w:gridCol w:w="211"/>
        <w:gridCol w:w="766"/>
        <w:gridCol w:w="109"/>
        <w:gridCol w:w="109"/>
        <w:gridCol w:w="109"/>
        <w:gridCol w:w="109"/>
        <w:gridCol w:w="211"/>
        <w:gridCol w:w="766"/>
        <w:gridCol w:w="109"/>
        <w:gridCol w:w="109"/>
        <w:gridCol w:w="109"/>
        <w:gridCol w:w="109"/>
        <w:gridCol w:w="221"/>
        <w:gridCol w:w="803"/>
        <w:gridCol w:w="161"/>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925"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of up to $100.0. The terms of the Sixth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Sixth A&amp;R Credit Agreement, loans bear interest, at the Company’s election, at a rate per annum equal to either (i) the Alternate Base Rate plus the Applicable Spread (all,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the Company entered into Amendment No. 1 to the Sixth A&amp;R Credit Agreement (“Amendment No. 1”).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the Company entered into Amendment No. 2 to the Sixth A&amp;R Credit Agreement (“Amendment No. 2”). Amendment No. 2 (i) reduces the revolving loan commitments by $250.0; (ii) increases the maximum permitted leverage ratio for the quarterly leverage covenant until the earlier of (a) October 1, 2025 and (b) subject to certain conditions specified in Amendment No. 2, the termination by the Company of such adjustment (such period,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the Company’s intellectual property (subject to certain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restricted payments in an aggregate amount not to exceed $25.0. Amendment No. 2 also subjects the Company’s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29, 2025, the Company had letters of credit outstanding in the aggregate principal amount of $83.1, and had $821.9 of borrowing availability under the Sixth A&amp;R Credit Agreement. The weighted average interest rates on average borrowings under the credit facilities, excluding the impact of interest rate swaps, were 7.8% and 8.9% for the six months ended March 29, 2025 and March 30, 2024,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Amendment No. 2 (“Adjusted EBITDA”). Pursuant to Amendment No. 2, the maximum permitted leverage ratio is (i) 5.25 for the second quarter of fiscal 2025, (ii) 5.00 for the third quarter of fiscal 2025, (iii) 4.75 for the fourth quarter of fiscal 2025 and (iv) 4.50 for the first quarter of fiscal 2026 and thereafter. The Company’s leverage ratio was 4.41 at March 29, 2025. Pursuant to Amendment No. 2, the Sixth A&amp;R Credit Agreement also contains an affirmative covenant regarding the Company’s fixed charge coverage ratio determined as of the end of each of its fiscal quarters, calculated as Adjusted EBITDA minus capital expenditures and expense for taxes paid in cash, divided by the sum of interest expense plus restricted payments, as described in Amendment No. 2. The minimum required fixed charge coverage ratio is 1.00. The Company’s fixed charge coverage ratio was 1.45 for the twelve months ended March 29, 2025.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29, 2025, the Company was in compliance with all applicable covenants in the agreements governing its debt. Based on the Company’s projections of its financial performance for the twelve-month period subsequent to the date of the filing of this Form 10-Q,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March 29, 2025, the Company’s indebtedness under the Sixth A&amp;R Credit Agreement and Senior Notes was $2,545.0. The Company does not have sufficient cash on hand or available liquidity that can be utilized to repay these outstanding amounts in the event of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 (collectively, the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4.17 for the twelve months ended March 29, 2025.</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March 29, 2025, March 30, 2024 and September 30, 2024 had a maximum total U.S. dollar equivalent notional amount of $450.0, $700.0 and $450.0, respectively. The notional amount, effective date, expiration date and rate of each of the swap agreements outstanding at March 29, 2025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(b)Notional amount adjusts in accordance with a specified seasonal schedule. This represents the maximum notional amount at any point in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Weighted Average Interest Rate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interest rates on the Company’s debt, including the impact of interest rate swaps, were 5.5% and 5.9% for the six months ended March 29, 2025 and March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7. EQUITY (DEFICIT)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the changes in equity (deficit) for each of the periods indicated:</w:t>
      </w:r>
    </w:p>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28, 2024</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29, 2025</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30, 2023</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30, 2024</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Accumulated Other Comprehensive Loss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(“AOCL”) by component were as follows for each of the periods indicated:</w:t>
      </w:r>
    </w:p>
    <w:tbl>
      <w:tblPr>
        <w:tblW w:w="10205" w:type="dxa"/>
        <w:jc w:val="left"/>
        <w:tblInd w:w="0" w:type="dxa"/>
        <w:tblLayout w:type="fixed"/>
        <w:tblCellMar>
          <w:top w:w="28" w:type="dxa"/>
          <w:left w:w="28" w:type="dxa"/>
          <w:bottom w:w="28" w:type="dxa"/>
          <w:right w:w="28" w:type="dxa"/>
        </w:tblCellMar>
      </w:tblPr>
      <w:tblGrid>
        <w:gridCol w:w="1091"/>
        <w:gridCol w:w="598"/>
        <w:gridCol w:w="602"/>
        <w:gridCol w:w="109"/>
        <w:gridCol w:w="109"/>
        <w:gridCol w:w="109"/>
        <w:gridCol w:w="287"/>
        <w:gridCol w:w="719"/>
        <w:gridCol w:w="150"/>
        <w:gridCol w:w="109"/>
        <w:gridCol w:w="109"/>
        <w:gridCol w:w="109"/>
        <w:gridCol w:w="292"/>
        <w:gridCol w:w="706"/>
        <w:gridCol w:w="152"/>
        <w:gridCol w:w="109"/>
        <w:gridCol w:w="109"/>
        <w:gridCol w:w="109"/>
        <w:gridCol w:w="236"/>
        <w:gridCol w:w="640"/>
        <w:gridCol w:w="122"/>
        <w:gridCol w:w="109"/>
        <w:gridCol w:w="109"/>
        <w:gridCol w:w="109"/>
        <w:gridCol w:w="380"/>
        <w:gridCol w:w="950"/>
        <w:gridCol w:w="199"/>
        <w:gridCol w:w="109"/>
        <w:gridCol w:w="109"/>
        <w:gridCol w:w="109"/>
        <w:gridCol w:w="305"/>
        <w:gridCol w:w="911"/>
        <w:gridCol w:w="230"/>
      </w:tblGrid>
      <w:tr>
        <w:trPr/>
        <w:tc>
          <w:tcPr>
            <w:tcW w:w="109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tbl>
      <w:tblPr>
        <w:tblW w:w="10205" w:type="dxa"/>
        <w:jc w:val="left"/>
        <w:tblInd w:w="0" w:type="dxa"/>
        <w:tblLayout w:type="fixed"/>
        <w:tblCellMar>
          <w:top w:w="28" w:type="dxa"/>
          <w:left w:w="28" w:type="dxa"/>
          <w:bottom w:w="28" w:type="dxa"/>
          <w:right w:w="28" w:type="dxa"/>
        </w:tblCellMar>
      </w:tblPr>
      <w:tblGrid>
        <w:gridCol w:w="1067"/>
        <w:gridCol w:w="611"/>
        <w:gridCol w:w="613"/>
        <w:gridCol w:w="109"/>
        <w:gridCol w:w="109"/>
        <w:gridCol w:w="109"/>
        <w:gridCol w:w="287"/>
        <w:gridCol w:w="719"/>
        <w:gridCol w:w="150"/>
        <w:gridCol w:w="109"/>
        <w:gridCol w:w="109"/>
        <w:gridCol w:w="109"/>
        <w:gridCol w:w="292"/>
        <w:gridCol w:w="706"/>
        <w:gridCol w:w="152"/>
        <w:gridCol w:w="109"/>
        <w:gridCol w:w="109"/>
        <w:gridCol w:w="109"/>
        <w:gridCol w:w="236"/>
        <w:gridCol w:w="640"/>
        <w:gridCol w:w="122"/>
        <w:gridCol w:w="109"/>
        <w:gridCol w:w="109"/>
        <w:gridCol w:w="109"/>
        <w:gridCol w:w="380"/>
        <w:gridCol w:w="950"/>
        <w:gridCol w:w="199"/>
        <w:gridCol w:w="109"/>
        <w:gridCol w:w="109"/>
        <w:gridCol w:w="109"/>
        <w:gridCol w:w="305"/>
        <w:gridCol w:w="911"/>
        <w:gridCol w:w="230"/>
      </w:tblGrid>
      <w:tr>
        <w:trPr/>
        <w:tc>
          <w:tcPr>
            <w:tcW w:w="106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Share-Based Awards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was as follows for each of the periods indicated:</w:t>
      </w:r>
    </w:p>
    <w:tbl>
      <w:tblPr>
        <w:tblW w:w="7056" w:type="dxa"/>
        <w:jc w:val="left"/>
        <w:tblInd w:w="0" w:type="dxa"/>
        <w:tblLayout w:type="fixed"/>
        <w:tblCellMar>
          <w:top w:w="28" w:type="dxa"/>
          <w:left w:w="28" w:type="dxa"/>
          <w:bottom w:w="28" w:type="dxa"/>
          <w:right w:w="28" w:type="dxa"/>
        </w:tblCellMar>
      </w:tblPr>
      <w:tblGrid>
        <w:gridCol w:w="946"/>
        <w:gridCol w:w="830"/>
        <w:gridCol w:w="834"/>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591" w:type="dxa"/>
            <w:gridSpan w:val="18"/>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benefit recognized</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 activity was as follows:</w:t>
      </w:r>
    </w:p>
    <w:tbl>
      <w:tblPr>
        <w:tblW w:w="9335" w:type="dxa"/>
        <w:jc w:val="left"/>
        <w:tblInd w:w="0" w:type="dxa"/>
        <w:tblLayout w:type="fixed"/>
        <w:tblCellMar>
          <w:top w:w="28" w:type="dxa"/>
          <w:left w:w="28" w:type="dxa"/>
          <w:bottom w:w="28" w:type="dxa"/>
          <w:right w:w="28" w:type="dxa"/>
        </w:tblCellMar>
      </w:tblPr>
      <w:tblGrid>
        <w:gridCol w:w="1304"/>
        <w:gridCol w:w="1146"/>
        <w:gridCol w:w="1149"/>
        <w:gridCol w:w="488"/>
        <w:gridCol w:w="488"/>
        <w:gridCol w:w="226"/>
        <w:gridCol w:w="109"/>
        <w:gridCol w:w="109"/>
        <w:gridCol w:w="109"/>
        <w:gridCol w:w="253"/>
        <w:gridCol w:w="741"/>
        <w:gridCol w:w="131"/>
        <w:gridCol w:w="109"/>
        <w:gridCol w:w="109"/>
        <w:gridCol w:w="109"/>
        <w:gridCol w:w="404"/>
        <w:gridCol w:w="404"/>
        <w:gridCol w:w="406"/>
        <w:gridCol w:w="109"/>
        <w:gridCol w:w="109"/>
        <w:gridCol w:w="109"/>
        <w:gridCol w:w="331"/>
        <w:gridCol w:w="639"/>
        <w:gridCol w:w="24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w:t>
              <w:br/>
              <w:t>Remaining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2,377,672 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March 29,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2,543,669 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476,500 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fair value per share of each option granted during the six months ended March 29, 2025 and March 30, 2024 was $22.20 and $16.66, respectively. The total intrinsic value of options exercised during the six months ended March 29, 2025 and March 30, 2024 was not material. As of March 29, 2025, there was $10.5 of total unrecognized pre-tax compensation cost, net of estimated forfeitures, related to nonvested stock options that is expected to be recognized over a weighted-average period of 2.0 years. Cash received from the exercise of stock options, including amounts received from employee purchases under the employee stock purchase plan, was $10.0 and $1.7 for the six months ended March 29, 2025 and March 30, 2024, respectively.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in the estimation of fair value for awards granted during the six months ended March 29, 2025 are as follows:</w:t>
      </w:r>
    </w:p>
    <w:tbl>
      <w:tblPr>
        <w:tblW w:w="2998" w:type="dxa"/>
        <w:jc w:val="left"/>
        <w:tblInd w:w="0" w:type="dxa"/>
        <w:tblLayout w:type="fixed"/>
        <w:tblCellMar>
          <w:top w:w="28" w:type="dxa"/>
          <w:left w:w="28" w:type="dxa"/>
          <w:bottom w:w="28" w:type="dxa"/>
          <w:right w:w="28" w:type="dxa"/>
        </w:tblCellMar>
      </w:tblPr>
      <w:tblGrid>
        <w:gridCol w:w="772"/>
        <w:gridCol w:w="677"/>
        <w:gridCol w:w="680"/>
        <w:gridCol w:w="268"/>
        <w:gridCol w:w="269"/>
        <w:gridCol w:w="332"/>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Restricted share-based awards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share-based award activity (including restricted stock units and deferred stock units) was as follows: </w:t>
      </w:r>
    </w:p>
    <w:tbl>
      <w:tblPr>
        <w:tblW w:w="6797" w:type="dxa"/>
        <w:jc w:val="left"/>
        <w:tblInd w:w="0" w:type="dxa"/>
        <w:tblLayout w:type="fixed"/>
        <w:tblCellMar>
          <w:top w:w="28" w:type="dxa"/>
          <w:left w:w="28" w:type="dxa"/>
          <w:bottom w:w="28" w:type="dxa"/>
          <w:right w:w="28" w:type="dxa"/>
        </w:tblCellMar>
      </w:tblPr>
      <w:tblGrid>
        <w:gridCol w:w="1304"/>
        <w:gridCol w:w="1146"/>
        <w:gridCol w:w="1149"/>
        <w:gridCol w:w="449"/>
        <w:gridCol w:w="451"/>
        <w:gridCol w:w="186"/>
        <w:gridCol w:w="109"/>
        <w:gridCol w:w="109"/>
        <w:gridCol w:w="109"/>
        <w:gridCol w:w="384"/>
        <w:gridCol w:w="1121"/>
        <w:gridCol w:w="280"/>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 Grant Date</w:t>
              <w:br/>
              <w:t>Fair Value per Unit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766,384 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(646,196)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March 29,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425,277 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restricted share-based awards granted during the six months ended March 29, 2025 and March 30, 2024 was $74.21 and $49.78 per share, respectively. As of March 29, 2025, there was $8.1 of total unrecognized pre-tax compensation cost, net of estimated forfeitures, related to nonvested restricted share-based awards that is expected to be recognized over a weighted-average period of 1.5 years. The total fair value of restricted share-based awards vested during the six months ended March 29, 2025 was $52.2.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2025, the Company is granting short-term equity incentive compensation awards to certain associates in the form of restricted share-based award units in lieu of cash-based annual incentive awards. The program is structured so the fiscal 2025 incentive grant, if any, will be made on or near the incentive payout date, subject to certain performance conditions and a service requirement. The number of restricted share-based award units that are ultimately issued to participating associates will be determined based on the incentive payout amount determined for each associate converted into a variable number of restricted share-based award units based on the fair value of the Common Shares on the grant date. The awards are classified as liability awards and, as of March 29, 2025, the Company had accrued $9.3 in the “Other current liabilities” line in the Condensed Consolidated Balance Sheets associated with these awards. As of March 29, 2025, there was $11.0 of total unrecognized pre-tax compensation cost related to these nonvested restricted share-based awards that is expected to be recognized over the remainder of fiscal 2025. The units associated with these awards are excluded from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Performance-based awards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award activity was as follows (based on target award amounts):</w:t>
      </w:r>
    </w:p>
    <w:tbl>
      <w:tblPr>
        <w:tblW w:w="6797" w:type="dxa"/>
        <w:jc w:val="left"/>
        <w:tblInd w:w="0" w:type="dxa"/>
        <w:tblLayout w:type="fixed"/>
        <w:tblCellMar>
          <w:top w:w="28" w:type="dxa"/>
          <w:left w:w="28" w:type="dxa"/>
          <w:bottom w:w="28" w:type="dxa"/>
          <w:right w:w="28" w:type="dxa"/>
        </w:tblCellMar>
      </w:tblPr>
      <w:tblGrid>
        <w:gridCol w:w="1304"/>
        <w:gridCol w:w="1146"/>
        <w:gridCol w:w="1149"/>
        <w:gridCol w:w="449"/>
        <w:gridCol w:w="451"/>
        <w:gridCol w:w="186"/>
        <w:gridCol w:w="109"/>
        <w:gridCol w:w="109"/>
        <w:gridCol w:w="109"/>
        <w:gridCol w:w="384"/>
        <w:gridCol w:w="1121"/>
        <w:gridCol w:w="280"/>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 Grant Date</w:t>
              <w:br/>
              <w:t>Fair Value per Unit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409,430 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March 29, 2025</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443,674 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grant-date fair value of performance-based award units granted during the six months ended March 29, 2025 and March 30, 2024 was $72.01 and $74.95 per share, respectively. As of March 29, 2025, there was $8.2 of total unrecognized pre-tax compensation cost, net of estimated forfeitures, related to nonvested performance-based award units that is expected to be recognized over a weighted-average period of 2.2 years. The total fair value of performance-based award units vested during the six months ended March 30, 2024 was $10.6. </w:t>
      </w:r>
    </w:p>
    <w:p>
      <w:pPr>
        <w:pStyle w:val="TextBody"/>
        <w:bidi w:val="0"/>
        <w:spacing w:lineRule="auto" w:line="288" w:before="100" w:after="283"/>
        <w:ind w:left="0" w:right="0" w:firstLine="495"/>
        <w:jc w:val="both"/>
        <w:rPr/>
      </w:pPr>
      <w:r>
        <w:rPr>
          <w:rFonts w:ascii="Times New Roman;sans-serif" w:hAnsi="Times New Roman;sans-serif"/>
          <w:b w:val="false"/>
          <w:color w:val="333333"/>
          <w:sz w:val="20"/>
        </w:rPr>
        <w:t>Dur</w:t>
      </w:r>
      <w:r>
        <w:rPr>
          <w:rFonts w:ascii="Times New Roman;sans-serif" w:hAnsi="Times New Roman;sans-serif"/>
          <w:b w:val="false"/>
          <w:color w:val="000000"/>
          <w:sz w:val="20"/>
        </w:rPr>
        <w:t>ing the three months ended</w:t>
      </w:r>
      <w:r>
        <w:rPr>
          <w:color w:val="333333"/>
        </w:rPr>
        <w:t xml:space="preserve"> </w:t>
      </w:r>
      <w:r>
        <w:rPr>
          <w:rFonts w:ascii="Times New Roman;sans-serif" w:hAnsi="Times New Roman;sans-serif"/>
          <w:b w:val="false"/>
          <w:color w:val="000000"/>
          <w:sz w:val="20"/>
        </w:rPr>
        <w:t>March 29, 2025, the Company granted performance-based award units with a three year vesting period that include a performance target based on the Company’s absolute total shareholder return, among other financial targets. Details of the assumptions used in the estimation of fair value for these awards are as follows:</w:t>
      </w:r>
    </w:p>
    <w:tbl>
      <w:tblPr>
        <w:tblW w:w="2672" w:type="dxa"/>
        <w:jc w:val="left"/>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8. EARNINGS PER COMMON SHARE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necessary to calculate basic and diluted net income per common share for the periods indicated:</w:t>
      </w:r>
    </w:p>
    <w:tbl>
      <w:tblPr>
        <w:tblW w:w="10205" w:type="dxa"/>
        <w:jc w:val="left"/>
        <w:tblInd w:w="0" w:type="dxa"/>
        <w:tblLayout w:type="fixed"/>
        <w:tblCellMar>
          <w:top w:w="28" w:type="dxa"/>
          <w:left w:w="28" w:type="dxa"/>
          <w:bottom w:w="28" w:type="dxa"/>
          <w:right w:w="28" w:type="dxa"/>
        </w:tblCellMar>
      </w:tblPr>
      <w:tblGrid>
        <w:gridCol w:w="2241"/>
        <w:gridCol w:w="1636"/>
        <w:gridCol w:w="164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4"/>
        <w:gridCol w:w="518"/>
        <w:gridCol w:w="159"/>
      </w:tblGrid>
      <w:tr>
        <w:trPr/>
        <w:tc>
          <w:tcPr>
            <w:tcW w:w="224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481" w:type="dxa"/>
            <w:gridSpan w:val="12"/>
            <w:tcBorders/>
          </w:tcPr>
          <w:p>
            <w:pPr>
              <w:pStyle w:val="TableContents"/>
              <w:bidi w:val="0"/>
              <w:spacing w:before="0" w:after="283"/>
              <w:jc w:val="left"/>
              <w:rPr>
                <w:sz w:val="4"/>
                <w:szCs w:val="4"/>
              </w:rPr>
            </w:pPr>
            <w:r>
              <w:rPr>
                <w:sz w:val="4"/>
                <w:szCs w:val="4"/>
              </w:rPr>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per common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common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 plus dilutive potential common shares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rates for the six months ended March 29, 2025 and March 30, 2024 were 27.8% and 27.1%, respectively. The effective tax rate used for interim reporting purposes is based on management’s best estimate of factors impacting the effective tax rate for the full fiscal year and includes the impact of discrete items recognized in the period. There can be no assurance that the effective tax rate estimated for interim financial reporting purposes will approximate the effective tax rate determined at fiscal year-end.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2021. There are currently no ongoing audits with respect to the U.S. federal jurisdiction. With respect to foreign jurisdictions, a Canadian audit covering fiscal years 2020 through 2021 is in process. The Company is currently under examination by certain U.S. state and local tax authorities covering various periods from fiscal years 2018 through 2023. In addition to the aforementioned audits, certain other tax deficiency notices and refund claims for previous years remain unresolved.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10. CONTINGENCIES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Regulatory Matters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29, 2025, the Company had recorded liabilities of $2.6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condensed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a purported shareholder filed a lawsuit in the United States District Court for the Southern District of Ohio (Case No. 2:24-cv-03132) on behalf of a proposed class of purchasers of Common Shares between November 3, 2021, and August 1, 2023. On July 26, 2024, another purported shareholder filed a lawsuit in the United States District Court for the Southern District of Ohio (Case No. 2:24-cv-03766) on behalf of a proposed class of purchasers of Common Shares between June 2, 2021, and August 1, 2023. These lawsuits, which have been consolidated by the court, assert claims under Section 10(b), Rule 10b-5 and Section 20(a) of the Securities Exchange Act against the Company and certain of its current and former officers based on alleged misstatements about the Company’s inventories, sales and business prospects. The actions seek, among other things, unspecified monetary damages, reasonable costs and expenses and equitable/injunctive or other relief as deemed appropriate by the Court. The Company believes that the claims asserted are without merit and intends to vigorously defend the actions.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July 2024, purported shareholders filed a series of shareholder derivative lawsuits in state and federal courts in Ohio against certain of the Company’s current and former directors and officers. The lawsuits include allegations that generally mirror those asserted in the securities lawsuits described above and assert claims for breach of fiduciary duties, unjust enrichment, abuse of control, gross mismanagement, and waste of corporate assets. The federal lawsuits also assert claims under the Securities Exchange Act. The actions seek a judgment in favor of the Company for unspecified damages, disgorgement, interest, and costs and expenses, including attorneys’ and experts’ fees.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other lawsuits and claims which arise in the normal course of business including the initiation and defense of proceedings to protect intellectual property rights, advertising claims, securities matters and employment disputes. These claims individually and in the aggregate are not expected to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11. DERIVATIVE INSTRUMENTS AND HEDGING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Exchange Rate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$157.3, $114.2 and $148.4 at March 29, 2025, March 30, 2024 and September 30, 2024, respectively. Contracts outstanding at March 29, 2025 will mature over the next fiscal quarter.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March 29, 2025, March 30, 2024 and September 30, 2024 had a maximum total U.S. dollar equivalent notional amount of $450.0, $700.0 and $450.0, respectively. Refer to “NOTE 6. DEBT” for the terms of the swap agreements outstanding at March 29, 2025. Included in the AOCL balance at March 29, 2025 was a gain of $4.7 related to interest rate swap agreements that is expected to be reclassified to earnings during the next twelve months, consistent with the timing of the underlying hedged transactions.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Commodity Price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Included in the AOCL balance at March 29, 2025 was a gain of $1.1 related to commodity hedges that is expected to be reclassified to earnings during the next twelve months, consistent with the timing of the underlying hedged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outstanding commodity contracts that were entered into to hedge forecasted purchases:</w:t>
      </w:r>
    </w:p>
    <w:tbl>
      <w:tblPr>
        <w:tblW w:w="6814"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524"/>
        <w:gridCol w:w="524"/>
        <w:gridCol w:w="527"/>
        <w:gridCol w:w="109"/>
        <w:gridCol w:w="109"/>
        <w:gridCol w:w="109"/>
        <w:gridCol w:w="523"/>
        <w:gridCol w:w="523"/>
        <w:gridCol w:w="529"/>
        <w:gridCol w:w="109"/>
        <w:gridCol w:w="109"/>
        <w:gridCol w:w="109"/>
        <w:gridCol w:w="473"/>
        <w:gridCol w:w="473"/>
        <w:gridCol w:w="67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tons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Diesel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1,092,000 gallons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Heating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 gallons</w:t>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Fair Values of Derivative Instruments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instruments, which represent Level 2 fair value measurements, were as follows:</w:t>
      </w:r>
    </w:p>
    <w:tbl>
      <w:tblPr>
        <w:tblW w:w="10205" w:type="dxa"/>
        <w:jc w:val="left"/>
        <w:tblInd w:w="0" w:type="dxa"/>
        <w:tblLayout w:type="fixed"/>
        <w:tblCellMar>
          <w:top w:w="28" w:type="dxa"/>
          <w:left w:w="28" w:type="dxa"/>
          <w:bottom w:w="28" w:type="dxa"/>
          <w:right w:w="28" w:type="dxa"/>
        </w:tblCellMar>
      </w:tblPr>
      <w:tblGrid>
        <w:gridCol w:w="1313"/>
        <w:gridCol w:w="1153"/>
        <w:gridCol w:w="1157"/>
        <w:gridCol w:w="109"/>
        <w:gridCol w:w="109"/>
        <w:gridCol w:w="109"/>
        <w:gridCol w:w="821"/>
        <w:gridCol w:w="821"/>
        <w:gridCol w:w="823"/>
        <w:gridCol w:w="109"/>
        <w:gridCol w:w="109"/>
        <w:gridCol w:w="109"/>
        <w:gridCol w:w="221"/>
        <w:gridCol w:w="493"/>
        <w:gridCol w:w="114"/>
        <w:gridCol w:w="109"/>
        <w:gridCol w:w="109"/>
        <w:gridCol w:w="109"/>
        <w:gridCol w:w="215"/>
        <w:gridCol w:w="522"/>
        <w:gridCol w:w="111"/>
        <w:gridCol w:w="109"/>
        <w:gridCol w:w="109"/>
        <w:gridCol w:w="109"/>
        <w:gridCol w:w="301"/>
        <w:gridCol w:w="602"/>
        <w:gridCol w:w="230"/>
      </w:tblGrid>
      <w:tr>
        <w:trPr/>
        <w:tc>
          <w:tcPr>
            <w:tcW w:w="13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 / (Liabilities)</w:t>
            </w:r>
          </w:p>
        </w:tc>
      </w:tr>
      <w:tr>
        <w:trPr/>
        <w:tc>
          <w:tcPr>
            <w:tcW w:w="3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2635" w:type="dxa"/>
            <w:gridSpan w:val="12"/>
            <w:tcBorders/>
          </w:tcPr>
          <w:p>
            <w:pPr>
              <w:pStyle w:val="TableContents"/>
              <w:bidi w:val="0"/>
              <w:spacing w:before="0" w:after="283"/>
              <w:jc w:val="left"/>
              <w:rPr>
                <w:sz w:val="4"/>
                <w:szCs w:val="4"/>
              </w:rPr>
            </w:pPr>
            <w:r>
              <w:rPr>
                <w:sz w:val="4"/>
                <w:szCs w:val="4"/>
              </w:rPr>
            </w:r>
          </w:p>
        </w:tc>
      </w:tr>
      <w:tr>
        <w:trPr/>
        <w:tc>
          <w:tcPr>
            <w:tcW w:w="3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4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Derivatives Not Designated as Hedging 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4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effect of derivative instruments on AOCL, net of tax, and the </w:t>
      </w:r>
      <w:r>
        <w:rPr>
          <w:rFonts w:ascii="Times New Roman;sans-serif" w:hAnsi="Times New Roman;sans-serif"/>
          <w:b w:val="false"/>
          <w:color w:val="000000"/>
          <w:sz w:val="20"/>
          <w:shd w:fill="FFFFFF" w:val="clear"/>
        </w:rPr>
        <w:t xml:space="preserve">Condensed </w:t>
      </w:r>
      <w:r>
        <w:rPr>
          <w:rFonts w:ascii="Times New Roman;sans-serif" w:hAnsi="Times New Roman;sans-serif"/>
          <w:b w:val="false"/>
          <w:color w:val="000000"/>
          <w:sz w:val="20"/>
        </w:rPr>
        <w:t>Consolidated Statements of Operations for each of the periods presented was as follows:</w:t>
      </w:r>
    </w:p>
    <w:tbl>
      <w:tblPr>
        <w:tblW w:w="8370" w:type="dxa"/>
        <w:jc w:val="left"/>
        <w:tblInd w:w="0" w:type="dxa"/>
        <w:tblLayout w:type="fixed"/>
        <w:tblCellMar>
          <w:top w:w="28" w:type="dxa"/>
          <w:left w:w="28" w:type="dxa"/>
          <w:bottom w:w="28" w:type="dxa"/>
          <w:right w:w="28" w:type="dxa"/>
        </w:tblCellMar>
      </w:tblPr>
      <w:tblGrid>
        <w:gridCol w:w="1302"/>
        <w:gridCol w:w="1145"/>
        <w:gridCol w:w="1152"/>
        <w:gridCol w:w="109"/>
        <w:gridCol w:w="109"/>
        <w:gridCol w:w="109"/>
        <w:gridCol w:w="225"/>
        <w:gridCol w:w="514"/>
        <w:gridCol w:w="116"/>
        <w:gridCol w:w="109"/>
        <w:gridCol w:w="109"/>
        <w:gridCol w:w="109"/>
        <w:gridCol w:w="248"/>
        <w:gridCol w:w="478"/>
        <w:gridCol w:w="128"/>
        <w:gridCol w:w="109"/>
        <w:gridCol w:w="109"/>
        <w:gridCol w:w="109"/>
        <w:gridCol w:w="248"/>
        <w:gridCol w:w="478"/>
        <w:gridCol w:w="128"/>
        <w:gridCol w:w="109"/>
        <w:gridCol w:w="109"/>
        <w:gridCol w:w="109"/>
        <w:gridCol w:w="224"/>
        <w:gridCol w:w="512"/>
        <w:gridCol w:w="164"/>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 Recognized in AOCL</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589" w:type="dxa"/>
            <w:gridSpan w:val="18"/>
            <w:tcBorders/>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4"/>
        <w:gridCol w:w="1058"/>
        <w:gridCol w:w="1064"/>
        <w:gridCol w:w="109"/>
        <w:gridCol w:w="109"/>
        <w:gridCol w:w="109"/>
        <w:gridCol w:w="629"/>
        <w:gridCol w:w="611"/>
        <w:gridCol w:w="596"/>
        <w:gridCol w:w="109"/>
        <w:gridCol w:w="109"/>
        <w:gridCol w:w="109"/>
        <w:gridCol w:w="243"/>
        <w:gridCol w:w="470"/>
        <w:gridCol w:w="125"/>
        <w:gridCol w:w="109"/>
        <w:gridCol w:w="109"/>
        <w:gridCol w:w="109"/>
        <w:gridCol w:w="243"/>
        <w:gridCol w:w="470"/>
        <w:gridCol w:w="125"/>
        <w:gridCol w:w="109"/>
        <w:gridCol w:w="109"/>
        <w:gridCol w:w="109"/>
        <w:gridCol w:w="243"/>
        <w:gridCol w:w="470"/>
        <w:gridCol w:w="125"/>
        <w:gridCol w:w="109"/>
        <w:gridCol w:w="109"/>
        <w:gridCol w:w="109"/>
        <w:gridCol w:w="242"/>
        <w:gridCol w:w="466"/>
        <w:gridCol w:w="186"/>
      </w:tblGrid>
      <w:tr>
        <w:trPr/>
        <w:tc>
          <w:tcPr>
            <w:tcW w:w="12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Reclassified from</w:t>
              <w:br/>
              <w:t>AOCL into</w:t>
              <w:br/>
              <w:t>Statement of Operations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3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3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551" w:type="dxa"/>
            <w:gridSpan w:val="18"/>
            <w:tcBorders/>
          </w:tcPr>
          <w:p>
            <w:pPr>
              <w:pStyle w:val="TableContents"/>
              <w:bidi w:val="0"/>
              <w:spacing w:before="0" w:after="283"/>
              <w:jc w:val="left"/>
              <w:rPr>
                <w:sz w:val="4"/>
                <w:szCs w:val="4"/>
              </w:rPr>
            </w:pPr>
            <w:r>
              <w:rPr>
                <w:sz w:val="4"/>
                <w:szCs w:val="4"/>
              </w:rPr>
            </w:r>
          </w:p>
        </w:tc>
      </w:tr>
      <w:tr>
        <w:trPr/>
        <w:tc>
          <w:tcPr>
            <w:tcW w:w="3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76"/>
        <w:gridCol w:w="1011"/>
        <w:gridCol w:w="1014"/>
        <w:gridCol w:w="109"/>
        <w:gridCol w:w="109"/>
        <w:gridCol w:w="109"/>
        <w:gridCol w:w="672"/>
        <w:gridCol w:w="672"/>
        <w:gridCol w:w="673"/>
        <w:gridCol w:w="109"/>
        <w:gridCol w:w="109"/>
        <w:gridCol w:w="109"/>
        <w:gridCol w:w="221"/>
        <w:gridCol w:w="492"/>
        <w:gridCol w:w="114"/>
        <w:gridCol w:w="109"/>
        <w:gridCol w:w="109"/>
        <w:gridCol w:w="109"/>
        <w:gridCol w:w="239"/>
        <w:gridCol w:w="461"/>
        <w:gridCol w:w="123"/>
        <w:gridCol w:w="109"/>
        <w:gridCol w:w="109"/>
        <w:gridCol w:w="109"/>
        <w:gridCol w:w="239"/>
        <w:gridCol w:w="461"/>
        <w:gridCol w:w="123"/>
        <w:gridCol w:w="109"/>
        <w:gridCol w:w="109"/>
        <w:gridCol w:w="109"/>
        <w:gridCol w:w="220"/>
        <w:gridCol w:w="490"/>
        <w:gridCol w:w="169"/>
      </w:tblGrid>
      <w:tr>
        <w:trPr/>
        <w:tc>
          <w:tcPr>
            <w:tcW w:w="117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in</w:t>
              <w:br/>
              <w:t>Statement of Operations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506" w:type="dxa"/>
            <w:gridSpan w:val="18"/>
            <w:tcBorders/>
          </w:tcPr>
          <w:p>
            <w:pPr>
              <w:pStyle w:val="TableContents"/>
              <w:bidi w:val="0"/>
              <w:spacing w:before="0" w:after="283"/>
              <w:jc w:val="left"/>
              <w:rPr>
                <w:sz w:val="4"/>
                <w:szCs w:val="4"/>
              </w:rPr>
            </w:pPr>
            <w:r>
              <w:rPr>
                <w:sz w:val="4"/>
                <w:szCs w:val="4"/>
              </w:rPr>
            </w:r>
          </w:p>
        </w:tc>
      </w:tr>
      <w:tr>
        <w:trPr/>
        <w:tc>
          <w:tcPr>
            <w:tcW w:w="3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 FAIR VALUE MEASUREMENTS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the Company’s assets and liabilities for which disclosure of fair value is required:</w:t>
      </w:r>
    </w:p>
    <w:p>
      <w:pPr>
        <w:pStyle w:val="TextBody"/>
        <w:bidi w:val="0"/>
        <w:spacing w:lineRule="auto" w:line="288" w:before="0" w:after="0"/>
        <w:ind w:left="0" w:right="0" w:firstLine="45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17"/>
        <w:gridCol w:w="610"/>
        <w:gridCol w:w="613"/>
        <w:gridCol w:w="109"/>
        <w:gridCol w:w="109"/>
        <w:gridCol w:w="109"/>
        <w:gridCol w:w="286"/>
        <w:gridCol w:w="286"/>
        <w:gridCol w:w="288"/>
        <w:gridCol w:w="109"/>
        <w:gridCol w:w="109"/>
        <w:gridCol w:w="109"/>
        <w:gridCol w:w="226"/>
        <w:gridCol w:w="436"/>
        <w:gridCol w:w="119"/>
        <w:gridCol w:w="109"/>
        <w:gridCol w:w="109"/>
        <w:gridCol w:w="109"/>
        <w:gridCol w:w="243"/>
        <w:gridCol w:w="468"/>
        <w:gridCol w:w="126"/>
        <w:gridCol w:w="109"/>
        <w:gridCol w:w="109"/>
        <w:gridCol w:w="109"/>
        <w:gridCol w:w="211"/>
        <w:gridCol w:w="511"/>
        <w:gridCol w:w="109"/>
        <w:gridCol w:w="109"/>
        <w:gridCol w:w="109"/>
        <w:gridCol w:w="109"/>
        <w:gridCol w:w="213"/>
        <w:gridCol w:w="518"/>
        <w:gridCol w:w="110"/>
        <w:gridCol w:w="109"/>
        <w:gridCol w:w="109"/>
        <w:gridCol w:w="109"/>
        <w:gridCol w:w="211"/>
        <w:gridCol w:w="511"/>
        <w:gridCol w:w="109"/>
        <w:gridCol w:w="109"/>
        <w:gridCol w:w="109"/>
        <w:gridCol w:w="109"/>
        <w:gridCol w:w="213"/>
        <w:gridCol w:w="517"/>
        <w:gridCol w:w="165"/>
      </w:tblGrid>
      <w:tr>
        <w:trPr/>
        <w:tc>
          <w:tcPr>
            <w:tcW w:w="81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in non-qualified retirement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revolving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balance of Level 3 convertible debt investments carried at fair value are presented below. There were no transfers into or out of Level 3.</w:t>
      </w:r>
    </w:p>
    <w:tbl>
      <w:tblPr>
        <w:tblW w:w="9830" w:type="dxa"/>
        <w:jc w:val="left"/>
        <w:tblInd w:w="0" w:type="dxa"/>
        <w:tblLayout w:type="fixed"/>
        <w:tblCellMar>
          <w:top w:w="28" w:type="dxa"/>
          <w:left w:w="28" w:type="dxa"/>
          <w:bottom w:w="28" w:type="dxa"/>
          <w:right w:w="28" w:type="dxa"/>
        </w:tblCellMar>
      </w:tblPr>
      <w:tblGrid>
        <w:gridCol w:w="1950"/>
        <w:gridCol w:w="1714"/>
        <w:gridCol w:w="1720"/>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19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(losses) included in net earnings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losses included in OCI</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for non-voting exchangeable shares of Fluent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2024, the Company exchanged its convertible debt investment in RIV Capital for non-voting exchangeable shares of Fluent. Refer to “NOTE 2. INVESTMENT IN UNCONSOLIDATED AFFILIATES”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convertible debt investments was $44.4, $226.0 and $62.1 at March 29, 2025, March 30, 2024 and September 30, 2024, respectively. At March 29, 2025, March 30, 2024 and September 30, 2024, gross unrealized losses on convertible debt investments were $16.4, $141.4 and $16.4, respectively, and there were no gross unrealized gains. These investments have been in a continuous unrealized loss position for greater than 12 months as of March 29, 2025. The allowance for expected credit losses was $1.9, $101.3 and $1.9 at March 29, 2025, March 30, 2024 and September 30, 2024, respectively. At March 29, 2025, the weighted-average period until scheduled maturity of the Company’s convertible debt investments was 4.5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13. LEASES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March 29, 2025, the Company had entered into operating leases that were yet to commence with a combined total expected lease liability of $25.1. From time to time, the Company will sublease portions of its facilities, resulting in sublease income. Sublease income and the related cash flows were not material to the condensed consolidated financial statements for the three and six months ended March 29, 2025 and March 30, 2024.</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March 29, 2025, the Company’s residual value guarantee would have approximated $6.3.</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was as follows:</w:t>
      </w:r>
    </w:p>
    <w:tbl>
      <w:tblPr>
        <w:tblW w:w="9317" w:type="dxa"/>
        <w:jc w:val="left"/>
        <w:tblInd w:w="0" w:type="dxa"/>
        <w:tblLayout w:type="fixed"/>
        <w:tblCellMar>
          <w:top w:w="28" w:type="dxa"/>
          <w:left w:w="28" w:type="dxa"/>
          <w:bottom w:w="28" w:type="dxa"/>
          <w:right w:w="28" w:type="dxa"/>
        </w:tblCellMar>
      </w:tblPr>
      <w:tblGrid>
        <w:gridCol w:w="859"/>
        <w:gridCol w:w="753"/>
        <w:gridCol w:w="757"/>
        <w:gridCol w:w="969"/>
        <w:gridCol w:w="969"/>
        <w:gridCol w:w="972"/>
        <w:gridCol w:w="109"/>
        <w:gridCol w:w="109"/>
        <w:gridCol w:w="109"/>
        <w:gridCol w:w="211"/>
        <w:gridCol w:w="616"/>
        <w:gridCol w:w="109"/>
        <w:gridCol w:w="109"/>
        <w:gridCol w:w="109"/>
        <w:gridCol w:w="109"/>
        <w:gridCol w:w="211"/>
        <w:gridCol w:w="616"/>
        <w:gridCol w:w="109"/>
        <w:gridCol w:w="109"/>
        <w:gridCol w:w="109"/>
        <w:gridCol w:w="109"/>
        <w:gridCol w:w="255"/>
        <w:gridCol w:w="744"/>
        <w:gridCol w:w="186"/>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lease cost were as follows:</w:t>
      </w:r>
    </w:p>
    <w:tbl>
      <w:tblPr>
        <w:tblW w:w="7355" w:type="dxa"/>
        <w:jc w:val="left"/>
        <w:tblInd w:w="0" w:type="dxa"/>
        <w:tblLayout w:type="fixed"/>
        <w:tblCellMar>
          <w:top w:w="28" w:type="dxa"/>
          <w:left w:w="28" w:type="dxa"/>
          <w:bottom w:w="28" w:type="dxa"/>
          <w:right w:w="28" w:type="dxa"/>
        </w:tblCellMar>
      </w:tblPr>
      <w:tblGrid>
        <w:gridCol w:w="1053"/>
        <w:gridCol w:w="925"/>
        <w:gridCol w:w="931"/>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2409" w:type="dxa"/>
            <w:gridSpan w:val="12"/>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(a)</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(a)Operating lease cost includes amortization of right-of-use assets of $17.1 and $34.3 for the three and six months ended March 29, 2025, respectively, and $16.5 and $34.7 for the three and six months ended March 30, 2024, respectively. Short-term lease expense is excluded from operating lease cost and is not material.</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and non-cash activity related to the Company’s leases were as follows:</w:t>
      </w:r>
    </w:p>
    <w:tbl>
      <w:tblPr>
        <w:tblW w:w="8913" w:type="dxa"/>
        <w:jc w:val="left"/>
        <w:tblInd w:w="0" w:type="dxa"/>
        <w:tblLayout w:type="fixed"/>
        <w:tblCellMar>
          <w:top w:w="28" w:type="dxa"/>
          <w:left w:w="28" w:type="dxa"/>
          <w:bottom w:w="28" w:type="dxa"/>
          <w:right w:w="28" w:type="dxa"/>
        </w:tblCellMar>
      </w:tblPr>
      <w:tblGrid>
        <w:gridCol w:w="2196"/>
        <w:gridCol w:w="1927"/>
        <w:gridCol w:w="1937"/>
        <w:gridCol w:w="109"/>
        <w:gridCol w:w="109"/>
        <w:gridCol w:w="121"/>
        <w:gridCol w:w="121"/>
        <w:gridCol w:w="121"/>
        <w:gridCol w:w="121"/>
        <w:gridCol w:w="234"/>
        <w:gridCol w:w="569"/>
        <w:gridCol w:w="121"/>
        <w:gridCol w:w="109"/>
        <w:gridCol w:w="109"/>
        <w:gridCol w:w="109"/>
        <w:gridCol w:w="217"/>
        <w:gridCol w:w="525"/>
        <w:gridCol w:w="158"/>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227"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and discount rate for the Company’s leases were as follows:</w:t>
      </w:r>
    </w:p>
    <w:tbl>
      <w:tblPr>
        <w:tblW w:w="8026" w:type="dxa"/>
        <w:jc w:val="left"/>
        <w:tblInd w:w="0" w:type="dxa"/>
        <w:tblLayout w:type="fixed"/>
        <w:tblCellMar>
          <w:top w:w="28" w:type="dxa"/>
          <w:left w:w="28" w:type="dxa"/>
          <w:bottom w:w="28" w:type="dxa"/>
          <w:right w:w="28" w:type="dxa"/>
        </w:tblCellMar>
      </w:tblPr>
      <w:tblGrid>
        <w:gridCol w:w="1603"/>
        <w:gridCol w:w="1408"/>
        <w:gridCol w:w="1413"/>
        <w:gridCol w:w="203"/>
        <w:gridCol w:w="203"/>
        <w:gridCol w:w="476"/>
        <w:gridCol w:w="109"/>
        <w:gridCol w:w="109"/>
        <w:gridCol w:w="109"/>
        <w:gridCol w:w="203"/>
        <w:gridCol w:w="203"/>
        <w:gridCol w:w="476"/>
        <w:gridCol w:w="109"/>
        <w:gridCol w:w="109"/>
        <w:gridCol w:w="109"/>
        <w:gridCol w:w="240"/>
        <w:gridCol w:w="240"/>
        <w:gridCol w:w="70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by fiscal year for the Company’s leases as of March 29, 2025 were as follows:</w:t>
      </w:r>
    </w:p>
    <w:tbl>
      <w:tblPr>
        <w:tblW w:w="5662" w:type="dxa"/>
        <w:jc w:val="left"/>
        <w:tblInd w:w="0" w:type="dxa"/>
        <w:tblLayout w:type="fixed"/>
        <w:tblCellMar>
          <w:top w:w="28" w:type="dxa"/>
          <w:left w:w="28" w:type="dxa"/>
          <w:bottom w:w="28" w:type="dxa"/>
          <w:right w:w="28" w:type="dxa"/>
        </w:tblCellMar>
      </w:tblPr>
      <w:tblGrid>
        <w:gridCol w:w="872"/>
        <w:gridCol w:w="767"/>
        <w:gridCol w:w="775"/>
        <w:gridCol w:w="109"/>
        <w:gridCol w:w="109"/>
        <w:gridCol w:w="109"/>
        <w:gridCol w:w="307"/>
        <w:gridCol w:w="898"/>
        <w:gridCol w:w="159"/>
        <w:gridCol w:w="109"/>
        <w:gridCol w:w="109"/>
        <w:gridCol w:w="109"/>
        <w:gridCol w:w="296"/>
        <w:gridCol w:w="718"/>
        <w:gridCol w:w="21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14. SEGMENT INFORMATION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reportable business segments.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financial information for the Company’s reportable segments for the periods indicated:</w:t>
      </w:r>
    </w:p>
    <w:tbl>
      <w:tblPr>
        <w:tblW w:w="8879" w:type="dxa"/>
        <w:jc w:val="left"/>
        <w:tblInd w:w="0" w:type="dxa"/>
        <w:tblLayout w:type="fixed"/>
        <w:tblCellMar>
          <w:top w:w="28" w:type="dxa"/>
          <w:left w:w="28" w:type="dxa"/>
          <w:bottom w:w="28" w:type="dxa"/>
          <w:right w:w="28" w:type="dxa"/>
        </w:tblCellMar>
      </w:tblPr>
      <w:tblGrid>
        <w:gridCol w:w="1269"/>
        <w:gridCol w:w="1111"/>
        <w:gridCol w:w="112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Profit (Loss):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product category for the periods indicated:</w:t>
      </w:r>
    </w:p>
    <w:tbl>
      <w:tblPr>
        <w:tblW w:w="9704" w:type="dxa"/>
        <w:jc w:val="left"/>
        <w:tblInd w:w="0" w:type="dxa"/>
        <w:tblLayout w:type="fixed"/>
        <w:tblCellMar>
          <w:top w:w="28" w:type="dxa"/>
          <w:left w:w="28" w:type="dxa"/>
          <w:bottom w:w="28" w:type="dxa"/>
          <w:right w:w="28" w:type="dxa"/>
        </w:tblCellMar>
      </w:tblPr>
      <w:tblGrid>
        <w:gridCol w:w="1567"/>
        <w:gridCol w:w="1379"/>
        <w:gridCol w:w="1388"/>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 and mulch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Nutrients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hardware and growing environment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 and controls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geographic area for the periods indicated:</w:t>
      </w:r>
    </w:p>
    <w:tbl>
      <w:tblPr>
        <w:tblW w:w="6570" w:type="dxa"/>
        <w:jc w:val="left"/>
        <w:tblInd w:w="0" w:type="dxa"/>
        <w:tblLayout w:type="fixed"/>
        <w:tblCellMar>
          <w:top w:w="28" w:type="dxa"/>
          <w:left w:w="28" w:type="dxa"/>
          <w:bottom w:w="28" w:type="dxa"/>
          <w:right w:w="28" w:type="dxa"/>
        </w:tblCellMar>
      </w:tblPr>
      <w:tblGrid>
        <w:gridCol w:w="435"/>
        <w:gridCol w:w="380"/>
        <w:gridCol w:w="38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Segment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matters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Critical accounting estimates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MD&amp;A should be read in conjunction with “Management’s Discussion and Analysis of Financial Condition and Results of Operations” included in Scotts Miracle-Gro’s Annual Report on Form 10-K for the fiscal year ended September 30, 2024 (the “2024 Annual Report”) and our condensed consolidated financial statements included in this Form 10-Q.</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Turf Builder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lawn fertilizer and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grass seed products; Miracle-Gro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soil, plant food and gardening products;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herbicide and pesticide products; and Tomcat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rodent control and animal repellent products. We are the exclusive agent of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Hawthorne segment, we are a leading provider of nutrients, lighting and other materials used for indoor and hydroponic gardening in North America. Our Signature brands include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Agrolux</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Grower’s Edge</w:t>
      </w:r>
      <w:r>
        <w:rPr>
          <w:rFonts w:ascii="Times New Roman;sans-serif" w:hAnsi="Times New Roman;sans-serif"/>
          <w:b w:val="false"/>
          <w:color w:val="000000"/>
          <w:sz w:val="13"/>
        </w:rPr>
        <w:t>®</w:t>
      </w:r>
      <w:r>
        <w:rPr>
          <w:rFonts w:ascii="Times New Roman;sans-serif" w:hAnsi="Times New Roman;sans-serif"/>
          <w:b w:val="false"/>
          <w:color w:val="000000"/>
          <w:sz w:val="20"/>
        </w:rPr>
        <w:t>, HydroLogic Purification System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CYCO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seasonal nature of the consumer lawn and garden business, significant portions of our U.S. Consumer and Other segment net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Our Hawthorne segment is also impacted by seasonal sales patterns for certain product categories due to the timing of growing patterns in North America during our second and third fiscal quarters, and the timing of certain controlled agricultural lighting project sales during our third and fourth fiscal quarters.</w:t>
      </w:r>
    </w:p>
    <w:tbl>
      <w:tblPr>
        <w:tblW w:w="4925" w:type="dxa"/>
        <w:jc w:val="left"/>
        <w:tblInd w:w="0" w:type="dxa"/>
        <w:tblLayout w:type="fixed"/>
        <w:tblCellMar>
          <w:top w:w="28" w:type="dxa"/>
          <w:left w:w="28" w:type="dxa"/>
          <w:bottom w:w="28" w:type="dxa"/>
          <w:right w:w="28" w:type="dxa"/>
        </w:tblCellMar>
      </w:tblPr>
      <w:tblGrid>
        <w:gridCol w:w="494"/>
        <w:gridCol w:w="433"/>
        <w:gridCol w:w="437"/>
        <w:gridCol w:w="255"/>
        <w:gridCol w:w="256"/>
        <w:gridCol w:w="364"/>
        <w:gridCol w:w="146"/>
        <w:gridCol w:w="146"/>
        <w:gridCol w:w="146"/>
        <w:gridCol w:w="255"/>
        <w:gridCol w:w="256"/>
        <w:gridCol w:w="364"/>
        <w:gridCol w:w="146"/>
        <w:gridCol w:w="146"/>
        <w:gridCol w:w="146"/>
        <w:gridCol w:w="255"/>
        <w:gridCol w:w="256"/>
        <w:gridCol w:w="42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Net Sales from Continuing </w:t>
              <w:br/>
              <w:t>Operations by Quarter</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Events </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March 29, 2025, our Hawthorne segment continued to experience decreased sales volume. This was partially attributable to an oversupply of cannabis, which has led to a prolonged period of lower cannabis wholesale prices and reduced indoor and outdoor cannabis cultivation. The oversupply has been driven by increased licensing activity across the U.S. and significant capital investment in the cannabis production marketplace over the past several years, as well as inconsistent enforcement of regulations.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pStyle w:val="TextBody"/>
        <w:bidi w:val="0"/>
        <w:spacing w:lineRule="auto" w:line="288" w:before="100" w:after="283"/>
        <w:ind w:left="0" w:right="0" w:firstLine="450"/>
        <w:jc w:val="both"/>
        <w:rPr/>
      </w:pPr>
      <w:r>
        <w:rPr>
          <w:rFonts w:ascii="Times New Roman;sans-serif" w:hAnsi="Times New Roman;sans-serif"/>
          <w:b w:val="false"/>
          <w:color w:val="000000"/>
          <w:sz w:val="20"/>
        </w:rPr>
        <w:t>During fiscal 2024, our Hawthorne segment discontinued distribution of other companies’ products in order to shift its focus solely to marketing, innovating and supporting its portfolio of Signature brands, including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Grower’s Edge</w:t>
      </w:r>
      <w:r>
        <w:rPr>
          <w:rFonts w:ascii="Times New Roman;sans-serif" w:hAnsi="Times New Roman;sans-serif"/>
          <w:b w:val="false"/>
          <w:color w:val="000000"/>
          <w:sz w:val="13"/>
        </w:rPr>
        <w:t>®</w:t>
      </w:r>
      <w:r>
        <w:rPr>
          <w:rFonts w:ascii="Times New Roman;sans-serif" w:hAnsi="Times New Roman;sans-serif"/>
          <w:b w:val="false"/>
          <w:color w:val="000000"/>
          <w:sz w:val="20"/>
        </w:rPr>
        <w:t>, HydroLogic Purification System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CYCO</w:t>
      </w:r>
      <w:r>
        <w:rPr>
          <w:rFonts w:ascii="Times New Roman;sans-serif" w:hAnsi="Times New Roman;sans-serif"/>
          <w:b w:val="false"/>
          <w:color w:val="000000"/>
          <w:sz w:val="13"/>
        </w:rPr>
        <w:t>®</w:t>
      </w:r>
      <w:r>
        <w:rPr>
          <w:rFonts w:ascii="Times New Roman;sans-serif" w:hAnsi="Times New Roman;sans-serif"/>
          <w:b w:val="false"/>
          <w:color w:val="000000"/>
          <w:sz w:val="20"/>
        </w:rPr>
        <w:t>. The discontinuation of sales of other companies’ products has resulted in lower sales volume when compared to historical periods, but has enabled continued optimization of Hawthorne’s operations and improvement of its profitability.</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impacts of macroeconomic conditions, including elevated interest rates and the impact of inflationary pressures on input costs and consumer behavior; as well as geopolitical uncertainty, including the duration and resolution of ongoing conflicts, potential escalation of tensions and global supply chain disruptions. We are also continuing to monitor ongoing changes to global trade policies, including the imposition of tariffs. The impact that these events and conditions will have on our operational and financial performance will depend on future developments, which are difficult to predict. For more information about factors that could impact our business, refer to “ITEM 1A. RISK FACTORS”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 for the three months ended March 29, 2025 and March 30, 2024:</w:t>
      </w:r>
    </w:p>
    <w:tbl>
      <w:tblPr>
        <w:tblW w:w="9537" w:type="dxa"/>
        <w:jc w:val="left"/>
        <w:tblInd w:w="0" w:type="dxa"/>
        <w:tblLayout w:type="fixed"/>
        <w:tblCellMar>
          <w:top w:w="28" w:type="dxa"/>
          <w:left w:w="28" w:type="dxa"/>
          <w:bottom w:w="28" w:type="dxa"/>
          <w:right w:w="28" w:type="dxa"/>
        </w:tblCellMar>
      </w:tblPr>
      <w:tblGrid>
        <w:gridCol w:w="1539"/>
        <w:gridCol w:w="1345"/>
        <w:gridCol w:w="136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3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sum of the components may not equal due to rounding.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 for the six months ended March 29, 2025 and March 30, 2024:</w:t>
      </w:r>
    </w:p>
    <w:tbl>
      <w:tblPr>
        <w:tblW w:w="9537" w:type="dxa"/>
        <w:jc w:val="left"/>
        <w:tblInd w:w="0" w:type="dxa"/>
        <w:tblLayout w:type="fixed"/>
        <w:tblCellMar>
          <w:top w:w="28" w:type="dxa"/>
          <w:left w:w="28" w:type="dxa"/>
          <w:bottom w:w="28" w:type="dxa"/>
          <w:right w:w="28" w:type="dxa"/>
        </w:tblCellMar>
      </w:tblPr>
      <w:tblGrid>
        <w:gridCol w:w="1539"/>
        <w:gridCol w:w="1345"/>
        <w:gridCol w:w="136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3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sum of the components may not equal due to rounding.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sales for the three months ended March 29, 2025 were $1,421.0, a decrease of 6.8% from net sales of $1,525.4 for the three months ended March 30, 2024. Net sales for the six months ended March 29, 2025 were $1,837.8, a decrease of 5.1% from net sales of $1,935.8 for the six months ended March 30, 2024. Factors contributing to the change in net sales are outlined in the following table:</w:t>
      </w:r>
    </w:p>
    <w:tbl>
      <w:tblPr>
        <w:tblW w:w="5380" w:type="dxa"/>
        <w:jc w:val="left"/>
        <w:tblInd w:w="0" w:type="dxa"/>
        <w:tblLayout w:type="fixed"/>
        <w:tblCellMar>
          <w:top w:w="28" w:type="dxa"/>
          <w:left w:w="28" w:type="dxa"/>
          <w:bottom w:w="28" w:type="dxa"/>
          <w:right w:w="28" w:type="dxa"/>
        </w:tblCellMar>
      </w:tblPr>
      <w:tblGrid>
        <w:gridCol w:w="721"/>
        <w:gridCol w:w="635"/>
        <w:gridCol w:w="638"/>
        <w:gridCol w:w="355"/>
        <w:gridCol w:w="355"/>
        <w:gridCol w:w="894"/>
        <w:gridCol w:w="109"/>
        <w:gridCol w:w="109"/>
        <w:gridCol w:w="109"/>
        <w:gridCol w:w="297"/>
        <w:gridCol w:w="297"/>
        <w:gridCol w:w="861"/>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and mix</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sales</w:t>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the three months ended March 29, 2025 as compared to the three months ended March 30, 2024 was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decreased sales volume driven by fertilizer, grass seed and controls products in our U.S. Consumer segment; and all product categories in our Hawthorne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decreases of 1.1% included within “volume and mix” related to nonrecurring fiscal 2024 sales of bulk raw materials and AeroGarden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our U.S. Consumer segment and the discontinuation of sales of other companies’ products in our Hawthorne segment; and</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decreased pricing, primarily driven by additional investments in consumer activation activities in our U.S. Consumer segment.</w:t>
      </w:r>
    </w:p>
    <w:p>
      <w:pPr>
        <w:pStyle w:val="TextBody"/>
        <w:bidi w:val="0"/>
        <w:spacing w:before="16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the six months ended March 29, 2025 as compared to the six months ended March 30, 2024 was primarily driven by:</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decreased sales volume in our Hawthorne segment driven by all product categories;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decreases of 2.6% included within “volume and mix” related to nonrecurring fiscal 2024 sales of bulk raw materials and AeroGarden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our U.S. Consumer segment and the discontinuation of sales of other companies’ products in our Hawthorne segment; and</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decreased pricing, primarily driven by additional investments in consumer activation activities in our U.S. Consumer segment.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major components of cost of sales:</w:t>
      </w:r>
    </w:p>
    <w:tbl>
      <w:tblPr>
        <w:tblW w:w="9765" w:type="dxa"/>
        <w:jc w:val="left"/>
        <w:tblInd w:w="0" w:type="dxa"/>
        <w:tblLayout w:type="fixed"/>
        <w:tblCellMar>
          <w:top w:w="28" w:type="dxa"/>
          <w:left w:w="28" w:type="dxa"/>
          <w:bottom w:w="28" w:type="dxa"/>
          <w:right w:w="28" w:type="dxa"/>
        </w:tblCellMar>
      </w:tblPr>
      <w:tblGrid>
        <w:gridCol w:w="1647"/>
        <w:gridCol w:w="1446"/>
        <w:gridCol w:w="1452"/>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labor and overhead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warehousing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Factors contributing to the change in cost of sales are outlined in the following table:</w:t>
      </w:r>
    </w:p>
    <w:tbl>
      <w:tblPr>
        <w:tblW w:w="7930" w:type="dxa"/>
        <w:jc w:val="left"/>
        <w:tblInd w:w="0" w:type="dxa"/>
        <w:tblLayout w:type="fixed"/>
        <w:tblCellMar>
          <w:top w:w="28" w:type="dxa"/>
          <w:left w:w="28" w:type="dxa"/>
          <w:bottom w:w="28" w:type="dxa"/>
          <w:right w:w="28" w:type="dxa"/>
        </w:tblCellMar>
      </w:tblPr>
      <w:tblGrid>
        <w:gridCol w:w="1647"/>
        <w:gridCol w:w="1446"/>
        <w:gridCol w:w="1451"/>
        <w:gridCol w:w="335"/>
        <w:gridCol w:w="1097"/>
        <w:gridCol w:w="173"/>
        <w:gridCol w:w="109"/>
        <w:gridCol w:w="109"/>
        <w:gridCol w:w="109"/>
        <w:gridCol w:w="290"/>
        <w:gridCol w:w="952"/>
        <w:gridCol w:w="212"/>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 changes</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cost of sales</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decrease in cost of sales for the three months ended March 29, 2025 as compared to the three months ended March 30, 2024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sales volume in our U.S. Consumer and Hawthorne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nonrecurring fiscal 2024 sales of bulk raw materials and AeroGarden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our U.S. Consumer segment and the discontinuation of sales of other companies’ products in our Hawthorne segment;</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lower warehousing and transportation costs included within “volume, mix and other” in our U.S. Consumer and Hawthorne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manufacturing costs included within “volume, mix and other” in our U.S. Consumer, Hawthorne and Other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impairment, restructuring and other charges.</w:t>
      </w:r>
    </w:p>
    <w:p>
      <w:pPr>
        <w:pStyle w:val="TextBody"/>
        <w:bidi w:val="0"/>
        <w:spacing w:before="16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decrease in cost of sales for the six months ended March 29, 2025 as compared to the six months ended March 30, 2024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sales volume in our Hawthorne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nonrecurring fiscal 2024 sales of bulk raw materials and AeroGarden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our U.S. Consumer segment and the discontinuation of sales of other companies’ products in our Hawthorne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and transportation costs included within “volume, mix and other” in our U.S. Consumer and Hawthorne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manufacturing costs included within “volume, mix and other” in our U.S. Consumer, Hawthorne and Other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impairment, restructuring and other charges.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net sales, our gross margin rate was 38.6% and 30.4% for the three months ended March 29, 2025 and March 30, 2024, respectively, and was 35.0% and 27.2% for the six months ended March 29, 2025 and March 30, 2024, respectively. Factors contributing to the change in gross margin rate are outlined in the following table:</w:t>
      </w:r>
    </w:p>
    <w:tbl>
      <w:tblPr>
        <w:tblW w:w="6371" w:type="dxa"/>
        <w:jc w:val="left"/>
        <w:tblInd w:w="0" w:type="dxa"/>
        <w:tblLayout w:type="fixed"/>
        <w:tblCellMar>
          <w:top w:w="28" w:type="dxa"/>
          <w:left w:w="28" w:type="dxa"/>
          <w:bottom w:w="28" w:type="dxa"/>
          <w:right w:w="28" w:type="dxa"/>
        </w:tblCellMar>
      </w:tblPr>
      <w:tblGrid>
        <w:gridCol w:w="1082"/>
        <w:gridCol w:w="950"/>
        <w:gridCol w:w="953"/>
        <w:gridCol w:w="355"/>
        <w:gridCol w:w="355"/>
        <w:gridCol w:w="894"/>
        <w:gridCol w:w="109"/>
        <w:gridCol w:w="109"/>
        <w:gridCol w:w="109"/>
        <w:gridCol w:w="297"/>
        <w:gridCol w:w="297"/>
        <w:gridCol w:w="861"/>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gross margin rate</w:t>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increase in gross margin rate for the three and six months ended March 29, 2025 as compared to the three and six months ended March 30, 2024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mix associated with our U.S. Consumer and Hawthorne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manufacturing costs included within “volume, mix and other” in our U.S. Consumer, Hawthorne and Other segments;</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lower warehousing and transportation costs included within “volume, mix and other”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decrease in impairment, restructuring and other charges;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partially offset by decreased pricing, primarily driven by additional investments in consumer activation activities in our U.S. Consumer segment;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leverage of fixed costs, included within “volume, mix and other” driven by lower sales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selling, general and administrative expenses (“SG&amp;A”):</w:t>
      </w:r>
    </w:p>
    <w:tbl>
      <w:tblPr>
        <w:tblW w:w="8190" w:type="dxa"/>
        <w:jc w:val="left"/>
        <w:tblInd w:w="0" w:type="dxa"/>
        <w:tblLayout w:type="fixed"/>
        <w:tblCellMar>
          <w:top w:w="28" w:type="dxa"/>
          <w:left w:w="28" w:type="dxa"/>
          <w:bottom w:w="28" w:type="dxa"/>
          <w:right w:w="28" w:type="dxa"/>
        </w:tblCellMar>
      </w:tblPr>
      <w:tblGrid>
        <w:gridCol w:w="1237"/>
        <w:gridCol w:w="1088"/>
        <w:gridCol w:w="109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increased $9.6, or 5.4%, during the three months ended March 29, 2025 compared to the three months ended March 30, 2024. Share-based compensation expense, which excludes certain advertising expenses paid for in Common Shares, decreased $4.7, or 25.8%, primarily due to lower long-term incentive compensation expense. Other SG&amp;A increased $13.6, or 15.7%, driven by higher short-term variable cash incentive compensation expense and other associate-related costs.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increased $19.6, or 6.7%, during the six months ended March 29, 2025 compared to the six months ended March 30, 2024. Share-based compensation expense, which excludes certain advertising expenses paid for in Common Shares, decreased $5.6, or 17.7%, primarily due to lower long-term incentive compensation expense. Other SG&amp;A increased $25.6, or 16.1%, driven by higher short-term variable cash incentive compensation expense and other associate-related costs.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Restructuring and Other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tbl>
      <w:tblPr>
        <w:tblW w:w="9276" w:type="dxa"/>
        <w:jc w:val="left"/>
        <w:tblInd w:w="0" w:type="dxa"/>
        <w:tblLayout w:type="fixed"/>
        <w:tblCellMar>
          <w:top w:w="28" w:type="dxa"/>
          <w:left w:w="28" w:type="dxa"/>
          <w:bottom w:w="28" w:type="dxa"/>
          <w:right w:w="28" w:type="dxa"/>
        </w:tblCellMar>
      </w:tblPr>
      <w:tblGrid>
        <w:gridCol w:w="1750"/>
        <w:gridCol w:w="1538"/>
        <w:gridCol w:w="1542"/>
        <w:gridCol w:w="217"/>
        <w:gridCol w:w="526"/>
        <w:gridCol w:w="112"/>
        <w:gridCol w:w="109"/>
        <w:gridCol w:w="109"/>
        <w:gridCol w:w="109"/>
        <w:gridCol w:w="217"/>
        <w:gridCol w:w="526"/>
        <w:gridCol w:w="112"/>
        <w:gridCol w:w="109"/>
        <w:gridCol w:w="109"/>
        <w:gridCol w:w="109"/>
        <w:gridCol w:w="217"/>
        <w:gridCol w:w="526"/>
        <w:gridCol w:w="112"/>
        <w:gridCol w:w="109"/>
        <w:gridCol w:w="109"/>
        <w:gridCol w:w="109"/>
        <w:gridCol w:w="217"/>
        <w:gridCol w:w="525"/>
        <w:gridCol w:w="158"/>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expenses—impairment, restructuring and other:</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(recoveries), net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exchange of convertible debt investment</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March 29, 2025, we incurred employee and executive severance charges of $3.6 in the “Cost of sales—impairment, restructuring and other” line in the Condensed Consolidated Statements of Operations and $5.4 and $14.9, respectively, in the “Impairment, restructuring and other” line in the Condensed Consolidated Statements of Operations. We incurred charges of $3.0 in our U.S. Consumer segment and $0.6 in our Hawthorne segment in the “Cost of sales—impairment, restructuring and other” line in the Condensed Consolidated Statements of Operations during the three and six months ended March 29, 2025. We incurred charges of $3.3 in our U.S. Consumer segment and $2.1 and $11.6 at Corporate in the “Impairment, restructuring and other” line in the Condensed Consolidated Statements of Operations during the three and six months ended March 29, 2025,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March 29, 2025, we incurred a non-cash loss of $0.0 and $7.0, respectively, in the “Impairment, restructuring and other” line in the Condensed Consolidated Statements of Operations related to the exchange of our convertible debt investment in RIV Capital for non-voting exchangeable shares of Fluent. Refer to “NOTE 2. INVESTMENT IN UNCONSOLIDATED AFFILIATES”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We also accelerated the reduction of certain Hawthorne inventory, primarily lighting, growing environments and hardware products, to reduce on hand inventory to align with the reduced network capacity. We incurred costs of $2.3 and $3.7 in our U.S. Consumer segment and $1.4 and $5.1 in our Hawthorne segment associated with this restructuring initiative in the “Cost of sales—impairment, restructuring and other” line in the Condensed Consolidated Statements of Operations during the three and six months ended March 29, 2025, respectively. During the three and six months ended March 30, 2024, we incurred costs of $77.0 and $73.2, respectively, associated with this restructuring initiative primarily related to inventory write-down charges, employee termination benefits, facility closure costs and impairment of right-of-use assets and property, plant and equipment. We recorded recoveries of $0.5 and incurred costs of $1.4 in our U.S. Consumer segment and incurred costs of $75.4 and $67.8 in our Hawthorne segment in the “Cost of sales—impairment, restructuring and other” line in the Condensed Consolidated Statements of Operations during the three and six months ended March 30, 2024, respectively. We recorded recoveries of $0.1 and $0.9 in our U.S. Consumer segment and incurred costs of $1.9 and $2.3 in our Hawthorne segment and $0.0 and $2.4 at Corporate in the “Impairment, restructuring and other” line in the Condensed Consolidated Statements of Operations during the three and six months ended March 30, 2024, respectively. Costs incurred since the inception of this restructuring initiative through March 29, 2025 were $302.3 for our Hawthorne segment, $62.0 for our U.S. Consumer segment, $2.9 for our Other segment and $25.1 for Corporate.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March 30, 2024, we recorded a gain of $0.0 and $12.1, respectively,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is comprised of activities such as the discount on sales of accounts receivable under the Master Receivables Purchase Agreement, royalty income from the licensing of certain of our brand names and foreign exchange transaction gains and losses. Other expense was $4.2 and $10.8 for the three months ended March 29, 2025 and March 30, 2024, respectively; and was $8.7 and $12.6 for the six months ended March 29, 2025 and March 30, 2024, respectively. The decrease in expense was primarily due to lower discount on sales of accounts receivable under the Master Receivables Purchase Agreement.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from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was $344.7 for the three months ended March 29, 2025, an increase of 26.7% compared to $272.1 for the three months ended March 30, 2024; and was $293.7 for the six months ended March 29, 2025, an increase of 30.6% compared to $224.8 for the six months ended March 30, 2024. For the three and six months ended March 29, 2025, the increase was primarily driven by a higher gross margin rate, lower impairment, restructuring and other charges and lower other expense, partially offset by lower net sales and higher SG&amp;A.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Equity in Loss of Unconsolidated Affiliates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loss of unconsolidated affiliates was $5.9 and $7.0 for the three months ended March 29, 2025 and March 30, 2024, respectively; and was $15.8 and $29.5 for the six months ended March 29, 2025 and March 30, 2024, respectively. We anticipated a net loss for Bonnie Plants, LLC for the three and six months ended March 29, 2025 due to the seasonal nature of its business, in which sales are heavily weighted to the spring and summer selling periods during our third fiscal quarter. During the three and six months ended March 30, 2024, equity in loss of unconsolidated affiliates also included a pre-tax impairment charge of $0.0 and $10.4, respectively, associated with our investment in Bonnie Plants, LLC.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$36.6 for the three months ended March 29, 2025, a decrease of 17.0% compared to $44.1 for the three months ended March 30, 2024; and was $70.3 for the six months ended March 29, 2025, a decrease of 19.0% compared to $86.8 for the six months ended March 30, 2024. For the three months ended March 29, 2025, the decrease was driven by lower average borrowings of $346.4 and a decrease in our weighted average interest rate, net of the impact of interest rate swaps, of 40 basis points. For the six months ended March 29, 2025, the decrease was driven by lower average borrowings of $367.8 and a decrease in our weighted average interest rate, net of the impact of interest rate swaps, of 40 basis points. The decrease in average borrowings was driven by our focus on using available cash flow to reduce our debt. The decrease in our weighted average interest rate was primarily driven by lower borrowing rates under the Sixth A&amp;R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rates for the six months ended March 29, 2025 and March 30, 2024 were 27.8% and 27.1%,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was $217.5, or $3.72 per diluted share, for the three months ended March 29, 2025 compared to $157.5, or $2.74 per diluted share, for the three months ended March 30, 2024. The increase was driven by a higher gross margin rate, lower impairment, restructuring and other charges, lower other expense and lower interest expense, partially offset by lower net sales, higher SG&amp;A and higher income tax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average Common Shares used in the diluted net income per common share calculation for the three months ended March 29, 2025 and March 30, 2024 were 58.4 million and 57.4 million, respectively, which included dilutive potential Common Shares of 0.8 million and 0.6 million, respectively. The increase in diluted average Common Shares was primarily the result of the exercise and issuance of share-based compensation awards.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was $148.0, or $2.53 per diluted share, for the six months ended March 29, 2025 compared to $77.0, or $1.34 per diluted share, for the six months ended March 30, 2024. The increase was driven by a higher gross margin rate, lower impairment, restructuring and other charges, lower equity in loss of unconsolidated affiliates, lower other expense and lower interest expense, partially offset by lower net sales, higher SG&amp;A and higher income tax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Diluted average Common Shares used in the diluted net income per common share calculation for the six months ended March 29, 2025 and March 30, 2024 were 58.6 million and 57.3 million, respectively, which included dilutive potential Common Shares of 1.1 million and 0.6 million, respectively. The increase in diluted average Common Shares was primarily the result of the exercise and issuance of share-based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sales by segment:</w:t>
      </w:r>
    </w:p>
    <w:tbl>
      <w:tblPr>
        <w:tblW w:w="6690" w:type="dxa"/>
        <w:jc w:val="left"/>
        <w:tblInd w:w="0" w:type="dxa"/>
        <w:tblLayout w:type="fixed"/>
        <w:tblCellMar>
          <w:top w:w="28" w:type="dxa"/>
          <w:left w:w="28" w:type="dxa"/>
          <w:bottom w:w="28" w:type="dxa"/>
          <w:right w:w="28" w:type="dxa"/>
        </w:tblCellMar>
      </w:tblPr>
      <w:tblGrid>
        <w:gridCol w:w="477"/>
        <w:gridCol w:w="420"/>
        <w:gridCol w:w="42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Segment Profit (Loss) as well as a reconciliation to income before income taxes, the most directly comparable GAAP measure:</w:t>
      </w:r>
    </w:p>
    <w:tbl>
      <w:tblPr>
        <w:tblW w:w="8279" w:type="dxa"/>
        <w:jc w:val="left"/>
        <w:tblInd w:w="0" w:type="dxa"/>
        <w:tblLayout w:type="fixed"/>
        <w:tblCellMar>
          <w:top w:w="28" w:type="dxa"/>
          <w:left w:w="28" w:type="dxa"/>
          <w:bottom w:w="28" w:type="dxa"/>
          <w:right w:w="28" w:type="dxa"/>
        </w:tblCellMar>
      </w:tblPr>
      <w:tblGrid>
        <w:gridCol w:w="1269"/>
        <w:gridCol w:w="1116"/>
        <w:gridCol w:w="112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 (Non-GAAP)</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U.S. Consumer</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U.S. Consumer segment net sales were $1,311.5 in the second quarter of fiscal 2025, a decrease of 4.9% from second quarter of fiscal 2024 net sales of $1,379.8; and were $1,652.4 for the first six months of fiscal 2025, a decrease of 2.0% from the first six months of fiscal 2024 net sales of $1,686.5. For the second quarter of fiscal 2025, the decrease was driven by lower sales volume of 3.4%, decreased pricing of 0.9% and a decrease of 0.6% due to nonrecurring fiscal 2024 sales of bulk raw materials and AeroGarden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For the six months ended March 29, 2025, the decrease was driven by nonrecurring fiscal 2024 sales of bulk raw materials and AeroGarden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products of 1.5% and decreased pricing of 0.8%, partially offset by higher sales volume of 0.3%. The decrease in sales volume for the second quarter of fiscal 2025 was driven by fertilizer, grass seed and controls products. Decreased pricing for the three and six months ended March 29, 2025 was due to additional investments in consumer activation activities.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Consumer Segment Profit was $392.5 in the second quarter of fiscal 2025, an increase of 1.8% from second quarter of fiscal 2024 Segment Profit of $385.7; and U.S Consumer Segment Profit was $402.6 for the first six months of fiscal 2025, an increase of 8.7% from the first six months of fiscal 2024 Segment Profit of $370.3. For the three and six months ended March 29, 2025, the increase was primarily due to a higher gross margin rate and lower other expense, partially offset by lower net sales and higher SG&amp;A.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Hawthorne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Hawthorne segment net sales were $32.7 in the second quarter of fiscal 2025, a decrease of 50.8% from second quarter of fiscal 2024 net sales of $66.4; and were $84.7 for the first six months of fiscal 2025, a decrease of 42.2% from the first six months of fiscal 2024 net sales of $146.6. For the second quarter of fiscal 2025, the decrease was driven by lower sales volume of 36.2%, the discontinuation of sales of other companies’ products of 13.8% and decreased pricing of 0.5%. For the six months ended March 29, 2025, the decrease was driven by lower sales volume of 25.6%, the discontinuation of sales of other companies’ products of 15.7% and decreased pricing of 0.9%.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Loss was $0.9 in the second quarter of fiscal 2025 compared to Segment Loss of $3.4 for the second quarter of fiscal 2024; and Hawthorne Segment Profit was $0.7 for the first six months of fiscal 2025 compared to Segment Loss of $13.0 for the first six months of fiscal 2024. For the three and six months ended March 29, 2025, the improvement was driven by a higher gross margin rate and lower SG&amp;A, partially offset by lower net sales.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net sales were $76.8 in the second quarter of fiscal 2025, a decrease of 3.0% from second quarter of fiscal 2024 net sales of $79.2; and were $100.7 for the first six months of fiscal 2025, a decrease of 1.9% from the first six months of fiscal 2024 net sales of $102.7. For the second quarter of fiscal 2025, the decrease was driven by unfavorable foreign exchange rates of 5.2%, partially offset by higher sales volume of 2.0% and increased pricing of 0.2%. For the six months ended March 29, 2025, the decrease was driven by unfavorable foreign exchange rates of 4.7%, partially offset by higher sales volume of 2.5% and increased pricing of 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Profit was $9.0 in the second quarter of fiscal 2025, an increase of 40.6% from second quarter of fiscal 2024 Segment Profit of $6.4; and Other Segment Profit was $5.8 for the first six months of fiscal 2025 compared to Segment Profit of $1.2 for the first six months of fiscal 2024. For the three and six months ended March 29, 2025, the increase was driven by a higher gross margin rate.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were $34.8 in the second quarter of fiscal 2025 as compared to $35.7 for the second quarter of fiscal 2024; and were $69.5 for the first six months of fiscal 2025, an increase of 12.6% from the first six months of fiscal 2024 expenses of $61.7. For the six months ended March 29, 2025, the increase was primarily driven by higher short-term variable incentive compensation expense and other associate-related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activities:</w:t>
      </w:r>
    </w:p>
    <w:tbl>
      <w:tblPr>
        <w:tblW w:w="5753" w:type="dxa"/>
        <w:jc w:val="left"/>
        <w:tblInd w:w="0" w:type="dxa"/>
        <w:tblLayout w:type="fixed"/>
        <w:tblCellMar>
          <w:top w:w="28" w:type="dxa"/>
          <w:left w:w="28" w:type="dxa"/>
          <w:bottom w:w="28" w:type="dxa"/>
          <w:right w:w="28" w:type="dxa"/>
        </w:tblCellMar>
      </w:tblPr>
      <w:tblGrid>
        <w:gridCol w:w="1253"/>
        <w:gridCol w:w="1104"/>
        <w:gridCol w:w="1107"/>
        <w:gridCol w:w="211"/>
        <w:gridCol w:w="691"/>
        <w:gridCol w:w="109"/>
        <w:gridCol w:w="109"/>
        <w:gridCol w:w="109"/>
        <w:gridCol w:w="109"/>
        <w:gridCol w:w="211"/>
        <w:gridCol w:w="58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totaled $257.2 for the six months ended March 29, 2025 compared to $39.0 for the six months ended March 30, 2024. This increase was driven by higher inventory production, the timing of accounts receivable sales, higher short-term variable cash incentive compensation payments and higher SG&amp;A, partially offset by higher gross margin and lower interest payments. Accounts receivable sale timing is driven by the entry into the Master Receivable Purchasing Agreement during the six months ended March 30, 2024.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totaled $34.7 for the six months ended March 29, 2025 compared to $71.1 for the six months ended March 30, 2024. Cash used for investments in property, plant and equipment during the first six months of fiscal 2025 and 2024 was $37.6 and $54.2, respectively, driven by the timing of spending on capital projects. During the six months ended March 29, 2025 and March 30, 2024, we had other investing cash inflows of $2.9 and $4.5, respectively, primarily associated with currency forward contracts. During the six months ended March 30, 2024, we acquired an additional equity interest in Bonnie Plants, LLC for $21.4.</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totaled $237.9 for the six months ended March 29, 2025 compared to $142.8 for the six months ended March 30, 2024. During the six months ended March 29, 2025, we had net borrowings under our credit facilities of $321.2 due to our seasonal working capital build, paid dividends of $78.0 and received cash from the exercise of stock options of $10.0 (which also includes amounts received from employee purchases under the employee stock purchase plan). During the six months ended March 30, 2024, we had net borrowings under our credit facilities of $205.0 and paid dividends of $76.2. During the six months ended March 29, 2025 and March 30, 2024, we repurchased Common Shares for $18.3 and $4.9, respectively (which includes cash paid to tax authorities to satisfy statutory income tax withholding obligations related to share-based compensation). In addition, during the six months ended March 29, 2025 and March 30, 2024 we had other financing cash inflows of $3.0 and $17.2, respectively, primarily related to collections of previously sold accounts receivable not yet submitted to the buyer.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Sales</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On October 27, 2023, we entered into the Master Receivables Purchase Agreement, under which we could sell up to $600.0 of available and eligible outstanding customer accounts receivable generated by sales to four specified customers.</w:t>
      </w:r>
      <w:r>
        <w:rPr>
          <w:color w:val="000000"/>
        </w:rPr>
        <w:t xml:space="preserve"> </w:t>
      </w:r>
      <w:r>
        <w:rPr>
          <w:rFonts w:ascii="Times New Roman;sans-serif" w:hAnsi="Times New Roman;sans-serif"/>
          <w:b w:val="false"/>
          <w:color w:val="000000"/>
          <w:sz w:val="20"/>
        </w:rPr>
        <w:t xml:space="preserve">On September 1, 2024, we amended the Master Receivables Purchase Agreement to permit us to sell up to $750.0 of available and eligible outstanding customer accounts receivable generated by sales to five specified customers. The agreement is uncommitted and expires on September 1, 2025.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We record the discount on sales in the “Other expense, net” line in the Condensed Consolidated Statements of Operations. At March 29, 2025, March 30, 2024 and September 30, 2024, net receivables derecognized were $598.2, $582.8 and $186.6, respectively. During the three months ended March 29, 2025 and March 30, 2024, proceeds from the sale of receivables under the Master Receivables Purchase Agreement totaled $748.2 and $758.2, respectively, and the total discount recorded on sales was $7.9 and $10.7, respectively. During the six months ended March 29, 2025 and March 30, 2024, proceeds from the sale of receivables under the Master Receivables Purchase Agreement totaled $1,022.2 and $955.5, respectively, and the total discount recorded on sales was $11.2 and $12.9, respectively.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Supplier Finance Program</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$32.5, $38.5 and $12.5 at March 29, 2025, March 30, 2024 and September 30, 2024, respectively, and are recorded within accounts payable in the Condensed Consolidated Balance Sheets. The associated payments were $155.4 and $153.0 for the six months ended March 29, 2025 and March 30, 2024, respectively, and are classified as operating activities in the Condensed Consolidated Statements of Cash Flows.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were held in cash depository accounts with major financial institutions around the world or invested in high-quality, short-term liquid investments having original maturities of three months or less. The cash and cash equivalents balances of $16.9, $65.1 and $71.6 as of March 29, 2025, March 30, 2024 and September 30, 2024, respectively, included $9.4, $7.9 and $15.9, respectively, held by controlled foreign corporations. As of March 29, 2025, we maintain our assertion of indefinite reinvestment of the earnings of all material foreign subsidiaries.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Borrowing Agreements</w:t>
      </w:r>
    </w:p>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of up to $100.0. The terms of the Sixth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Sixth A&amp;R Credit Agreement, loans bear interest, at our election, at a rate per annum equal to either (i) the Alternate Base Rate plus the Applicable Spread (all,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we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our quarterly-tested leverage ratio exceeded 4.75.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we entered into Amendment No. 2 to the Sixth A&amp;R Credit Agreement. Amendment No. 2 (i) reduces the revolving loan commitments by $250.0; (ii) increases the maximum permitted leverage ratio for the quarterly leverage covenant during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our intellectual property (subject to certain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restricted payments in an aggregate amount not to exceed $25.0. Amendment No. 2 also subjects our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29, 2025, we had letters of credit outstanding in the aggregate principal amount of $83.1, and had $821.9 of borrowing availability under the Sixth A&amp;R Credit Agreement. The weighted average interest rates on average borrowings under the credit facilities, excluding the impact of interest rate swaps, were 7.8% and 8.9% for the six months ended March 29, 2025 and March 30, 2024,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our leverage ratio determined as of the end of each of our fiscal quarters calculated as average total indebtedness, divided by our Adjusted EBITDA. Pursuant to Amendment No. 2, the maximum permitted leverage ratio is (i) 5.25 for the second quarter of fiscal 2025, (ii) 5.00 for the third quarter of fiscal 2025, (iii) 4.75 for the fourth quarter of fiscal 2025 and (iv) 4.50 for the first quarter of fiscal 2026 and thereafter. Our leverage ratio was 4.41 at March 29, 2025. Pursuant to Amendment No. 2, the Sixth A&amp;R Credit Agreement also contains an affirmative covenant regarding our fixed charge coverage ratio determined as of the end of each of our fiscal quarters, calculated as Adjusted EBITDA minus capital expenditures and expense for taxes paid in cash, divided by the sum of interest expense plus restricted payments, as described in Amendment No. 2. The minimum required fixed charge coverage ratio is 1.00. Our fixed charge coverage ratio was 1.45 for the twelve months ended March 29, 2025.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29, 2025, we were in compliance with all applicable covenants in the agreements governing our debt. Based on our projections of financial performance for the twelve-month period subsequent to the date of the filing of this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March 29, 2025, our indebtedness under the Sixth A&amp;R Credit Agreement and Senior Notes was $2,545.0. We do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4.17 for the twelve months ended March 29, 2025.</w:t>
      </w:r>
    </w:p>
    <w:p>
      <w:pPr>
        <w:pStyle w:val="TextBody"/>
        <w:bidi w:val="0"/>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interest rate swap agreements with major financial institutions that effectively convert a portion of our variable-rate debt to a fixed rate. Interest payments made between the effective date and expiration date are hedged by the swap agreements. Swap agreements that were hedging interest payments as of March 29, 2025, March 30, 2024 and September 30, 2024 had a maximum total U.S. dollar equivalent notional amount of $450.0, $700.0 and $450.0, respectively. The notional amount, effective date, expiration date and rate of each of the swap agreements outstanding at March 29, 2025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Availability and Use of Cash</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2024 Annual Report, under “ITEM 1A. RISK FACTORS — Risks Related to Our M&amp;A, Lending and Financing Activities — Our indebtedness could limit our flexibility and adversely affect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Financial Disclosures About Guarantors and Issuers of Guaranteed Securities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W w:w="4780" w:type="dxa"/>
        <w:jc w:val="left"/>
        <w:tblInd w:w="0" w:type="dxa"/>
        <w:tblLayout w:type="fixed"/>
        <w:tblCellMar>
          <w:top w:w="28" w:type="dxa"/>
          <w:left w:w="28" w:type="dxa"/>
          <w:bottom w:w="28" w:type="dxa"/>
          <w:right w:w="28" w:type="dxa"/>
        </w:tblCellMar>
      </w:tblPr>
      <w:tblGrid>
        <w:gridCol w:w="710"/>
        <w:gridCol w:w="625"/>
        <w:gridCol w:w="630"/>
        <w:gridCol w:w="211"/>
        <w:gridCol w:w="766"/>
        <w:gridCol w:w="109"/>
        <w:gridCol w:w="109"/>
        <w:gridCol w:w="109"/>
        <w:gridCol w:w="109"/>
        <w:gridCol w:w="257"/>
        <w:gridCol w:w="750"/>
        <w:gridCol w:w="132"/>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assets </w:t>
            </w:r>
            <w:r>
              <w:rPr>
                <w:rFonts w:ascii="Times New Roman;sans-serif" w:hAnsi="Times New Roman;sans-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liabilities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amounts due from Non-Guarantor subsidiaries of $82.2 and $49.5, respectively.</w:t>
      </w:r>
    </w:p>
    <w:tbl>
      <w:tblPr>
        <w:tblW w:w="4646" w:type="dxa"/>
        <w:jc w:val="left"/>
        <w:tblInd w:w="0" w:type="dxa"/>
        <w:tblLayout w:type="fixed"/>
        <w:tblCellMar>
          <w:top w:w="28" w:type="dxa"/>
          <w:left w:w="28" w:type="dxa"/>
          <w:bottom w:w="28" w:type="dxa"/>
          <w:right w:w="28" w:type="dxa"/>
        </w:tblCellMar>
      </w:tblPr>
      <w:tblGrid>
        <w:gridCol w:w="624"/>
        <w:gridCol w:w="547"/>
        <w:gridCol w:w="553"/>
        <w:gridCol w:w="274"/>
        <w:gridCol w:w="995"/>
        <w:gridCol w:w="141"/>
        <w:gridCol w:w="109"/>
        <w:gridCol w:w="109"/>
        <w:gridCol w:w="109"/>
        <w:gridCol w:w="221"/>
        <w:gridCol w:w="803"/>
        <w:gridCol w:w="161"/>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512"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(a)</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intercompany income from Non-Guarantor subsidiaries of $4.0 and $12.5,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Judicial and Administrative Proceedings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2024 Annual Report, under “ITEM 1. BUSINESS — Regulatory Considerations” and “ITEM 3. LEGAL PROCEEDINGS.”</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have been prepared in accordance with GAAP. The preparation of financial statements and related disclosures in accordance with GAAP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current trends and other factors that we believe to be relevant under the circumstances at the time the estimate was made. Certain accounting estimates are particularly significant, including those related to revenue recognition and promotional allowances, income taxes and goodwill and indefinite-lived intangible assets.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 of Scotts Miracle-Gro reviews our critical accounting estimates on an ongoing basis, including those related to revenue recognition and promotional allowances, income taxes and goodwill and indefinite-lived intangible assets. Our critical accounting estimates have not changed materially from those disclosed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risks have not changed materially from those disclosed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(the “Registrant”) maintains “disclosure controls and procedures,” as such term is defined under Securities Exchange Act Rule 13a-15(e), that are designed to ensure that information required to be disclosed in the Registrant’s Securities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the participation of the principal executive officer and the principal financial officer of the Registrant, the Registrant’s management has evaluated the effectiveness of the Registrant’s disclosure controls and procedures (as defined in Rule 13a-15(e) under the Securities Exchange Act of 1934), as of the end of the fiscal quarter covered by this Form 10-Q. Based upon that evaluation, the Registrant’s principal executive officer and principal financial officer have concluded that the Registrant’s disclosure controls and procedures were effective as of March 29, 2025.</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changes in the Registrant’s internal control over financial reporting (as defined in Rule 13a-15(f) under the Securities Exchange Act of 1934) occurred during the Registrant’s fiscal quarter ended March 29, 2025 that have materially affected, or are reasonably likely to materially affect, the Registrant’s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 is made to the legal proceedings that have been previously disclosed in Part I, Item 3 of the 2024 Annual Report. There have been no material developments to the pending legal proceedings set forth therein.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other lawsuits and claims which arise in the normal course of our business including the initiation and defense of proceedings to protect intellectual property rights, advertising claims, securities matters and employment disputes. In our opinion, these claims individually and in the aggregate are not expected to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risk factors, as of March 29, 2025, have not materially changed from those described in Part I, Item 1A of the 2024 Annual Report.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including the exhibits hereto and the information incorporated by reference herein, contains “forward-looking statements” within the meaning of Section 27A of the Securities Act of 1933, as amended, and Section 21E of the Securities Exchange Act,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Form 10-Q are predictions only and actual results could differ materially from management’s expectations due to a variety of factors, including those described in “ITEM 1A. RISK FACTORS” in the 2024 Annual Report. All forward-looking statements attributable to us or persons working on our behalf are expressly qualified in their entirety by such risk factors and other cautionary statements that we make from time to time in our other SEC filings and public communications.</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evaluate forward-looking statements in the context of these risks and uncertainties and are cautioned not to place undue reliance on such statements. These factors may not contain all of the factors that are important to you. We cannot assure you that we will realize the results or developments we expect or anticipate or, even if substantially realized, that they will result in the consequences or affect us or our operations in the way we expect. The forward-looking statements that we make in this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Amendment No. 2 to the Sixth A&amp;R Credit Agreement limits the Company’s ability to declare or pay any discretionary dividends, distributions or other restricted payments to only the payment of (i) regularly scheduled cash dividends to holders of its Common Shares in an aggregate amount not to exceed $225.0 million per fiscal year and (ii) other dividends, distributions or restricted payments in an aggregate amount not to exceed $25.0 million. </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following table shows the purchases of Common Shares made by or on behalf of Scotts Miracle-Gro or any “affiliated purchaser” (as defined in Rule 10b-18(a)(3) under the Securities Exchange Act) of Scotts Miracle-Gro for each of the three fiscal months in the quarter ended March 29, 2025:</w:t>
      </w:r>
      <w:r>
        <w:rPr>
          <w:color w:val="000000"/>
        </w:rPr>
        <w:t> </w:t>
      </w:r>
    </w:p>
    <w:tbl>
      <w:tblPr>
        <w:tblW w:w="10205" w:type="dxa"/>
        <w:jc w:val="left"/>
        <w:tblInd w:w="0" w:type="dxa"/>
        <w:tblLayout w:type="fixed"/>
        <w:tblCellMar>
          <w:top w:w="28" w:type="dxa"/>
          <w:left w:w="28" w:type="dxa"/>
          <w:bottom w:w="28" w:type="dxa"/>
          <w:right w:w="28" w:type="dxa"/>
        </w:tblCellMar>
      </w:tblPr>
      <w:tblGrid>
        <w:gridCol w:w="1068"/>
        <w:gridCol w:w="941"/>
        <w:gridCol w:w="955"/>
        <w:gridCol w:w="440"/>
        <w:gridCol w:w="440"/>
        <w:gridCol w:w="441"/>
        <w:gridCol w:w="109"/>
        <w:gridCol w:w="109"/>
        <w:gridCol w:w="109"/>
        <w:gridCol w:w="328"/>
        <w:gridCol w:w="930"/>
        <w:gridCol w:w="183"/>
        <w:gridCol w:w="109"/>
        <w:gridCol w:w="109"/>
        <w:gridCol w:w="109"/>
        <w:gridCol w:w="520"/>
        <w:gridCol w:w="520"/>
        <w:gridCol w:w="521"/>
        <w:gridCol w:w="109"/>
        <w:gridCol w:w="109"/>
        <w:gridCol w:w="109"/>
        <w:gridCol w:w="564"/>
        <w:gridCol w:w="564"/>
        <w:gridCol w:w="809"/>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Common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w:t>
              <w:br/>
              <w:t>Paid per </w:t>
              <w:br/>
              <w:t>Common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Common Shares</w:t>
              <w:br/>
              <w:t>Purchased as</w:t>
              <w:br/>
              <w:t>Part of Publicly</w:t>
              <w:br/>
              <w:t>Announced Plans or</w:t>
              <w:br/>
              <w:t>Programs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br/>
              <w:t>Value of Common Shares</w:t>
              <w:br/>
              <w:t>That May Yet be</w:t>
              <w:br/>
              <w:t>Purchased Under the</w:t>
              <w:br/>
              <w:t>Plans or Programs (3)</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29, 2024 through January 25, 2025</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26, 2025 through February 22, 2025</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23, 2025 through March 29, 2025</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5,106 </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of the Common Shares purchased during the second quarter of fiscal 2025 were purchased in open market transactions. The Common Shares purchased during the quarter consisted of 5,106 Common Shares purchased by the trustee of the rabbi trust established by the Company as permitted pursuant to the terms of The Scotts Company LLC Executive Retirement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Common Share is calculated on a settlement basis and includes commissions.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333333"/>
          <w:sz w:val="20"/>
        </w:rPr>
      </w:pPr>
      <w:r>
        <w:rPr>
          <w:rFonts w:ascii="Times New Roman;sans-serif" w:hAnsi="Times New Roman;sans-serif"/>
          <w:b w:val="false"/>
          <w:color w:val="333333"/>
          <w:sz w:val="20"/>
        </w:rPr>
        <w:t>(3)The Company does not have an active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76"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2025, the Hagedorn Partnership, L.P., on behalf of Katherine Littlefield, a member of our board of directors, terminated a Rule 10b5-1 trading arrangement (as defined in Item 408(a) of Regulation S-K). This trading arrangement (originally adopted on March 15, 2024) provided for the sale of up to 250,000 Common Shares if certain price targets were met. No transactions were completed under the trading arrangement prior to its early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Exhibits at page 45 for a list of the exhibits included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29, 2025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287"/>
        <w:gridCol w:w="252"/>
        <w:gridCol w:w="254"/>
        <w:gridCol w:w="109"/>
        <w:gridCol w:w="109"/>
        <w:gridCol w:w="109"/>
        <w:gridCol w:w="1582"/>
        <w:gridCol w:w="1447"/>
        <w:gridCol w:w="1451"/>
        <w:gridCol w:w="109"/>
        <w:gridCol w:w="109"/>
        <w:gridCol w:w="109"/>
        <w:gridCol w:w="175"/>
        <w:gridCol w:w="175"/>
        <w:gridCol w:w="176"/>
        <w:gridCol w:w="137"/>
        <w:gridCol w:w="137"/>
        <w:gridCol w:w="137"/>
        <w:gridCol w:w="240"/>
        <w:gridCol w:w="240"/>
        <w:gridCol w:w="241"/>
        <w:gridCol w:w="137"/>
        <w:gridCol w:w="137"/>
        <w:gridCol w:w="137"/>
        <w:gridCol w:w="260"/>
        <w:gridCol w:w="260"/>
        <w:gridCol w:w="262"/>
        <w:gridCol w:w="109"/>
        <w:gridCol w:w="109"/>
        <w:gridCol w:w="109"/>
        <w:gridCol w:w="318"/>
        <w:gridCol w:w="318"/>
        <w:gridCol w:w="464"/>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15"/>
            <w:tcBorders/>
            <w:tcMar>
              <w:top w:w="0" w:type="dxa"/>
              <w:left w:w="0" w:type="dxa"/>
              <w:bottom w:w="0" w:type="dxa"/>
              <w:right w:w="0" w:type="dxa"/>
            </w:tcMar>
            <w:vAlign w:val="center"/>
          </w:tcPr>
          <w:p>
            <w:pPr>
              <w:pStyle w:val="TableContents"/>
              <w:bidi w:val="0"/>
              <w:spacing w:before="0" w:after="283"/>
              <w:jc w:val="center"/>
              <w:rPr/>
            </w:pPr>
            <w:r>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smg20250329.htm">
              <w:r>
                <w:rPr>
                  <w:rStyle w:val="InternetLink"/>
                  <w:rFonts w:ascii="Times New Roman;sans-serif" w:hAnsi="Times New Roman;sans-serif"/>
                  <w:b w:val="false"/>
                  <w:color w:val="0000FF"/>
                  <w:sz w:val="20"/>
                  <w:u w:val="single"/>
                </w:rPr>
                <w:t>Consulting Agreement, dated February 4, 2025, between The Scotts Company LLC and Hanft Ideas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smg20250329.htm">
              <w:r>
                <w:rPr>
                  <w:rStyle w:val="InternetLink"/>
                  <w:rFonts w:ascii="Times New Roman;sans-serif" w:hAnsi="Times New Roman;sans-serif"/>
                  <w:b w:val="false"/>
                  <w:color w:val="0000FF"/>
                  <w:sz w:val="20"/>
                  <w:u w:val="single"/>
                </w:rPr>
                <w:t>Insider Trading Policy of The Scotts Miracle-Gro Company &amp;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smg20250329.htm">
              <w:r>
                <w:rPr>
                  <w:rStyle w:val="InternetLink"/>
                  <w:rFonts w:ascii="Times New Roman;sans-serif" w:hAnsi="Times New Roman;sans-serif"/>
                  <w:b w:val="false"/>
                  <w:color w:val="0000FF"/>
                  <w:sz w:val="20"/>
                  <w:u w:val="single"/>
                </w:rPr>
                <w:t>Subsidiaries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2smg20250329.htm">
              <w:r>
                <w:rPr>
                  <w:rStyle w:val="InternetLink"/>
                  <w:rFonts w:ascii="Times New Roman;sans-serif" w:hAnsi="Times New Roman;sans-serif"/>
                  <w:b w:val="false"/>
                  <w:color w:val="0000FF"/>
                  <w:sz w:val="20"/>
                  <w:u w:val="single"/>
                </w:rPr>
                <w:t>Guarantor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smg20250329.htm">
              <w:r>
                <w:rPr>
                  <w:rStyle w:val="InternetLink"/>
                  <w:rFonts w:ascii="Times New Roman;sans-serif" w:hAnsi="Times New Roman;sans-serif"/>
                  <w:b w:val="false"/>
                  <w:color w:val="0000FF"/>
                  <w:sz w:val="20"/>
                  <w:u w:val="single"/>
                </w:rPr>
                <w:t>Rule 13a-14(a)/15d-14(a) Certifications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smg20250329.htm">
              <w:r>
                <w:rPr>
                  <w:rStyle w:val="InternetLink"/>
                  <w:rFonts w:ascii="Times New Roman;sans-serif" w:hAnsi="Times New Roman;sans-serif"/>
                  <w:b w:val="false"/>
                  <w:color w:val="0000FF"/>
                  <w:sz w:val="20"/>
                  <w:u w:val="single"/>
                </w:rPr>
                <w:t>Rule 13a-14(a)/15d-14(a) Certifications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smg20250329.htm">
              <w:r>
                <w:rPr>
                  <w:rStyle w:val="InternetLink"/>
                  <w:rFonts w:ascii="Times New Roman;sans-serif" w:hAnsi="Times New Roman;sans-serif"/>
                  <w:b w:val="false"/>
                  <w:color w:val="0000FF"/>
                  <w:sz w:val="20"/>
                  <w:u w:val="single"/>
                </w:rPr>
                <w:t>Section 1350 Certifications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f48bef3d4d94ebba46dfa10ff8cd17b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89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2027"/>
        <w:gridCol w:w="2027"/>
        <w:gridCol w:w="287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J. SCHEIWER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Mark J. Scheiwer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&amp; Chief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pPr>
      <w:r>
        <w:rPr>
          <w:rFonts w:ascii="Garamond;serif" w:hAnsi="Garamond;serif"/>
          <w:b/>
          <w:i/>
          <w:color w:val="000000"/>
          <w:sz w:val="28"/>
          <w:u w:val="single"/>
        </w:rPr>
        <w:t>The Scotts Company LLC</w:t>
      </w:r>
      <w:r>
        <w:rPr>
          <w:rFonts w:ascii="Garamond;serif" w:hAnsi="Garamond;serif"/>
          <w:b w:val="false"/>
          <w:i/>
          <w:color w:val="000000"/>
          <w:sz w:val="28"/>
          <w:u w:val="single"/>
        </w:rPr>
        <w:t>______________________________</w:t>
      </w:r>
      <w:r>
        <w:rPr/>
        <w:drawing>
          <wp:inline distT="0" distB="0" distL="0" distR="0">
            <wp:extent cx="1257300" cy="552450"/>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1257300" cy="552450"/>
                    </a:xfrm>
                    <a:prstGeom prst="rect">
                      <a:avLst/>
                    </a:prstGeom>
                  </pic:spPr>
                </pic:pic>
              </a:graphicData>
            </a:graphic>
          </wp:inline>
        </w:drawing>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February 4,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Mr. Adam Hanft</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50 Astor Lane</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Sands Point, New York 11050</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adam@hanftideas.com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Dear Adam: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letter sets forth our agreement (the “Agreement”) regarding a consulting engagement between Hanft Ideas and The Scotts Company LLC (“Scotts” or the “Company”). For the purposes of this Agreement, the term “Contractor” means Hanft Ideas, its primary designee/employee Adam Hanft, and any other designee or employee of Hanft Ideas. These consulting services are separate and distinct from the services you are and will be providing as a member of the Scotts Miracle-Gro Company’s Board of Directors (the “Board”) or any Board Committees or other Committees on which you may serve.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I.    Scope of Services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Contractor agrees to provide the consulting services to Scotts described below. It is anticipated that Contractor will generally undertake the following work and activities pursuant to this Agreement:</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    Provide insights and expertise to help inspire and develop a culture of creativity, with emphasis on: Shaping and assisting with the development of the overall marketing, creative and content strategies in conjunction with the CEO, COO, CCO and BU Leaders; inspiring innovation; and building Scotts’ brands and consumer loyalty;</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    Consult with and provide recommendations to the CEO, COO and CCO on an as-needed basis on issues of marketing strategy, including new product development; and</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    Participate in marketing meetings to support the successful execution of the anticipated marketing initiatives of the Company, including on-going support of core brands, the Company’s direct-to-consumer business, live goods, the efforts of Hawthorne Gardening Company, and any other special projects as assigned.</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    Support the Company’s business unit leaders through participating in the development and production of creative advertising and content for use across multiple media channels, including the Company’s owned channels. </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Contractor and the Company may agree to modifications of these work activities from time to time as necessary to achieve the purpose of this Agreement. When such modifications are necessary, Contractor and the Company will execute an amendment to this agreement reflecting the agreed upon modifications, which may include, by way of non-limiting examples, modifications regarding the work activities, the hours of consulting services provided, and/or the consulting fees and expenses paid to Contractor. </w:t>
      </w:r>
    </w:p>
    <w:p>
      <w:pPr>
        <w:pStyle w:val="TextBody"/>
        <w:bidi w:val="0"/>
        <w:spacing w:before="0" w:after="0"/>
        <w:jc w:val="left"/>
        <w:rPr/>
      </w:pPr>
      <w:r>
        <w:rPr/>
      </w:r>
    </w:p>
    <w:p>
      <w:pPr>
        <w:pStyle w:val="TextBody"/>
        <w:bidi w:val="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Adam Hanft                    – 2 –                    February 4, 2025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82625"/>
                <wp:effectExtent l="0" t="0" r="0" b="0"/>
                <wp:wrapNone/>
                <wp:docPr id="48" name="Frame47"/>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Garamond;serif" w:hAnsi="Garamond;serif"/>
                                <w:b/>
                                <w:i/>
                                <w:color w:val="000000"/>
                                <w:sz w:val="20"/>
                              </w:rPr>
                            </w:pPr>
                            <w:r>
                              <w:rPr>
                                <w:rFonts w:ascii="Garamond;serif" w:hAnsi="Garamond;serif"/>
                                <w:b/>
                                <w:i/>
                                <w:color w:val="000000"/>
                                <w:sz w:val="20"/>
                              </w:rPr>
                              <w:t>14111 Scottslawn Road Marysville, Ohio 43041</w:t>
                              <w:br/>
                              <w:t>937-644-0011</w:t>
                              <w:br/>
                              <w:t>www.scotts.com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Garamond;serif" w:hAnsi="Garamond;serif"/>
                          <w:b/>
                          <w:i/>
                          <w:color w:val="000000"/>
                          <w:sz w:val="20"/>
                        </w:rPr>
                      </w:pPr>
                      <w:r>
                        <w:rPr>
                          <w:rFonts w:ascii="Garamond;serif" w:hAnsi="Garamond;serif"/>
                          <w:b/>
                          <w:i/>
                          <w:color w:val="000000"/>
                          <w:sz w:val="20"/>
                        </w:rPr>
                        <w:t>14111 Scottslawn Road Marysville, Ohio 43041</w:t>
                        <w:br/>
                        <w:t>937-644-0011</w:t>
                        <w:br/>
                        <w:t>www.scotts.com</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you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II.    Length of Agreement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term of this Agreement will commence on December 1, 2024 and will end on September 30, 2025 (the “Termination Date”), unless terminated earlier under Section V.1. The term of this Agreement may be extended only by written agreement, signed by both parties and setting forth expressly the terms related to the consulting fee.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III.    Authority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IV.    Consulting Fees and Expenses</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    In exchange for providing the consulting services hereunder, during the term of this Agreement, Scotts shall pay Contractor a consulting fee of $25,000.00 per month for each month during the term irrespective of whether Scotts requests that Contractor provides consulting services hereunder. The consulting fee shall be paid as a retainer according to the following schedule: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$75,000.00 payable on or around February 1, 2025 or upon execution of this Agreement, whichever is later, for work performed in December 2024, January 2025 and February 2025;</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$75,000.00 payable on or around March 1, 2025 for work performed in March, April and May 2025;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2"/>
        </w:rPr>
        <w:t>$100,000.00 payable on or around June 1, 2025 for work performed in June, July, August and September 2025.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Contractor shall be required to submit monthly invoices with brief descriptions of the services provided.</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    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pStyle w:val="TextBody"/>
        <w:bidi w:val="0"/>
        <w:spacing w:before="0" w:after="283"/>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Adam Hanft                    – 3 –                    February 4, 2025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    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V.    Termination</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naturally expire according to its terms on the Termination Date. However:</w:t>
      </w:r>
    </w:p>
    <w:p>
      <w:pPr>
        <w:pStyle w:val="TextBody"/>
        <w:bidi w:val="0"/>
        <w:spacing w:before="0" w:after="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    Scotts shall be permitted to terminate this Agreement and its consulting relationship with Contractor prior to the Termination Date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    In the event that Scotts terminates this Agreement for any reason other than those listed in Section V.1(b)-(f), Scotts will pay Contractor the total value of this Agreement, less any amounts already paid pursuant to this Agreement, as well as any expenses Contractor has incurred pursuant to the terms of this Agreement prior to the date of such termination.</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In the event that Contractor terminates this Agreement and its consulting relationship with Scotts or Scotts terminates this Agreement and its consulting relationship with Contractor for any reason listed in Section V.1(b)-(f) of this Agreement, such termination shall not affect Scotts’ obligation to pay Contractor for the cash fees Contractor has earned prior to the date of such termination or reimburse Contractor for the expenses Contractor has incurred pursuant to the terms of this Agreement prior to the date of such termination.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VI.    Confidential Information and Insider Trading</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    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    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pStyle w:val="TextBody"/>
        <w:bidi w:val="0"/>
        <w:spacing w:before="0" w:after="0"/>
        <w:jc w:val="left"/>
        <w:rPr/>
      </w:pPr>
      <w:r>
        <w:rPr/>
      </w:r>
    </w:p>
    <w:p>
      <w:pPr>
        <w:pStyle w:val="TextBody"/>
        <w:bidi w:val="0"/>
        <w:spacing w:lineRule="auto" w:line="268"/>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In an effort to avoid the appearance of impropriety, Contractor agrees to follow all laws and regulations concerning insider trading, as well as the Scotts Insider Trading policy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Adam Hanft                    – 4 –                    February 4, 2025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(attached), during the term of this Agreement. Further, Contractor agrees that Contractor will not engage in any transaction of Scotts securities during the term of this Agreement except while the Scotts trading window is open and only after having obtained pre-clearance of the transaction per the procedure described in the Scotts Insider Trading policy. Following the termination of this Agreement, you agree that you remains subject to the Scotts Insider Trading policy if you are still serving as a member of the Board; if not, you agree that you remain subject to the Scotts Insider Trading policy until the next scheduled open trading window period and will not engage in any transaction of Scotts securities until then, and then only if you are not in possession of material, non-public information.</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    Contractor agrees to promptly return to Scotts, upon Scotts’ request, all electronic or tangible documents that contain any Confidential Information and to retain no copies.</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 These confidentiality obligations are in addition to, and not in place of, any and all confidentiality obligations arising as a result of your membership on the Board and applicable Board Committees.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VII.    Conflicts of Interest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While Contractor is not restricted from having other clients during the term of this Agreement, it is important to the Company that Contractor avoids actual or potential conflicts of interest. As such, Contractor agrees that Contractor has no business, professional, personal or other interest, including but not limited to representation of other clients, that conflicts in any manner or degree with the performance of Contractor’s obligations under this Agreement. If any such actual or potential conflict of interest arises under this Agreement, Contractor shall immediately inform the Company in writing of such conflict.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in the reasonable judgment of the Company, such conflict poses a material conflict to and with the performance of Contractor’s obligations under this Agreement, then the Company may terminate this Agreement for Cause in accordance with Section V above.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VIII.    Cooperation with Litigation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Contractor agrees to cooperate fully with Scotts in its defense of any lawsuit filed over matters that occurred while Contractor was or is a consultant to Scotts. Contractor agrees to provide full and accurate information with respect to the same. Contractor further agrees not to assist any party in maintaining any lawsuit against Scotts or any of its employees, officers or agents, and that Contractor will not provide any information to anyone concerning Scotts or its employees, directors, officers or agents, unless compelled to do so by valid subpoena or other court order, and in such case only after first notifying Scotts sufficiently in advance of such subpoena or court order to reasonably allow Scotts an opportunity to object to same. In the event that Contractor’s cooperation is necessary under this paragraph, Contractor and Scotts shall agree on a reasonable rate for Contractor’s time in providing that cooperation.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IX.    Other</w:t>
      </w:r>
    </w:p>
    <w:p>
      <w:pPr>
        <w:pStyle w:val="TextBody"/>
        <w:bidi w:val="0"/>
        <w:spacing w:before="0" w:after="0"/>
        <w:jc w:val="left"/>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2"/>
        </w:rPr>
        <w:t>1.    </w:t>
      </w:r>
      <w:r>
        <w:rPr>
          <w:rFonts w:ascii="Times New Roman;sans-serif" w:hAnsi="Times New Roman;sans-serif"/>
          <w:b/>
          <w:color w:val="000000"/>
          <w:sz w:val="22"/>
        </w:rPr>
        <w:t>No Obligation</w:t>
      </w:r>
      <w:r>
        <w:rPr>
          <w:rFonts w:ascii="Times New Roman;sans-serif" w:hAnsi="Times New Roman;sans-serif"/>
          <w:b w:val="false"/>
          <w:color w:val="000000"/>
          <w:sz w:val="22"/>
        </w:rPr>
        <w:t>. Contractor understands and agrees that this Agreement does not obligate Scotts to utilize Contractor’s consulting services, but it is intended to set forth the terms pursuant to which Scotts may utilize Contractor’s consulting services.</w:t>
      </w:r>
    </w:p>
    <w:p>
      <w:pPr>
        <w:pStyle w:val="TextBody"/>
        <w:bidi w:val="0"/>
        <w:spacing w:before="0" w:after="0"/>
        <w:jc w:val="left"/>
        <w:rPr/>
      </w:pPr>
      <w:r>
        <w:rPr/>
      </w:r>
    </w:p>
    <w:p>
      <w:pPr>
        <w:pStyle w:val="TextBody"/>
        <w:bidi w:val="0"/>
        <w:spacing w:lineRule="auto" w:line="268"/>
        <w:ind w:left="0" w:right="0" w:hanging="720"/>
        <w:jc w:val="both"/>
        <w:rPr/>
      </w:pPr>
      <w:r>
        <w:rPr>
          <w:rFonts w:ascii="Times New Roman;sans-serif" w:hAnsi="Times New Roman;sans-serif"/>
          <w:b w:val="false"/>
          <w:color w:val="000000"/>
          <w:sz w:val="22"/>
        </w:rPr>
        <w:t>2.    </w:t>
      </w:r>
      <w:r>
        <w:rPr>
          <w:rFonts w:ascii="Times New Roman;sans-serif" w:hAnsi="Times New Roman;sans-serif"/>
          <w:b/>
          <w:color w:val="000000"/>
          <w:sz w:val="22"/>
        </w:rPr>
        <w:t>Notice</w:t>
      </w:r>
      <w:r>
        <w:rPr>
          <w:rFonts w:ascii="Times New Roman;sans-serif" w:hAnsi="Times New Roman;sans-serif"/>
          <w:b w:val="false"/>
          <w:color w:val="000000"/>
          <w:sz w:val="22"/>
        </w:rPr>
        <w:t xml:space="preserve">. All notices pursuant to this Agreement will be in writing, addressed as stated below (or to such other address that may be designated by the receiving party in accordance with this Section), and will be deemed given when: (a) delivered by hand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Adam Hanft                    – 5 –                    February 4, 2025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written confirmation of receipt); (b) when received by the addressee if sent by a nationally recognized overnight carrier (receipt requested); (c) on the date sent by e-mail of a PDF document (with confirmation of transmission if sent during normal business hours of the recipient, and on the next business day if sent after normal business hours of the receiving party; or (d) on the third day after the date mailed, by certified or registered mail, return receipt requested.</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to Contractor: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Adam Hanft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50 Astor Lane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Sands Point, New York 11050</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adam@hanftideas.com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to Scotts: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Scotts Company LLC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14111 Scottslawn Rd.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Marysville, OH 43041</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Attention: Chief Human Resources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Scotts Company LLC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14111 Scottslawn Rd.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Marysville, OH 43041</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Attention: Legal Department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Email: contractnotice@scotts.com </w:t>
      </w:r>
    </w:p>
    <w:p>
      <w:pPr>
        <w:pStyle w:val="TextBody"/>
        <w:bidi w:val="0"/>
        <w:spacing w:before="0" w:after="0"/>
        <w:jc w:val="both"/>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2"/>
        </w:rPr>
        <w:t>3.    </w:t>
      </w:r>
      <w:r>
        <w:rPr>
          <w:rFonts w:ascii="Times New Roman;sans-serif" w:hAnsi="Times New Roman;sans-serif"/>
          <w:b/>
          <w:color w:val="000000"/>
          <w:sz w:val="22"/>
        </w:rPr>
        <w:t>Governing Law; Venue; Jurisdiction</w:t>
      </w:r>
      <w:r>
        <w:rPr>
          <w:rFonts w:ascii="Times New Roman;sans-serif" w:hAnsi="Times New Roman;sans-serif"/>
          <w:b w:val="false"/>
          <w:color w:val="000000"/>
          <w:sz w:val="22"/>
        </w:rPr>
        <w:t>. This Agreement is governed by the laws of the State of New York, without giving effect to any conflict-of-law principle that would result in the laws of any other jurisdiction governing this Agreement. Any action or proceeding arising out of this Agreement will be litigated in state or federal courts located in New York. Each of Scotts, LRC and Contractor consents and submits to the jurisdiction of any state or federal court located in New York County, New York.</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2"/>
        </w:rPr>
        <w:t>4.    </w:t>
      </w:r>
      <w:r>
        <w:rPr>
          <w:rFonts w:ascii="Times New Roman;sans-serif" w:hAnsi="Times New Roman;sans-serif"/>
          <w:b/>
          <w:color w:val="000000"/>
          <w:sz w:val="22"/>
        </w:rPr>
        <w:t>Severability</w:t>
      </w:r>
      <w:r>
        <w:rPr>
          <w:rFonts w:ascii="Times New Roman;sans-serif" w:hAnsi="Times New Roman;sans-serif"/>
          <w:b w:val="false"/>
          <w:color w:val="000000"/>
          <w:sz w:val="22"/>
        </w:rPr>
        <w:t>. If a provision of this Agreement is determined to be unenforceable in any respect, the enforceability of the provision in any other respect and of the remaining provisions of this Agreement will not be impaired.</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2"/>
        </w:rPr>
        <w:t>5.    </w:t>
      </w:r>
      <w:r>
        <w:rPr>
          <w:rFonts w:ascii="Times New Roman;sans-serif" w:hAnsi="Times New Roman;sans-serif"/>
          <w:b/>
          <w:color w:val="000000"/>
          <w:sz w:val="22"/>
        </w:rPr>
        <w:t>Survival</w:t>
      </w:r>
      <w:r>
        <w:rPr>
          <w:rFonts w:ascii="Times New Roman;sans-serif" w:hAnsi="Times New Roman;sans-serif"/>
          <w:b w:val="false"/>
          <w:color w:val="000000"/>
          <w:sz w:val="22"/>
        </w:rPr>
        <w:t>. Termination or expiration of this Agreement shall not release either Party from obligations that, either expressly or by their nature, survive such termination or expiration.</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2"/>
        </w:rPr>
        <w:t>6.    </w:t>
      </w:r>
      <w:r>
        <w:rPr>
          <w:rFonts w:ascii="Times New Roman;sans-serif" w:hAnsi="Times New Roman;sans-serif"/>
          <w:b/>
          <w:color w:val="000000"/>
          <w:sz w:val="22"/>
        </w:rPr>
        <w:t>Waiver</w:t>
      </w:r>
      <w:r>
        <w:rPr>
          <w:rFonts w:ascii="Times New Roman;sans-serif" w:hAnsi="Times New Roman;sans-serif"/>
          <w:b w:val="false"/>
          <w:color w:val="000000"/>
          <w:sz w:val="22"/>
        </w:rPr>
        <w:t>. The waiver by either party of a breach of any provision of this Agreement shall not operate, or be construed, as a waiver of any subsequent breach.</w:t>
      </w:r>
    </w:p>
    <w:p>
      <w:pPr>
        <w:pStyle w:val="TextBody"/>
        <w:bidi w:val="0"/>
        <w:spacing w:before="0" w:after="0"/>
        <w:ind w:left="0" w:right="0" w:hanging="720"/>
        <w:jc w:val="both"/>
        <w:rPr/>
      </w:pPr>
      <w:r>
        <w:rPr/>
      </w:r>
    </w:p>
    <w:p>
      <w:pPr>
        <w:pStyle w:val="TextBody"/>
        <w:bidi w:val="0"/>
        <w:spacing w:lineRule="auto" w:line="268"/>
        <w:ind w:left="0" w:right="0" w:hanging="720"/>
        <w:jc w:val="both"/>
        <w:rPr/>
      </w:pPr>
      <w:r>
        <w:rPr>
          <w:rFonts w:ascii="Times New Roman;sans-serif" w:hAnsi="Times New Roman;sans-serif"/>
          <w:b w:val="false"/>
          <w:color w:val="000000"/>
          <w:sz w:val="22"/>
        </w:rPr>
        <w:t>7.    </w:t>
      </w:r>
      <w:r>
        <w:rPr>
          <w:rFonts w:ascii="Times New Roman;sans-serif" w:hAnsi="Times New Roman;sans-serif"/>
          <w:b/>
          <w:color w:val="000000"/>
          <w:sz w:val="22"/>
        </w:rPr>
        <w:t>Entire Agreement; Amendment</w:t>
      </w:r>
      <w:r>
        <w:rPr>
          <w:rFonts w:ascii="Times New Roman;sans-serif" w:hAnsi="Times New Roman;sans-serif"/>
          <w:b w:val="false"/>
          <w:color w:val="000000"/>
          <w:sz w:val="22"/>
        </w:rPr>
        <w:t xml:space="preserve">. This Agreement contains the entire agreement between the parties about its subject matter. Contractor and Scotts agree that if any term in this Agreement conflicts with previously agreed-upon terms, the terms of this Agreement control and supersede the previously agreed-upon terms. This Agreement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Adam Hanft                    – 6 –                    February 4, 2025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may not be modified or altered except by a written instrument duly executed by both parties.</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2"/>
        </w:rPr>
        <w:t>8.    </w:t>
      </w:r>
      <w:r>
        <w:rPr>
          <w:rFonts w:ascii="Times New Roman;sans-serif" w:hAnsi="Times New Roman;sans-serif"/>
          <w:b/>
          <w:color w:val="000000"/>
          <w:sz w:val="22"/>
        </w:rPr>
        <w:t>Assignment</w:t>
      </w:r>
      <w:r>
        <w:rPr>
          <w:rFonts w:ascii="Times New Roman;sans-serif" w:hAnsi="Times New Roman;sans-serif"/>
          <w:b w:val="false"/>
          <w:color w:val="000000"/>
          <w:sz w:val="22"/>
        </w:rPr>
        <w:t>. Contractor acknowledges that the Services are in the character of a personal services contract and Contractor hereby represents and warrants that neither Contractor nor you will engage others to assist in providing the consulting services agreed upon in this Agreement without the prior written consent of Scotts. Contractor is not permitted to assign, sell or otherwise transfer any of Contractor’s rights or obligations hereunder.</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9.    Contractor acknowledges that neither Scotts nor any representatives of Scotts have made any representations or promises about the tax implications of this Agreement. Nothing in this Agreement may be construed as tax advice from Scotts to Contractor. Contractor has been encouraged to discuss the tax implications of this Agreement with his own tax and financial counsel.</w:t>
      </w:r>
    </w:p>
    <w:p>
      <w:pPr>
        <w:pStyle w:val="TextBody"/>
        <w:bidi w:val="0"/>
        <w:spacing w:before="0" w:after="0"/>
        <w:ind w:left="0" w:right="0" w:hanging="720"/>
        <w:jc w:val="both"/>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bidi w:val="0"/>
        <w:spacing w:before="0" w:after="0"/>
        <w:jc w:val="both"/>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Adam Hanft                    – 7 –                    February 4, 2025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pPr>
      <w:r>
        <w:rPr/>
      </w:r>
    </w:p>
    <w:tbl>
      <w:tblPr>
        <w:tblW w:w="5390" w:type="dxa"/>
        <w:jc w:val="right"/>
        <w:tblInd w:w="0" w:type="dxa"/>
        <w:tblLayout w:type="fixed"/>
        <w:tblCellMar>
          <w:top w:w="28" w:type="dxa"/>
          <w:left w:w="28" w:type="dxa"/>
          <w:bottom w:w="28" w:type="dxa"/>
          <w:right w:w="28" w:type="dxa"/>
        </w:tblCellMar>
      </w:tblPr>
      <w:tblGrid>
        <w:gridCol w:w="546"/>
        <w:gridCol w:w="480"/>
        <w:gridCol w:w="480"/>
        <w:gridCol w:w="1137"/>
        <w:gridCol w:w="1137"/>
        <w:gridCol w:w="1610"/>
      </w:tblGrid>
      <w:tr>
        <w:trPr/>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539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SCOTTS COMPANY LLC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r>
        <w:trPr/>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AMANDA RICO</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ind w:left="0" w:right="0" w:hanging="15"/>
              <w:jc w:val="left"/>
              <w:rPr>
                <w:rFonts w:ascii="Times New Roman;sans-serif" w:hAnsi="Times New Roman;sans-serif"/>
                <w:b w:val="false"/>
                <w:color w:val="000000"/>
                <w:sz w:val="22"/>
              </w:rPr>
            </w:pPr>
            <w:r>
              <w:rPr>
                <w:rFonts w:ascii="Times New Roman;sans-serif" w:hAnsi="Times New Roman;sans-serif"/>
                <w:b w:val="false"/>
                <w:color w:val="000000"/>
                <w:sz w:val="22"/>
              </w:rPr>
              <w:t>Amanda Rico</w:t>
            </w:r>
          </w:p>
          <w:p>
            <w:pPr>
              <w:pStyle w:val="TableContents"/>
              <w:bidi w:val="0"/>
              <w:spacing w:lineRule="auto" w:line="288" w:before="0" w:after="0"/>
              <w:ind w:left="0" w:right="0" w:hanging="15"/>
              <w:jc w:val="left"/>
              <w:rPr>
                <w:rFonts w:ascii="Times New Roman;sans-serif" w:hAnsi="Times New Roman;sans-serif"/>
                <w:b w:val="false"/>
                <w:color w:val="000000"/>
                <w:sz w:val="22"/>
              </w:rPr>
            </w:pPr>
            <w:r>
              <w:rPr>
                <w:rFonts w:ascii="Times New Roman;sans-serif" w:hAnsi="Times New Roman;sans-serif"/>
                <w:b w:val="false"/>
                <w:color w:val="000000"/>
                <w:sz w:val="22"/>
              </w:rPr>
              <w:t>Interim Chief Human Resources Officer</w:t>
            </w:r>
          </w:p>
        </w:tc>
      </w:tr>
    </w:tbl>
    <w:p>
      <w:pPr>
        <w:pStyle w:val="TextBody"/>
        <w:bidi w:val="0"/>
        <w:spacing w:before="0" w:after="0"/>
        <w:jc w:val="left"/>
        <w:rPr/>
      </w:pPr>
      <w:r>
        <w:rPr/>
      </w:r>
    </w:p>
    <w:p>
      <w:pPr>
        <w:pStyle w:val="TextBody"/>
        <w:bidi w:val="0"/>
        <w:spacing w:before="0" w:after="0"/>
        <w:jc w:val="left"/>
        <w:rPr/>
      </w:pPr>
      <w:r>
        <w:rPr/>
      </w:r>
    </w:p>
    <w:tbl>
      <w:tblPr>
        <w:tblW w:w="3675" w:type="dxa"/>
        <w:jc w:val="left"/>
        <w:tblInd w:w="0" w:type="dxa"/>
        <w:tblLayout w:type="fixed"/>
        <w:tblCellMar>
          <w:top w:w="28" w:type="dxa"/>
          <w:left w:w="28" w:type="dxa"/>
          <w:bottom w:w="28" w:type="dxa"/>
          <w:right w:w="28" w:type="dxa"/>
        </w:tblCellMar>
      </w:tblPr>
      <w:tblGrid>
        <w:gridCol w:w="1177"/>
        <w:gridCol w:w="1034"/>
        <w:gridCol w:w="146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ACKNOWLEDGED AND AGREED:</w:t>
            </w:r>
          </w:p>
          <w:p>
            <w:pPr>
              <w:pStyle w:val="TableContents"/>
              <w:bidi w:val="0"/>
              <w:spacing w:before="0" w:after="0"/>
              <w:jc w:val="left"/>
              <w:rPr/>
            </w:pPr>
            <w:r>
              <w:rPr/>
            </w:r>
          </w:p>
          <w:p>
            <w:pPr>
              <w:pStyle w:val="TableContents"/>
              <w:bidi w:val="0"/>
              <w:spacing w:before="0" w:after="0"/>
              <w:jc w:val="left"/>
              <w:rPr/>
            </w:pPr>
            <w:r>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ADAM HANFT</w:t>
            </w:r>
          </w:p>
        </w:tc>
      </w:tr>
      <w:tr>
        <w:trPr/>
        <w:tc>
          <w:tcPr>
            <w:tcW w:w="36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Adam Hanft, Chief Executive Officer</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Hanft Ideas LLC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19</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6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pPr>
      <w:r>
        <w:rPr/>
        <w:drawing>
          <wp:inline distT="0" distB="0" distL="0" distR="0">
            <wp:extent cx="2143125" cy="466725"/>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3"/>
                    <a:stretch>
                      <a:fillRect/>
                    </a:stretch>
                  </pic:blipFill>
                  <pic:spPr bwMode="auto">
                    <a:xfrm>
                      <a:off x="0" y="0"/>
                      <a:ext cx="2143125" cy="4667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THE SCOTTS MIRACLE-GRO COMPANY &amp;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3"/>
        </w:rPr>
      </w:pPr>
      <w:r>
        <w:rPr>
          <w:rFonts w:ascii="Times New Roman;sans-serif" w:hAnsi="Times New Roman;sans-serif"/>
          <w:b/>
          <w:color w:val="000000"/>
          <w:sz w:val="23"/>
        </w:rPr>
        <w:t>CORPORATE POLICY W-LG-1             INSIDER TRADING POLICY</w:t>
      </w:r>
    </w:p>
    <w:p>
      <w:pPr>
        <w:pStyle w:val="TextBody"/>
        <w:bidi w:val="0"/>
        <w:spacing w:before="0" w:after="0"/>
        <w:jc w:val="left"/>
        <w:rPr/>
      </w:pPr>
      <w:r>
        <w:rPr/>
      </w:r>
    </w:p>
    <w:p>
      <w:pPr>
        <w:pStyle w:val="TextBody"/>
        <w:bidi w:val="0"/>
        <w:spacing w:before="0" w:after="0"/>
        <w:jc w:val="left"/>
        <w:rPr/>
      </w:pPr>
      <w:r>
        <w:rPr/>
      </w:r>
    </w:p>
    <w:tbl>
      <w:tblPr>
        <w:tblW w:w="9913" w:type="dxa"/>
        <w:jc w:val="left"/>
        <w:tblInd w:w="0" w:type="dxa"/>
        <w:tblLayout w:type="fixed"/>
        <w:tblCellMar>
          <w:top w:w="28" w:type="dxa"/>
          <w:left w:w="28" w:type="dxa"/>
          <w:bottom w:w="28" w:type="dxa"/>
          <w:right w:w="28" w:type="dxa"/>
        </w:tblCellMar>
      </w:tblPr>
      <w:tblGrid>
        <w:gridCol w:w="265"/>
        <w:gridCol w:w="231"/>
        <w:gridCol w:w="238"/>
        <w:gridCol w:w="2685"/>
        <w:gridCol w:w="2685"/>
        <w:gridCol w:w="3809"/>
      </w:tblGrid>
      <w:tr>
        <w:trPr/>
        <w:tc>
          <w:tcPr>
            <w:tcW w:w="2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To: </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All Scotts Associates                     Date: May 1, 2025</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From: </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Mark J. Scheiwer, Executive Vice President, Chief Financial Officer &amp; Chief Accounting Officer</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Dimiter Todorov, Executive Vice President, Chief Legal Officer &amp; Corporate Secretary</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3"/>
          <w:u w:val="single"/>
        </w:rPr>
      </w:pPr>
      <w:r>
        <w:rPr>
          <w:rFonts w:ascii="Times New Roman;sans-serif" w:hAnsi="Times New Roman;sans-serif"/>
          <w:b w:val="false"/>
          <w:i/>
          <w:color w:val="000000"/>
          <w:sz w:val="23"/>
          <w:u w:val="single"/>
        </w:rPr>
        <w:t xml:space="preserve">ScottsMiracle-Gro’s Principle </w:t>
      </w:r>
    </w:p>
    <w:p>
      <w:pPr>
        <w:pStyle w:val="TextBody"/>
        <w:bidi w:val="0"/>
        <w:spacing w:lineRule="auto" w:line="288" w:before="0" w:after="0"/>
        <w:jc w:val="both"/>
        <w:rPr>
          <w:rFonts w:ascii="Times New Roman;sans-serif" w:hAnsi="Times New Roman;sans-serif"/>
          <w:b w:val="false"/>
          <w:i/>
          <w:color w:val="000000"/>
          <w:sz w:val="23"/>
        </w:rPr>
      </w:pPr>
      <w:r>
        <w:rPr>
          <w:rFonts w:ascii="Times New Roman;sans-serif" w:hAnsi="Times New Roman;sans-serif"/>
          <w:b w:val="false"/>
          <w:i/>
          <w:color w:val="000000"/>
          <w:sz w:val="23"/>
        </w:rPr>
        <w:t>The Scotts Miracle-Gro Company is committed to full compliance with the U.S. Federal and State securities laws and regulations. The securities laws dealing with trading in securities are intended to ensure the maintenance of fair and honest stock markets. Conduct that violates the securities laws can subject individuals, as well as the Company, to civil and criminal penalties and is contrary to the values of the Company and its subsidiaries.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GENERAL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In the course of business operations, associates and members of the Board of Directors of the Company (“Directors”) may become aware of material, non-public “inside” information about the Company or about another public company, whether favorable or unfavorable. It is particularly important that all associates and Directors (and others who may become involved in these matters such as consultants and independent contractors) recognize the sensitivity of confidential business information and conduct themselves accordingly. The misuse of material, non-public information can have serious, undesirable consequences. In the case of trading in securities based on inside information or providing such information to other persons who may trade on the basis of that information, such consequences may include termination of employment, other adverse employment consequences, and criminal and civil penalties.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COVERAGE</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Unlawful insider trading occurs when a person uses material non-public information obtained through their employment or other involvement with the Company to make decisions to purchase, sell or otherwise engage in transactions in that Company’s securities or to provide that information to others outside the Company. The prohibitions against insider trading apply to trading or otherwise transacting in the Company’s securities, tipping and making recommendations to engage in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transactions by virtually any person, including all persons associated with the Company, if the information involved is “material” and “non-public.” These terms are defined below.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This Policy applies to: (1) all Directors; (2) all associates of the Company and the Company’s direct and indirect subsidiaries (wherever located); (3) all Family Members (as defined below) of Directors and associates; (4) all corporations, partnerships, trusts or other entities controlled by any of the above persons (or controlled by a group comprising two or more of any of the above persons); and (5) any other person or entity as designated from time to time by the Chief Legal Officer. This Policy shall continue to apply to a Director or associate, such individual’s Family Members and all corporations, partnerships, trusts or other entities controlled by such individual even after such Director’s or associate’s separation from service to the Company. If a Director or associate is in possession of material nonpublic information when his or her service terminates, that individual, such individual’s Family Members and all corporations, partnerships, trusts or other entities controlled by such individual may not trade in Company securities until that information has become public or is no longer material. The pre-clearance procedures specified for Designated Persons (as described below) will cease to apply to transactions in Company securities upon the expiration of any blackout period applicable at the time of the separation of such Director’s or associate’s service as a Director or associate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This Policy does not apply to a partnership of which any of the persons identified in clauses (1), (2) or (3) is a non-controlling general or limited partner, it being understood that transactions in Company securities by such partnership that are for the account of such non-controlling general or limited partner identified in clauses (1), (2) or (3) shall be deemed for purposes of this Policy to be transactions directly by that person (and not the partnership) and as such covered by this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The term “Family Members” includes (1) a person’s family members who share the same address as, or who are financially dependent upon, that person; (2) any unrelated person who shares the same address as the person (other than employees or tenants); and (3) any family members who do not live with the covered person but whose transactions in the Company’s securities are directed by the covered person or subject to that person’s influence or control. You are responsible for the transactions of your Family Members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by Family Members where the purchase or sale decision is made by a third party not controlled by, influenced by or related to you or your Family Members (e.g., transactions pursuant to a trading plan compliant with Rule 10b5-1 or a trust operated and controlled by a third party not controlled by, influenced or related to you or your Family Members).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In all cases, the duty to comply or cause compliance with this Policy resides in the Director or associate.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SPECIFIC GUIDANCE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xml:space="preserve">• </w:t>
      </w:r>
      <w:r>
        <w:rPr>
          <w:rFonts w:ascii="Times New Roman;sans-serif" w:hAnsi="Times New Roman;sans-serif"/>
          <w:b/>
          <w:color w:val="000000"/>
          <w:sz w:val="23"/>
          <w:u w:val="single"/>
        </w:rPr>
        <w:t>Materiality/Confidentiality and When Information is Considered 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1. All material, non-public information about the Company, whether favorable or unfavorable, is to be kept confidential until publicly disclosed by the Company. Similarly, all material, non-public information about other companies with which the Company does business, whether favorable or unfavorable, is to be kept confidential until publicly disclosed.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2. In general, information is considered material if a “reasonable” person would attach importance to the information in determining whether to purchase or sell a company’s securities. Any information that could be expected to affect the Company’s stock price, whether positive or negative, should be considered material. There is no bright-line standard for assessing materiality; rather, materiality is based on an assessment of all of the facts and circumstances, and is often evaluated by enforcement authorities with the benefit of hindsight. Without attempting to list all types of material information, such information includes: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3"/>
        </w:rPr>
        <w:t>a.</w:t>
      </w:r>
      <w:r>
        <w:rPr>
          <w:rFonts w:ascii="Times New Roman;sans-serif" w:hAnsi="Times New Roman;sans-serif"/>
          <w:b w:val="false"/>
          <w:color w:val="000000"/>
          <w:sz w:val="23"/>
        </w:rPr>
        <w:t>Company earnings, possible dividend increases or decreases, and other financial information;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3"/>
        </w:rPr>
        <w:t>Significant positive or negative variances to plan in consumer purchase activity, as measured by retailer point of sale, in peak lawn and garden season months;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3"/>
        </w:rPr>
        <w:t>Any technological or similar “break through” which, when made public, could affect a company’s stock price;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3"/>
        </w:rPr>
        <w:t>The fact that an acquisition candidate of material importance or a material divestiture is being evaluated or considered, that discussions or negotiations are in progress, and any information relating to such matters;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3"/>
        </w:rPr>
        <w:t>Changes in senior management;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3"/>
        </w:rPr>
        <w:t>Entry into, or termination of, a significant contract.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3. Confidential information concerning such matters is to be restricted to those associates and agents who have a “need to know” for the proper performance of their respective functions.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4. Management and each associate should exercise due care in protecting the confidentiality of such matters. In particular,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a.casual conversations in public areas are to be avoided;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b.files containing material, non-public information should be stored in “secured” places.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5. Information that has not been disclosed to the public is generally considered to be non-public information. In order to establish that information has been disclosed to the public, it may be necessary to demonstrate that the information has been widely disseminated. Once information has been widely disseminated to the public, it is still necessary to afford the investing public with sufficient time to absorb the information. As a general rule, information should not be considered fully absorbed by the marketplace until one complete trading day has concluded after the information is released. If the information is released once a trading day has commenced, the information is not considered absorbed until the conclusion of the next trading day.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A “trading day” is any day on which the New York Stock Exchange is open for trading.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xml:space="preserve">    • </w:t>
      </w:r>
      <w:r>
        <w:rPr>
          <w:rFonts w:ascii="Times New Roman;sans-serif" w:hAnsi="Times New Roman;sans-serif"/>
          <w:b/>
          <w:color w:val="000000"/>
          <w:sz w:val="23"/>
          <w:u w:val="single"/>
        </w:rPr>
        <w:t>Restrictions on Trading in Securities</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1. </w:t>
      </w:r>
      <w:r>
        <w:rPr>
          <w:rFonts w:ascii="Times New Roman;sans-serif" w:hAnsi="Times New Roman;sans-serif"/>
          <w:b w:val="false"/>
          <w:color w:val="000000"/>
          <w:sz w:val="23"/>
          <w:u w:val="single"/>
        </w:rPr>
        <w:t>Trading in Company Securities</w:t>
      </w:r>
      <w:r>
        <w:rPr>
          <w:rFonts w:ascii="Times New Roman;sans-serif" w:hAnsi="Times New Roman;sans-serif"/>
          <w:b w:val="false"/>
          <w:color w:val="000000"/>
          <w:sz w:val="23"/>
        </w:rPr>
        <w:t xml:space="preserve">. No person subject to this Policy may buy, sell or make </w:t>
      </w:r>
      <w:r>
        <w:rPr>
          <w:rFonts w:ascii="Times New Roman;sans-serif" w:hAnsi="Times New Roman;sans-serif"/>
          <w:b w:val="false"/>
          <w:i/>
          <w:color w:val="000000"/>
          <w:sz w:val="23"/>
        </w:rPr>
        <w:t>bona fide</w:t>
      </w:r>
      <w:r>
        <w:rPr>
          <w:color w:val="000000"/>
        </w:rPr>
        <w:t xml:space="preserve"> </w:t>
      </w:r>
      <w:r>
        <w:rPr>
          <w:rFonts w:ascii="Times New Roman;sans-serif" w:hAnsi="Times New Roman;sans-serif"/>
          <w:b w:val="false"/>
          <w:color w:val="000000"/>
          <w:sz w:val="23"/>
        </w:rPr>
        <w:t>gifts of securities of the Company while aware of material, non-public or “inside” information concerning the Company. Designated Persons are subject to additional procedures specified below. It is the responsibility of each person subject to this policy to determine whether they are aware of material, non-public or “inside” information concerning the Company and, if so, to abstain from trading in Company securities.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2. </w:t>
      </w:r>
      <w:r>
        <w:rPr>
          <w:rFonts w:ascii="Times New Roman;sans-serif" w:hAnsi="Times New Roman;sans-serif"/>
          <w:b w:val="false"/>
          <w:color w:val="000000"/>
          <w:sz w:val="23"/>
          <w:u w:val="single"/>
        </w:rPr>
        <w:t>Trading in the Securities of Other Companies</w:t>
      </w:r>
      <w:r>
        <w:rPr>
          <w:rFonts w:ascii="Times New Roman;sans-serif" w:hAnsi="Times New Roman;sans-serif"/>
          <w:b w:val="false"/>
          <w:color w:val="000000"/>
          <w:sz w:val="23"/>
        </w:rPr>
        <w:t>. No person subject to this Policy who knows of a possible acquisition should make any trades in the securities of the acquisition candidate regardless of whether the acquisition is considered material to The Scotts Miracle-Gro Company or its subsidiaries. Similarly, no person subject to this Policy who becomes aware of material, non-public information relating to another company with which the Company transacts business or competes should make any trades in the securities of such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3. </w:t>
      </w:r>
      <w:r>
        <w:rPr>
          <w:rFonts w:ascii="Times New Roman;sans-serif" w:hAnsi="Times New Roman;sans-serif"/>
          <w:b w:val="false"/>
          <w:color w:val="000000"/>
          <w:sz w:val="23"/>
          <w:u w:val="single"/>
        </w:rPr>
        <w:t>Prohibition on Short Sales</w:t>
      </w:r>
      <w:r>
        <w:rPr>
          <w:rFonts w:ascii="Times New Roman;sans-serif" w:hAnsi="Times New Roman;sans-serif"/>
          <w:b w:val="false"/>
          <w:color w:val="000000"/>
          <w:sz w:val="23"/>
        </w:rPr>
        <w:t>. No person subject to this Policy may engage in short sales of Company securities. A short sale is the sale of a security that the seller does not own at the time of the trade; the sale is often accomplished using a security borrowed from a broker, and the seller is required to purchase the security at some time in the future to “cover” the sale.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4. </w:t>
      </w:r>
      <w:r>
        <w:rPr>
          <w:rFonts w:ascii="Times New Roman;sans-serif" w:hAnsi="Times New Roman;sans-serif"/>
          <w:b w:val="false"/>
          <w:color w:val="000000"/>
          <w:sz w:val="23"/>
          <w:u w:val="single"/>
        </w:rPr>
        <w:t>Prohibition on Options Transactions</w:t>
      </w:r>
      <w:r>
        <w:rPr>
          <w:rFonts w:ascii="Times New Roman;sans-serif" w:hAnsi="Times New Roman;sans-serif"/>
          <w:b w:val="false"/>
          <w:color w:val="000000"/>
          <w:sz w:val="23"/>
        </w:rPr>
        <w:t>. No person subject to this Policy may engage in transactions in puts, calls or other derivatives that relate to or involve Company securities. A put or call option gives the holder of the option the right to sell (put) or purchase (call) securities within a certain time period at a specified price. Such transactions are, in effect, bets on the short-term movement of the Company’s stock and, therefore, create the appearance that trading is based on non-public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5. </w:t>
      </w:r>
      <w:r>
        <w:rPr>
          <w:rFonts w:ascii="Times New Roman;sans-serif" w:hAnsi="Times New Roman;sans-serif"/>
          <w:b w:val="false"/>
          <w:color w:val="000000"/>
          <w:sz w:val="23"/>
          <w:u w:val="single"/>
        </w:rPr>
        <w:t>Prohibition on Hedging Company Securities</w:t>
      </w:r>
      <w:r>
        <w:rPr>
          <w:rFonts w:ascii="Times New Roman;sans-serif" w:hAnsi="Times New Roman;sans-serif"/>
          <w:b w:val="false"/>
          <w:color w:val="000000"/>
          <w:sz w:val="23"/>
        </w:rPr>
        <w:t>. Certain transactions, such as forward sale or purchase contracts, equity swaps, collars and exchange funds, allow an individual to hedge against decreases in the market value of Company securities held by or granted to such individual. These transactions allow the individual to continue to own the covered securities, but without the full risks and rewards of ownership. When that occurs, the individual may no longer have the same objectives as the Company’s other shareholders. Accordingly, persons subject to this Policy are prohibited from engaging in hedging transactions involving Company securities.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3"/>
        </w:rPr>
        <w:t xml:space="preserve">6. </w:t>
      </w:r>
      <w:r>
        <w:rPr>
          <w:rFonts w:ascii="Times New Roman;sans-serif" w:hAnsi="Times New Roman;sans-serif"/>
          <w:b w:val="false"/>
          <w:color w:val="000000"/>
          <w:sz w:val="23"/>
          <w:u w:val="single"/>
        </w:rPr>
        <w:t>Prohibition on Tipping</w:t>
      </w:r>
      <w:r>
        <w:rPr>
          <w:rFonts w:ascii="Times New Roman;sans-serif" w:hAnsi="Times New Roman;sans-serif"/>
          <w:b w:val="false"/>
          <w:color w:val="000000"/>
          <w:sz w:val="23"/>
        </w:rPr>
        <w:t>. Communication of “inside” information to another person who may trade or advise others to trade on the basis of the information is considered “tipping.” Tipping is illegal and could subject both the tipper and the tippee to severe civil and criminal penalties, as well as termination of employment by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7. </w:t>
      </w:r>
      <w:r>
        <w:rPr>
          <w:rFonts w:ascii="Times New Roman;sans-serif" w:hAnsi="Times New Roman;sans-serif"/>
          <w:b w:val="false"/>
          <w:color w:val="000000"/>
          <w:sz w:val="23"/>
          <w:u w:val="single"/>
        </w:rPr>
        <w:t>Exceptions</w:t>
      </w:r>
      <w:r>
        <w:rPr>
          <w:rFonts w:ascii="Times New Roman;sans-serif" w:hAnsi="Times New Roman;sans-serif"/>
          <w:b w:val="false"/>
          <w:color w:val="000000"/>
          <w:sz w:val="23"/>
        </w:rPr>
        <w:t>. These trading restrictions do not apply 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3"/>
        </w:rPr>
        <w:t xml:space="preserve">(a) </w:t>
      </w:r>
      <w:r>
        <w:rPr>
          <w:rFonts w:ascii="Times New Roman;sans-serif" w:hAnsi="Times New Roman;sans-serif"/>
          <w:b w:val="false"/>
          <w:color w:val="000000"/>
          <w:sz w:val="23"/>
          <w:u w:val="single"/>
        </w:rPr>
        <w:t>Stock Option Exercises and Restricted Stock Awards</w:t>
      </w:r>
      <w:r>
        <w:rPr>
          <w:rFonts w:ascii="Times New Roman;sans-serif" w:hAnsi="Times New Roman;sans-serif"/>
          <w:b w:val="false"/>
          <w:color w:val="000000"/>
          <w:sz w:val="23"/>
        </w:rPr>
        <w:t xml:space="preserve">. Exercises of stock options or other equity awards or the surrender or withholding of shares to the Company in payment of the exercise price or in satisfaction of any tax withholding obligations, in each case in a manner permitted by the applicable equity award agreement; provided, however, that the securities so acquired may not be sold (either outright or in connection with a “cashless” exercise transaction through a broker) other than to the Company as provided in clause (d) of this Section 5 while the associate or Director is aware of material, non-public information or, if the associate or Director is a Designated Person, while the trading window is closed;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3"/>
        </w:rPr>
        <w:t>(b) </w:t>
      </w:r>
      <w:r>
        <w:rPr>
          <w:rFonts w:ascii="Times New Roman;sans-serif" w:hAnsi="Times New Roman;sans-serif"/>
          <w:b w:val="false"/>
          <w:color w:val="000000"/>
          <w:sz w:val="23"/>
          <w:u w:val="single"/>
        </w:rPr>
        <w:t>401(k) Plan or DSPP</w:t>
      </w:r>
      <w:r>
        <w:rPr>
          <w:rFonts w:ascii="Times New Roman;sans-serif" w:hAnsi="Times New Roman;sans-serif"/>
          <w:b w:val="false"/>
          <w:color w:val="000000"/>
          <w:sz w:val="23"/>
        </w:rPr>
        <w:t xml:space="preserve">. Acquisitions or dispositions of Company stock under the Company’s 401(k) plan, the Company’s Discounted Stock Purchase Plan (“DSPP”) or other individual account plan which, subject to clause (c), are made pursuant to standing instructions not entered into or modified while the associate or Director is aware of material, non-public information or, if the associate or Director is a Designated Person, while the trading window is closed. This exception does not apply, however, to certain elections you may make under the 401(k) plan or DSPP, including, as applicable: (i) an election to increase or decrease the percentage of your elective deferrals that will be allocated to the Company stock fund; (ii) an election to initiate, increase or decrease contributions with respect to the DSPP; (iii) an election to make an intra-plan transfer of an existing account balance into or out of the Company stock fund; (iv) an election to borrow money against your 401(k) plan account if the loan will result in a liquidation of some or all of your Company stock fund balance; and (v) an election to pre-pay a plan loan if the pre-payment will result in allocation of loan proceeds to the Company stock fund;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3"/>
        </w:rPr>
        <w:t xml:space="preserve">(c) </w:t>
      </w:r>
      <w:r>
        <w:rPr>
          <w:rFonts w:ascii="Times New Roman;sans-serif" w:hAnsi="Times New Roman;sans-serif"/>
          <w:b w:val="false"/>
          <w:color w:val="000000"/>
          <w:sz w:val="23"/>
          <w:u w:val="single"/>
        </w:rPr>
        <w:t>Other Purchases from or Sales to the Company.</w:t>
      </w:r>
      <w:r>
        <w:rPr>
          <w:color w:val="000000"/>
        </w:rPr>
        <w:t xml:space="preserve"> </w:t>
      </w:r>
      <w:r>
        <w:rPr>
          <w:rFonts w:ascii="Times New Roman;sans-serif" w:hAnsi="Times New Roman;sans-serif"/>
          <w:b w:val="false"/>
          <w:color w:val="000000"/>
          <w:sz w:val="23"/>
        </w:rPr>
        <w:t>Other purchases of securities from the Company or sales of securities to the Company; and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3"/>
        </w:rPr>
        <w:t xml:space="preserve">(d) </w:t>
      </w:r>
      <w:r>
        <w:rPr>
          <w:rFonts w:ascii="Times New Roman;sans-serif" w:hAnsi="Times New Roman;sans-serif"/>
          <w:b w:val="false"/>
          <w:color w:val="000000"/>
          <w:sz w:val="23"/>
          <w:u w:val="single"/>
        </w:rPr>
        <w:t>Rule 10b5-1 Trading Plans</w:t>
      </w:r>
      <w:r>
        <w:rPr>
          <w:rFonts w:ascii="Times New Roman;sans-serif" w:hAnsi="Times New Roman;sans-serif"/>
          <w:b w:val="false"/>
          <w:color w:val="000000"/>
          <w:sz w:val="23"/>
        </w:rPr>
        <w:t xml:space="preserve">. Purchases or sales made pursuant to a binding contract, written plan or specific instruction (as discussed in more detail below, a “trading plan”) which is adopted and operated in compliance with Rule 10b5-1 and this Policy. This exception applies only to </w:t>
      </w:r>
      <w:r>
        <w:rPr>
          <w:rFonts w:ascii="Times New Roman;sans-serif" w:hAnsi="Times New Roman;sans-serif"/>
          <w:b w:val="false"/>
          <w:i/>
          <w:color w:val="000000"/>
          <w:sz w:val="23"/>
          <w:u w:val="single"/>
        </w:rPr>
        <w:t>Section 1. Trading in Company Securities</w:t>
      </w:r>
      <w:r>
        <w:rPr>
          <w:rFonts w:ascii="Times New Roman;sans-serif" w:hAnsi="Times New Roman;sans-serif"/>
          <w:b w:val="false"/>
          <w:color w:val="000000"/>
          <w:sz w:val="23"/>
        </w:rPr>
        <w:t>. All restrictions set forth in Sections 2 through 6 above shall apply.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xml:space="preserve">    • </w:t>
      </w:r>
      <w:r>
        <w:rPr>
          <w:rFonts w:ascii="Times New Roman;sans-serif" w:hAnsi="Times New Roman;sans-serif"/>
          <w:b/>
          <w:color w:val="000000"/>
          <w:sz w:val="23"/>
          <w:u w:val="single"/>
        </w:rPr>
        <w:t>Determination of Materiality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Determining what information about the Company or any other company is material may be difficult. If there is any doubt or the question is close, then the answer should be not to trade while aware of such information. If an associate has a question, he or she should raise it with the Chief Financial Officer or the Chief Legal Officer.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ind w:left="0" w:right="0" w:hanging="360"/>
        <w:jc w:val="both"/>
        <w:rPr/>
      </w:pPr>
      <w:r>
        <w:rPr>
          <w:color w:val="000000"/>
        </w:rPr>
        <w:t xml:space="preserve">    • </w:t>
      </w:r>
      <w:r>
        <w:rPr>
          <w:rFonts w:ascii="Times New Roman;sans-serif" w:hAnsi="Times New Roman;sans-serif"/>
          <w:b/>
          <w:color w:val="000000"/>
          <w:sz w:val="23"/>
          <w:u w:val="single"/>
        </w:rPr>
        <w:t>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Persons who trade in a company’s securities while aware of inside information are subject to severe sanctions, including (i) termination or suspension of employment by the Company, (ii) ineligibility for future participation in the Company’s equity incentive programs, (iii) compensation freezing, (iv) disgorgement of gains or avoided losses from transactions that violate this Policy, (v) reimbursement of the Company’s costs in responding to a violation of this Policy, as well as (vi) civil and criminal penalties, which could include monetary fines, liability for damages and prison time.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xml:space="preserve">    • </w:t>
      </w:r>
      <w:r>
        <w:rPr>
          <w:rFonts w:ascii="Times New Roman;sans-serif" w:hAnsi="Times New Roman;sans-serif"/>
          <w:b/>
          <w:color w:val="000000"/>
          <w:sz w:val="23"/>
          <w:u w:val="single"/>
        </w:rPr>
        <w:t>Additional Restrictions and Procedures for Designated Persons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1. </w:t>
      </w:r>
      <w:r>
        <w:rPr>
          <w:rFonts w:ascii="Times New Roman;sans-serif" w:hAnsi="Times New Roman;sans-serif"/>
          <w:b w:val="false"/>
          <w:color w:val="000000"/>
          <w:sz w:val="23"/>
          <w:u w:val="single"/>
        </w:rPr>
        <w:t>Designated Persons</w:t>
      </w:r>
      <w:r>
        <w:rPr>
          <w:rFonts w:ascii="Times New Roman;sans-serif" w:hAnsi="Times New Roman;sans-serif"/>
          <w:b w:val="false"/>
          <w:color w:val="000000"/>
          <w:sz w:val="23"/>
        </w:rPr>
        <w:t>. “Designated Persons” are persons that are otherwise covered by this Policy as set forth in “Coverage” above but who also come within one of the following four categories: (a) all Directors and executive officers of the Company (the “Section 16 Insiders”); (b) any associate of the Company who is specifically notified that he or she is a Designated Person; (c) Family Members of Section 16 Insiders or Family Members of specifically notified associates as specified in clause (b); and (d) all corporations, partnerships, trusts or other entities controlled by any of the above persons.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2. </w:t>
      </w:r>
      <w:r>
        <w:rPr>
          <w:rFonts w:ascii="Times New Roman;sans-serif" w:hAnsi="Times New Roman;sans-serif"/>
          <w:b w:val="false"/>
          <w:color w:val="000000"/>
          <w:sz w:val="23"/>
          <w:u w:val="single"/>
        </w:rPr>
        <w:t>Pre-clearance of Trades</w:t>
      </w:r>
      <w:r>
        <w:rPr>
          <w:rFonts w:ascii="Times New Roman;sans-serif" w:hAnsi="Times New Roman;sans-serif"/>
          <w:b w:val="false"/>
          <w:color w:val="000000"/>
          <w:sz w:val="23"/>
        </w:rPr>
        <w:t>. To help prevent inadvertent violations of this Policy and to avoid even the appearance of improper transactions, the Company has implemented the following procedures for pre-clearance of all trades (including gifts) in the securities of The Scotts Miracle-Gro Company by Designated Persons.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A Designated Person wishing to trade in Company securities must first notify the Chief Legal Officer’s office when they or any Family Member plans to enter into a transaction in the securities of The Scotts Miracle-Gro Company. This notification must be in writing (including by e-mail) and should include the identity of the Designated Person, the type of transaction (for example, an open market purchase, a privately negotiated sale, an option exercise, a gift, etc.), the date or proposed date of the transaction and the number of options or shares involved. In addition, the Designated Person must execute a certification (in the form attached as Exhibit A) that he or she is not aware of material, non-public information about the Company. The Chief Financial Officer and the Chief Legal Officer shall have sole discretion to decide whether to permit the contemplated transaction. (The Chief Legal Officer shall have sole discretion to decide whether to permit transactions by the Chief Financial Officer or his or her Family Members, and the Chief Financial Officer shall have sole discretion to decide whether to permit transactions by the Chief Legal Officer or his or her Family Members.) All trades that are pre-cleared must be effected within five business days of receipt of the pre-clearance unless a specific exception has been granted by the Chief Legal Officer and Chief Financial Officer. A pre-cleared trade (or any portion of a pre-cleared trade) that has not been effected during the five business day period must be pre-cleared again prior to execution. If a Designated Person becomes aware of material, non-public information following receipt of pre-clearance but before the trade is executed, the Designated Person must not complete the trade.</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3"/>
        </w:rPr>
        <w:t xml:space="preserve">3. </w:t>
      </w:r>
      <w:r>
        <w:rPr>
          <w:rFonts w:ascii="Times New Roman;sans-serif" w:hAnsi="Times New Roman;sans-serif"/>
          <w:b w:val="false"/>
          <w:color w:val="000000"/>
          <w:sz w:val="23"/>
          <w:u w:val="single"/>
        </w:rPr>
        <w:t>Trading Window</w:t>
      </w:r>
      <w:r>
        <w:rPr>
          <w:rFonts w:ascii="Times New Roman;sans-serif" w:hAnsi="Times New Roman;sans-serif"/>
          <w:b w:val="false"/>
          <w:color w:val="000000"/>
          <w:sz w:val="23"/>
        </w:rPr>
        <w:t xml:space="preserve">. As a general rule, transactions by Designated Persons in the securities of The Scotts Miracle-Gro Company will be permitted only when the trading window is “open.” The open window period typically begins one full trading day following the public announcement by the Company of its quarterly earnings. The open window period typically ends on the day that is two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3"/>
        </w:rPr>
        <w:t xml:space="preserve">calendar weeks prior to the end of each fiscal quarter, </w:t>
      </w:r>
      <w:r>
        <w:rPr>
          <w:rFonts w:ascii="Times New Roman;sans-serif" w:hAnsi="Times New Roman;sans-serif"/>
          <w:b w:val="false"/>
          <w:i/>
          <w:color w:val="000000"/>
          <w:sz w:val="23"/>
        </w:rPr>
        <w:t>except</w:t>
      </w:r>
      <w:r>
        <w:rPr>
          <w:color w:val="000000"/>
        </w:rPr>
        <w:t xml:space="preserve"> </w:t>
      </w:r>
      <w:r>
        <w:rPr>
          <w:rFonts w:ascii="Times New Roman;sans-serif" w:hAnsi="Times New Roman;sans-serif"/>
          <w:b w:val="false"/>
          <w:color w:val="000000"/>
          <w:sz w:val="23"/>
        </w:rPr>
        <w:t>for the third fiscal quarter, where the open window period will end after two weeks. The Company may from time to time close the trading window when it would otherwise be open in view of significant events or developments involving the Company. As a convenience, Designated Persons will be sent notices pertaining to the opening and closing of the trading window.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 xml:space="preserve">4. </w:t>
      </w:r>
      <w:r>
        <w:rPr>
          <w:rFonts w:ascii="Times New Roman;sans-serif" w:hAnsi="Times New Roman;sans-serif"/>
          <w:b w:val="false"/>
          <w:color w:val="000000"/>
          <w:sz w:val="23"/>
          <w:u w:val="single"/>
        </w:rPr>
        <w:t>Pre-clearance of 10b5-1 Trading Plans</w:t>
      </w:r>
      <w:r>
        <w:rPr>
          <w:rFonts w:ascii="Times New Roman;sans-serif" w:hAnsi="Times New Roman;sans-serif"/>
          <w:b w:val="false"/>
          <w:color w:val="000000"/>
          <w:sz w:val="23"/>
        </w:rPr>
        <w:t>. Rule 10b5-1 under the Exchange Act provides an affirmative defense against an allegation of insider trading. In order to be eligible to rely on this defense, a Designated Person must enter into a Rule 10b5-1 plan for transactions in securities of The Scotts Miracle-Gro Company that satisfies certain requirements specified in the Rule (including cooling-off periods). If the plan meets the requirements of Rule 10b5-1, a Designated Person may purchase or sell securities of The Scotts Miracle-Gro Company pursuant to the plan without regard to certain insider trading restrictions. In general, a Rule 10b5-1 Plan must be entered into at a time when the person entering into the plan is not aware of material nonpublic information. Once the Rule 10b5-1 Plan is adopted, the person must not exercise any influence over the amount of securities to be traded, the price at which they are to be traded or the date of the trade</w:t>
      </w:r>
      <w:r>
        <w:rPr>
          <w:rFonts w:ascii="Times New Roman;sans-serif" w:hAnsi="Times New Roman;sans-serif"/>
          <w:b w:val="false"/>
          <w:color w:val="0000FF"/>
          <w:sz w:val="23"/>
        </w:rPr>
        <w:t xml:space="preserve">. </w:t>
      </w:r>
      <w:r>
        <w:rPr>
          <w:rFonts w:ascii="Times New Roman;sans-serif" w:hAnsi="Times New Roman;sans-serif"/>
          <w:b w:val="false"/>
          <w:color w:val="000000"/>
          <w:sz w:val="23"/>
        </w:rPr>
        <w:t>For example, if a Designated Person implements a written trading plan (at a time when he or she was not aware of material, non-public information) specifying that he or she will sell 1,000 shares of common stock of the Company on the first day of each month following the end of the applicable cooling-off period, a sale pursuant to that plan would not subject the Designated Person to insider trading liability even if he or she was aware of material, non-public information at the time the sale took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Trading plans complying with Rule 10b5-1 have the obvious advantage of protecting against insider trading liability. However, they also require advance commitments regarding the amounts, prices and timing of purchases and sales under those plans and contracts, and thus limit flexibility and discretion with respect to such transactions to some degree. Accordingly, while some Designated Persons may find such trading plans attractive, they may not be suitable for all Designated Persons. It is the Company’s policy that any Designated Person wishing to adopt a new Rule 10b5-1 trading plan or amend an existing Rule 10b5-1 trading plan submit the trading plan in advance for review and written approval by the Chief Legal Officer and/or the Chief Financial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The Chief Legal Officer and Chief Financial Officer will approve a trading plan or trading plan amendment only if the trading plan (1) is in writing; (2) is submitted to the Company for review by the Chief Legal Officer and/or Chief Financial Officer prior to its adoption; and (3) is to be adopted while the Designated Person is not aware of material, non-public information and when the trading window is open.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While the Company encourages Designated Persons to use trading plans as appropriate, the Company’s expectation is that the Designated Person will adhere to the terms of the trading plan and not seek to terminate the trading plan before its natural conclusion. While the Company will not permit amendments to a trading plan, it will consider requests for early termination of a trading plan on a case-by-case basis. The Company expects that a Designated Person who successfully terminates a trading plan early will not seek to enter into a new trading plan for a period of at least six months following the early termination of that trading plan. Further, if the Company, in its sole discretion, determines that a Designated Person has engaged in a pattern of early termination of trading plans, the Company may decline to pre-approve future requests for trading plans by the Designated Person.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3"/>
        </w:rPr>
        <w:t xml:space="preserve">5. </w:t>
      </w:r>
      <w:r>
        <w:rPr>
          <w:rFonts w:ascii="Times New Roman;sans-serif" w:hAnsi="Times New Roman;sans-serif"/>
          <w:b w:val="false"/>
          <w:color w:val="000000"/>
          <w:sz w:val="23"/>
          <w:u w:val="single"/>
        </w:rPr>
        <w:t>Post Transaction Notification</w:t>
      </w:r>
      <w:r>
        <w:rPr>
          <w:rFonts w:ascii="Times New Roman;sans-serif" w:hAnsi="Times New Roman;sans-serif"/>
          <w:b w:val="false"/>
          <w:color w:val="000000"/>
          <w:sz w:val="23"/>
        </w:rPr>
        <w:t>. Section 16 Insiders must notify the Chief Legal Officer promptly following, and in no event more than one business day after, any trades (including gifts) in the securities of The Scotts Miracle-Gro Company to facilitate compliance with the reporting requirements of Section 16(a) of the Securities Exchange Act of 1934 (and the rules promulgated thereunder).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All questions about this policy should be directed to the Office of the Chief Legal Officer or Office of the Chief Financial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PRE-CLEARANCE 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certify that I have read and I am familiar with the Insider Trading Policy of The Scotts Miracle-Gro Company &amp; Subsidiaries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Based on my review of the Company’s Insider Trading Policy, I believe the proposed purchase or sale of securities of the Company, or adoption of a Rule 10b5-1 plan regarding a future purchase or sale of securities of the Company, for which I am seeking pre-clearance is being completed in accordance with the Company’s Insider Trading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Further, by signing this certification, I represent to the Company that to the best of my knowledge I am not currently aware of any material, non-public or “inside” information about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I agree that if I become aware of any material, non-public or “inside” information about the Company at any time after pre-clearance has been granted but before the purchase, sale or adoption of a 10b5-1 plan, or if I am not sure whether such information is material, </w:t>
      </w:r>
      <w:r>
        <w:rPr>
          <w:rFonts w:ascii="Times New Roman;sans-serif" w:hAnsi="Times New Roman;sans-serif"/>
          <w:b/>
          <w:color w:val="000000"/>
          <w:sz w:val="24"/>
        </w:rPr>
        <w:t xml:space="preserve">I will immediately stop the execution of such purchase or sale or adoption of a 10b5-1 plan </w:t>
      </w:r>
      <w:r>
        <w:rPr>
          <w:rFonts w:ascii="Times New Roman;sans-serif" w:hAnsi="Times New Roman;sans-serif"/>
          <w:b w:val="false"/>
          <w:color w:val="000000"/>
          <w:sz w:val="24"/>
        </w:rPr>
        <w:t>and contact the Chief Legal Officer or Chief Financial Officer of the Company. However, once the purchase or sale has taken place, or once the adoption of a 10b5-1 plan has become effective, I need not take any further 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Finally, I understand that early termination of a 10b5-1 plan exposes me to external regulatory risks as well as internal Company actions intended to discourage such activity.</w:t>
      </w:r>
    </w:p>
    <w:p>
      <w:pPr>
        <w:pStyle w:val="TextBody"/>
        <w:bidi w:val="0"/>
        <w:spacing w:before="0" w:after="0"/>
        <w:jc w:val="left"/>
        <w:rPr/>
      </w:pPr>
      <w:r>
        <w:rPr/>
      </w:r>
    </w:p>
    <w:p>
      <w:pPr>
        <w:pStyle w:val="TextBody"/>
        <w:bidi w:val="0"/>
        <w:spacing w:before="0" w:after="0"/>
        <w:jc w:val="left"/>
        <w:rPr/>
      </w:pPr>
      <w:r>
        <w:rPr/>
      </w:r>
    </w:p>
    <w:tbl>
      <w:tblPr>
        <w:tblW w:w="4274" w:type="dxa"/>
        <w:jc w:val="left"/>
        <w:tblInd w:w="0" w:type="dxa"/>
        <w:tblLayout w:type="fixed"/>
        <w:tblCellMar>
          <w:top w:w="28" w:type="dxa"/>
          <w:left w:w="28" w:type="dxa"/>
          <w:bottom w:w="28" w:type="dxa"/>
          <w:right w:w="28" w:type="dxa"/>
        </w:tblCellMar>
      </w:tblPr>
      <w:tblGrid>
        <w:gridCol w:w="1364"/>
        <w:gridCol w:w="1202"/>
        <w:gridCol w:w="1708"/>
      </w:tblGrid>
      <w:tr>
        <w:trPr/>
        <w:tc>
          <w:tcPr>
            <w:tcW w:w="136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Print Name ________________________</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__________________________</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 ______________________________</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 AND INDIRECT SUBSIDIARIES OF</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Directly owned subsidiaries, as of March 29, 2025, are located at the left margin, each subsidiary tier thereunder is indented. Subsidiaries are listed under the names of their respective parent entities. Unless otherwise noted, the subsidiaries are wholly-owned.</w:t>
      </w:r>
    </w:p>
    <w:tbl>
      <w:tblPr>
        <w:tblW w:w="8246" w:type="dxa"/>
        <w:jc w:val="left"/>
        <w:tblInd w:w="0" w:type="dxa"/>
        <w:tblLayout w:type="fixed"/>
        <w:tblCellMar>
          <w:top w:w="28" w:type="dxa"/>
          <w:left w:w="28" w:type="dxa"/>
          <w:bottom w:w="28" w:type="dxa"/>
          <w:right w:w="28" w:type="dxa"/>
        </w:tblCellMar>
      </w:tblPr>
      <w:tblGrid>
        <w:gridCol w:w="1728"/>
        <w:gridCol w:w="1530"/>
        <w:gridCol w:w="1541"/>
        <w:gridCol w:w="109"/>
        <w:gridCol w:w="109"/>
        <w:gridCol w:w="109"/>
        <w:gridCol w:w="912"/>
        <w:gridCol w:w="912"/>
        <w:gridCol w:w="1296"/>
      </w:tblGrid>
      <w:tr>
        <w:trPr/>
        <w:tc>
          <w:tcPr>
            <w:tcW w:w="1728"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Global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Bonnie Plants, LLC</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Oregon Research Station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Servicios, S.A.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Miracle-Gro Tecnología &amp; Servicios, S de R.L.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Servicios, S.A. de C.V.2</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Miracle-Gro Tecnología &amp; Servicios, S de R.L.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The Hawthorne Gardening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Gardening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Gavita International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Agrolux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HGCI,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839" w:type="dxa"/>
        <w:jc w:val="left"/>
        <w:tblInd w:w="0" w:type="dxa"/>
        <w:tblLayout w:type="fixed"/>
        <w:tblCellMar>
          <w:top w:w="28" w:type="dxa"/>
          <w:left w:w="28" w:type="dxa"/>
          <w:bottom w:w="28" w:type="dxa"/>
          <w:right w:w="28" w:type="dxa"/>
        </w:tblCellMar>
      </w:tblPr>
      <w:tblGrid>
        <w:gridCol w:w="2191"/>
        <w:gridCol w:w="1926"/>
        <w:gridCol w:w="2722"/>
      </w:tblGrid>
      <w:tr>
        <w:trPr/>
        <w:tc>
          <w:tcPr>
            <w:tcW w:w="219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Scotts Live Goods Holdings, Inc.’s ownership is 50.0%.</w:t>
            </w:r>
          </w:p>
          <w:p>
            <w:pPr>
              <w:pStyle w:val="TableContents"/>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Scotts Professional Products Co. owns 50% and Scotts Products Co. owns 50.0%.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97" w:type="dxa"/>
        <w:jc w:val="center"/>
        <w:tblInd w:w="0" w:type="dxa"/>
        <w:tblLayout w:type="fixed"/>
        <w:tblCellMar>
          <w:top w:w="28" w:type="dxa"/>
          <w:left w:w="28" w:type="dxa"/>
          <w:bottom w:w="28" w:type="dxa"/>
          <w:right w:w="28" w:type="dxa"/>
        </w:tblCellMar>
      </w:tblPr>
      <w:tblGrid>
        <w:gridCol w:w="1178"/>
        <w:gridCol w:w="1032"/>
        <w:gridCol w:w="1045"/>
        <w:gridCol w:w="109"/>
        <w:gridCol w:w="109"/>
        <w:gridCol w:w="109"/>
        <w:gridCol w:w="440"/>
        <w:gridCol w:w="440"/>
        <w:gridCol w:w="635"/>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ind w:left="0" w:right="0" w:hanging="2565"/>
              <w:jc w:val="left"/>
              <w:rPr>
                <w:color w:val="000000"/>
              </w:rPr>
            </w:pPr>
            <w:r>
              <w:rPr>
                <w:color w:val="000000"/>
              </w:rPr>
              <w:t>     </w:t>
            </w:r>
            <w:r>
              <w:rPr>
                <w:rFonts w:ascii="Times New Roman;sans-serif" w:hAnsi="Times New Roman;sans-serif"/>
                <w:b w:val="false"/>
                <w:color w:val="000000"/>
                <w:sz w:val="20"/>
              </w:rPr>
              <w:t>Scotts Sierra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Laketon Peat Moss Inc.</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de Mexico SA de CV</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SMG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SMG Gardening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The Scotts Miracle-Gro Foundation</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44" w:type="dxa"/>
        <w:jc w:val="left"/>
        <w:tblInd w:w="0" w:type="dxa"/>
        <w:tblLayout w:type="fixed"/>
        <w:tblCellMar>
          <w:top w:w="28" w:type="dxa"/>
          <w:left w:w="28" w:type="dxa"/>
          <w:bottom w:w="28" w:type="dxa"/>
          <w:right w:w="28" w:type="dxa"/>
        </w:tblCellMar>
      </w:tblPr>
      <w:tblGrid>
        <w:gridCol w:w="2706"/>
        <w:gridCol w:w="2378"/>
        <w:gridCol w:w="3360"/>
      </w:tblGrid>
      <w:tr>
        <w:trPr/>
        <w:tc>
          <w:tcPr>
            <w:tcW w:w="270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8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Scotts Canada Ltd.'s ownership is 50.0%.</w:t>
            </w:r>
          </w:p>
          <w:p>
            <w:pPr>
              <w:pStyle w:val="TableContents"/>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The Scotts Company LLC owns 0.5% and Scotts-Sierra Investments LLC owns the remaining 99.5%.</w:t>
            </w:r>
          </w:p>
          <w:p>
            <w:pPr>
              <w:pStyle w:val="TableContents"/>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The Scotts Miracle-Gro Foundation is a 501(c)(3)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22</w:t>
      </w:r>
    </w:p>
    <w:p>
      <w:pPr>
        <w:pStyle w:val="TextBody"/>
        <w:bidi w:val="0"/>
        <w:spacing w:before="0" w:after="200"/>
        <w:jc w:val="right"/>
        <w:rPr/>
      </w:pPr>
      <w:r>
        <w:rPr/>
      </w:r>
    </w:p>
    <w:p>
      <w:pPr>
        <w:pStyle w:val="TextBody"/>
        <w:bidi w:val="0"/>
        <w:spacing w:lineRule="auto" w:line="288" w:before="0" w:after="0"/>
        <w:jc w:val="center"/>
        <w:rPr>
          <w:rFonts w:ascii="Times New Roman;sans-serif" w:hAnsi="Times New Roman;sans-serif"/>
          <w:b w:val="false"/>
          <w:color w:val="333333"/>
          <w:sz w:val="20"/>
          <w:shd w:fill="FFFFFF" w:val="clear"/>
        </w:rPr>
      </w:pPr>
      <w:r>
        <w:rPr>
          <w:rFonts w:ascii="Times New Roman;sans-serif" w:hAnsi="Times New Roman;sans-serif"/>
          <w:b w:val="false"/>
          <w:color w:val="333333"/>
          <w:sz w:val="20"/>
          <w:shd w:fill="FFFFFF" w:val="clear"/>
        </w:rPr>
        <w:t>LIST OF GUARANTOR SUBSIDIARIES</w:t>
      </w:r>
    </w:p>
    <w:p>
      <w:pPr>
        <w:pStyle w:val="TextBody"/>
        <w:bidi w:val="0"/>
        <w:spacing w:before="0" w:after="200"/>
        <w:jc w:val="center"/>
        <w:rPr/>
      </w:pPr>
      <w:r>
        <w:rPr/>
      </w:r>
    </w:p>
    <w:p>
      <w:pPr>
        <w:pStyle w:val="TextBody"/>
        <w:bidi w:val="0"/>
        <w:spacing w:lineRule="auto" w:line="288" w:before="0" w:after="200"/>
        <w:jc w:val="left"/>
        <w:rPr>
          <w:rFonts w:ascii="Times New Roman;sans-serif" w:hAnsi="Times New Roman;sans-serif"/>
          <w:b w:val="false"/>
          <w:color w:val="333333"/>
          <w:sz w:val="20"/>
        </w:rPr>
      </w:pPr>
      <w:r>
        <w:rPr>
          <w:rFonts w:ascii="Times New Roman;sans-serif" w:hAnsi="Times New Roman;sans-serif"/>
          <w:b w:val="false"/>
          <w:color w:val="333333"/>
          <w:sz w:val="20"/>
        </w:rPr>
        <w:t>The following subsidiaries of The Scotts Miracle-Gro Company (the "Company") were, as of March 29, 2025, guarantors of the Company's 5.250% Senior Notes due 2026, 4.500% Senior Notes due 2029, 4.000% Senior Notes due 2031 and 4.375% Senior Notes due 2032:</w:t>
      </w:r>
    </w:p>
    <w:tbl>
      <w:tblPr>
        <w:tblW w:w="6971" w:type="dxa"/>
        <w:jc w:val="left"/>
        <w:tblInd w:w="0" w:type="dxa"/>
        <w:tblLayout w:type="fixed"/>
        <w:tblCellMar>
          <w:top w:w="28" w:type="dxa"/>
          <w:left w:w="28" w:type="dxa"/>
          <w:bottom w:w="28" w:type="dxa"/>
          <w:right w:w="28" w:type="dxa"/>
        </w:tblCellMar>
      </w:tblPr>
      <w:tblGrid>
        <w:gridCol w:w="1277"/>
        <w:gridCol w:w="1122"/>
        <w:gridCol w:w="1125"/>
        <w:gridCol w:w="109"/>
        <w:gridCol w:w="109"/>
        <w:gridCol w:w="109"/>
        <w:gridCol w:w="912"/>
        <w:gridCol w:w="912"/>
        <w:gridCol w:w="129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GUARANTOR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HGCI,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Gardening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Hagedorn,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Scotts Miracle-Gro Company for the fiscal quarter ended March 29,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734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09"/>
        <w:gridCol w:w="109"/>
        <w:gridCol w:w="109"/>
        <w:gridCol w:w="1360"/>
        <w:gridCol w:w="1360"/>
        <w:gridCol w:w="192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 of the Board &amp;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J. Scheiwer,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Scotts Miracle-Gro Company for the fiscal quarter ended March 29,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962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09"/>
        <w:gridCol w:w="109"/>
        <w:gridCol w:w="109"/>
        <w:gridCol w:w="2026"/>
        <w:gridCol w:w="2026"/>
        <w:gridCol w:w="28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J. SCHEIWER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Mark J. Scheiwer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&amp;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Scotts Miracle-Gro Company (the “Company”) for the fiscal quarter ended March 29, 2025 as filed with the Securities and Exchange Commission on the date hereof (the “Report”), the undersigned James Hagedorn, Chairman of the Board &amp; Chief Executive Officer of the Company, and Mark J. Scheiwer, Executive Vice President, Chief Financial Officer &amp; Chief Accounting Officer of the Company, certify, pursuant to Section 1350 of Chapter 63 of Title 18 of the United States Code,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consolidated financial condition and results of operations of the Company and its subsidiaries.</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44"/>
        <w:gridCol w:w="1244"/>
        <w:gridCol w:w="1248"/>
        <w:gridCol w:w="109"/>
        <w:gridCol w:w="109"/>
        <w:gridCol w:w="109"/>
        <w:gridCol w:w="109"/>
        <w:gridCol w:w="109"/>
        <w:gridCol w:w="109"/>
        <w:gridCol w:w="1599"/>
        <w:gridCol w:w="1599"/>
        <w:gridCol w:w="2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J. SCHEIWER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Mark J. Scheiwer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 of the Board &amp;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&amp;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bl>
    <w:p>
      <w:pPr>
        <w:pStyle w:val="TextBody"/>
        <w:bidi w:val="0"/>
        <w:spacing w:lineRule="auto" w:line="288" w:before="0" w:after="0"/>
        <w:ind w:left="0" w:right="0" w:hanging="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31823</Words>
  <Characters>174678</Characters>
  <CharactersWithSpaces>204943</CharactersWithSpaces>
  <Paragraphs>3643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