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Arial" w:cs="Arial" w:eastAsia="Arial" w:hAnsi="Arial"/>
          <w:sz w:val="22"/>
          <w:szCs w:val="22"/>
          <w:b w:val="1"/>
          <w:bCs w:val="1"/>
          <w:color w:val="auto"/>
        </w:rPr>
        <w:t>UNITED STATES</w:t>
      </w:r>
    </w:p>
    <w:p>
      <w:pPr>
        <w:spacing w:after="0" w:line="200" w:lineRule="exact"/>
        <w:rPr>
          <w:sz w:val="24"/>
          <w:szCs w:val="24"/>
          <w:color w:val="auto"/>
        </w:rPr>
      </w:pPr>
    </w:p>
    <w:p>
      <w:pPr>
        <w:spacing w:after="0" w:line="263" w:lineRule="exact"/>
        <w:rPr>
          <w:sz w:val="24"/>
          <w:szCs w:val="24"/>
          <w:color w:val="auto"/>
        </w:rPr>
      </w:pPr>
    </w:p>
    <w:p>
      <w:pPr>
        <w:ind w:left="20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63"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3360"/>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51" w:lineRule="exact"/>
        <w:rPr>
          <w:sz w:val="24"/>
          <w:szCs w:val="24"/>
          <w:color w:val="auto"/>
        </w:rPr>
      </w:pPr>
    </w:p>
    <w:p>
      <w:pPr>
        <w:ind w:left="23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63"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579"/>
        <w:spacing w:after="0"/>
        <w:rPr>
          <w:sz w:val="20"/>
          <w:szCs w:val="20"/>
          <w:color w:val="auto"/>
        </w:rPr>
      </w:pPr>
      <w:r>
        <w:rPr>
          <w:rFonts w:ascii="Arial" w:cs="Arial" w:eastAsia="Arial" w:hAnsi="Arial"/>
          <w:sz w:val="22"/>
          <w:szCs w:val="22"/>
          <w:b w:val="1"/>
          <w:bCs w:val="1"/>
          <w:color w:val="auto"/>
        </w:rPr>
        <w:t>SCOTTS COMPANY</w:t>
      </w:r>
    </w:p>
    <w:p>
      <w:pPr>
        <w:spacing w:after="0" w:line="22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810186106</w:t>
      </w:r>
    </w:p>
    <w:p>
      <w:pPr>
        <w:spacing w:after="0" w:line="2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12/31/2003</w:t>
      </w:r>
    </w:p>
    <w:p>
      <w:pPr>
        <w:spacing w:after="0" w:line="225"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62" w:lineRule="exact"/>
        <w:rPr>
          <w:sz w:val="24"/>
          <w:szCs w:val="24"/>
          <w:color w:val="auto"/>
        </w:rPr>
      </w:pPr>
    </w:p>
    <w:p>
      <w:pPr>
        <w:ind w:left="60"/>
        <w:spacing w:after="0"/>
        <w:rPr>
          <w:sz w:val="20"/>
          <w:szCs w:val="20"/>
          <w:color w:val="auto"/>
        </w:rPr>
      </w:pPr>
      <w:r>
        <w:rPr>
          <w:rFonts w:ascii="Arial" w:cs="Arial" w:eastAsia="Arial" w:hAnsi="Arial"/>
          <w:sz w:val="18"/>
          <w:szCs w:val="18"/>
          <w:color w:val="auto"/>
        </w:rPr>
        <w:t>[X ]  Rule 13d-1(b)</w:t>
      </w:r>
    </w:p>
    <w:p>
      <w:pPr>
        <w:spacing w:after="0" w:line="117" w:lineRule="exact"/>
        <w:rPr>
          <w:sz w:val="24"/>
          <w:szCs w:val="24"/>
          <w:color w:val="auto"/>
        </w:rPr>
      </w:pPr>
    </w:p>
    <w:p>
      <w:pPr>
        <w:ind w:left="160" w:hanging="98"/>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117" w:lineRule="exact"/>
        <w:rPr>
          <w:rFonts w:ascii="Arial" w:cs="Arial" w:eastAsia="Arial" w:hAnsi="Arial"/>
          <w:sz w:val="18"/>
          <w:szCs w:val="18"/>
          <w:color w:val="auto"/>
        </w:rPr>
      </w:pPr>
    </w:p>
    <w:p>
      <w:pPr>
        <w:ind w:left="160" w:hanging="98"/>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93"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178435</wp:posOffset>
            </wp:positionV>
            <wp:extent cx="543687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980" w:hanging="959"/>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1980" w:right="4179"/>
        <w:spacing w:after="0" w:line="464"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Wachovia Corporation 56-0898180</w:t>
      </w:r>
    </w:p>
    <w:p>
      <w:pPr>
        <w:spacing w:after="0" w:line="1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(Formerly named First Union Corporation)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980" w:hanging="959"/>
        <w:spacing w:after="0"/>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1980"/>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144" w:lineRule="exact"/>
        <w:rPr>
          <w:rFonts w:ascii="Arial" w:cs="Arial" w:eastAsia="Arial" w:hAnsi="Arial"/>
          <w:sz w:val="16"/>
          <w:szCs w:val="16"/>
          <w:color w:val="auto"/>
        </w:rPr>
      </w:pPr>
    </w:p>
    <w:p>
      <w:pPr>
        <w:ind w:left="1980"/>
        <w:spacing w:after="0"/>
        <w:rPr>
          <w:rFonts w:ascii="Arial" w:cs="Arial" w:eastAsia="Arial" w:hAnsi="Arial"/>
          <w:sz w:val="16"/>
          <w:szCs w:val="16"/>
          <w:color w:val="auto"/>
        </w:rPr>
      </w:pPr>
      <w:r>
        <w:rPr>
          <w:rFonts w:ascii="Arial" w:cs="Arial" w:eastAsia="Arial" w:hAnsi="Arial"/>
          <w:sz w:val="18"/>
          <w:szCs w:val="18"/>
          <w:color w:val="auto"/>
        </w:rPr>
        <w:t>(b)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-712470</wp:posOffset>
            </wp:positionV>
            <wp:extent cx="543687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687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195580</wp:posOffset>
            </wp:positionV>
            <wp:extent cx="543687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ectPr>
          <w:pgSz w:w="11900" w:h="16838" w:orient="portrait"/>
          <w:cols w:equalWidth="0" w:num="1">
            <w:col w:w="10219"/>
          </w:cols>
          <w:pgMar w:left="240" w:top="315" w:right="1440" w:bottom="0" w:gutter="0" w:footer="0" w:header="0"/>
        </w:sectPr>
      </w:pPr>
    </w:p>
    <w:p>
      <w:pPr>
        <w:spacing w:after="0" w:line="200" w:lineRule="exact"/>
        <w:rPr>
          <w:sz w:val="24"/>
          <w:szCs w:val="24"/>
          <w:color w:val="auto"/>
        </w:rPr>
      </w:pPr>
    </w:p>
    <w:p>
      <w:pPr>
        <w:spacing w:after="0" w:line="349" w:lineRule="exact"/>
        <w:rPr>
          <w:sz w:val="24"/>
          <w:szCs w:val="24"/>
          <w:color w:val="auto"/>
        </w:rPr>
      </w:pPr>
    </w:p>
    <w:p>
      <w:pPr>
        <w:ind w:left="1980" w:hanging="959"/>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193040</wp:posOffset>
            </wp:positionV>
            <wp:extent cx="543687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36870" cy="22860"/>
                    </a:xfrm>
                    <a:prstGeom prst="rect">
                      <a:avLst/>
                    </a:prstGeom>
                    <a:noFill/>
                  </pic:spPr>
                </pic:pic>
              </a:graphicData>
            </a:graphic>
          </wp:anchor>
        </w:drawing>
      </w:r>
    </w:p>
    <w:p>
      <w:pPr>
        <w:sectPr>
          <w:pgSz w:w="11900" w:h="16838" w:orient="portrait"/>
          <w:cols w:equalWidth="0" w:num="1">
            <w:col w:w="10219"/>
          </w:cols>
          <w:pgMar w:left="240" w:top="315" w:right="1440" w:bottom="0" w:gutter="0" w:footer="0" w:header="0"/>
          <w:type w:val="continuous"/>
        </w:sectPr>
      </w:pPr>
    </w:p>
    <w:bookmarkStart w:id="1" w:name="page2"/>
    <w:bookmarkEnd w:id="1"/>
    <w:p>
      <w:pPr>
        <w:spacing w:after="0" w:line="42" w:lineRule="exact"/>
        <w:rPr>
          <w:sz w:val="20"/>
          <w:szCs w:val="20"/>
          <w:color w:val="auto"/>
        </w:rPr>
      </w:pPr>
    </w:p>
    <w:p>
      <w:pPr>
        <w:ind w:left="1920" w:right="5679" w:hanging="959"/>
        <w:spacing w:after="0" w:line="519"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43687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111" w:lineRule="exact"/>
        <w:rPr>
          <w:sz w:val="20"/>
          <w:szCs w:val="20"/>
          <w:color w:val="auto"/>
        </w:rPr>
      </w:pPr>
    </w:p>
    <w:tbl>
      <w:tblPr>
        <w:tblLayout w:type="fixed"/>
        <w:tblInd w:w="3300" w:type="dxa"/>
        <w:tblCellMar>
          <w:top w:w="0" w:type="dxa"/>
          <w:left w:w="0" w:type="dxa"/>
          <w:bottom w:w="0" w:type="dxa"/>
          <w:right w:w="0" w:type="dxa"/>
        </w:tblCellMar>
      </w:tblPr>
      <w:tr>
        <w:trPr>
          <w:trHeight w:val="222"/>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5.</w:t>
            </w:r>
          </w:p>
        </w:tc>
        <w:tc>
          <w:tcPr>
            <w:tcW w:w="4220" w:type="dxa"/>
            <w:vAlign w:val="bottom"/>
          </w:tcPr>
          <w:p>
            <w:pPr>
              <w:ind w:left="880"/>
              <w:spacing w:after="0"/>
              <w:rPr>
                <w:sz w:val="20"/>
                <w:szCs w:val="20"/>
                <w:color w:val="auto"/>
              </w:rPr>
            </w:pPr>
            <w:r>
              <w:rPr>
                <w:rFonts w:ascii="Arial" w:cs="Arial" w:eastAsia="Arial" w:hAnsi="Arial"/>
                <w:sz w:val="18"/>
                <w:szCs w:val="18"/>
                <w:color w:val="auto"/>
              </w:rPr>
              <w:t>Sole Voting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1418333</w:t>
            </w:r>
          </w:p>
        </w:tc>
      </w:tr>
      <w:tr>
        <w:trPr>
          <w:trHeight w:val="293"/>
        </w:trPr>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r>
        <w:trPr>
          <w:trHeight w:val="417"/>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6.</w:t>
            </w:r>
          </w:p>
        </w:tc>
        <w:tc>
          <w:tcPr>
            <w:tcW w:w="4220" w:type="dxa"/>
            <w:vAlign w:val="bottom"/>
          </w:tcPr>
          <w:p>
            <w:pPr>
              <w:ind w:left="880"/>
              <w:spacing w:after="0"/>
              <w:rPr>
                <w:sz w:val="20"/>
                <w:szCs w:val="20"/>
                <w:color w:val="auto"/>
              </w:rPr>
            </w:pPr>
            <w:r>
              <w:rPr>
                <w:rFonts w:ascii="Arial" w:cs="Arial" w:eastAsia="Arial" w:hAnsi="Arial"/>
                <w:sz w:val="18"/>
                <w:szCs w:val="18"/>
                <w:color w:val="auto"/>
              </w:rPr>
              <w:t>Shared Voting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3300</w:t>
            </w:r>
          </w:p>
        </w:tc>
      </w:tr>
      <w:tr>
        <w:trPr>
          <w:trHeight w:val="293"/>
        </w:trPr>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r>
        <w:trPr>
          <w:trHeight w:val="417"/>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7.</w:t>
            </w:r>
          </w:p>
        </w:tc>
        <w:tc>
          <w:tcPr>
            <w:tcW w:w="4220" w:type="dxa"/>
            <w:vAlign w:val="bottom"/>
          </w:tcPr>
          <w:p>
            <w:pPr>
              <w:ind w:left="880"/>
              <w:spacing w:after="0"/>
              <w:rPr>
                <w:sz w:val="20"/>
                <w:szCs w:val="20"/>
                <w:color w:val="auto"/>
              </w:rPr>
            </w:pPr>
            <w:r>
              <w:rPr>
                <w:rFonts w:ascii="Arial" w:cs="Arial" w:eastAsia="Arial" w:hAnsi="Arial"/>
                <w:sz w:val="18"/>
                <w:szCs w:val="18"/>
                <w:color w:val="auto"/>
              </w:rPr>
              <w:t>Sole Dispositive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1808321</w:t>
            </w:r>
          </w:p>
        </w:tc>
      </w:tr>
      <w:tr>
        <w:trPr>
          <w:trHeight w:val="293"/>
        </w:trPr>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r>
        <w:trPr>
          <w:trHeight w:val="417"/>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8.</w:t>
            </w:r>
          </w:p>
        </w:tc>
        <w:tc>
          <w:tcPr>
            <w:tcW w:w="4220" w:type="dxa"/>
            <w:vAlign w:val="bottom"/>
          </w:tcPr>
          <w:p>
            <w:pPr>
              <w:ind w:left="880"/>
              <w:spacing w:after="0"/>
              <w:rPr>
                <w:sz w:val="20"/>
                <w:szCs w:val="20"/>
                <w:color w:val="auto"/>
              </w:rPr>
            </w:pPr>
            <w:r>
              <w:rPr>
                <w:rFonts w:ascii="Arial" w:cs="Arial" w:eastAsia="Arial" w:hAnsi="Arial"/>
                <w:sz w:val="18"/>
                <w:szCs w:val="18"/>
                <w:color w:val="auto"/>
              </w:rPr>
              <w:t>Shared Dispositive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1890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5391150</wp:posOffset>
            </wp:positionH>
            <wp:positionV relativeFrom="paragraph">
              <wp:posOffset>-2043430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-2043430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-1305560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-1305560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-568325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-568325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168910</wp:posOffset>
            </wp:positionV>
            <wp:extent cx="54368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920" w:hanging="959"/>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1820826</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920" w:right="1739" w:hanging="959"/>
        <w:spacing w:after="0" w:line="268"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Not Applicable.</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920" w:hanging="959"/>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5.65%%</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920" w:right="5139" w:hanging="959"/>
        <w:spacing w:after="0" w:line="613" w:lineRule="auto"/>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 Parent Holding Company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-1812925</wp:posOffset>
            </wp:positionV>
            <wp:extent cx="54368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687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-1212215</wp:posOffset>
            </wp:positionV>
            <wp:extent cx="54368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687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-749300</wp:posOffset>
            </wp:positionV>
            <wp:extent cx="54368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2600" w:hanging="1382"/>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84"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SCOTTS COMPANY</w:t>
      </w:r>
    </w:p>
    <w:p>
      <w:pPr>
        <w:spacing w:after="0" w:line="117" w:lineRule="exact"/>
        <w:rPr>
          <w:rFonts w:ascii="Arial" w:cs="Arial" w:eastAsia="Arial" w:hAnsi="Arial"/>
          <w:sz w:val="18"/>
          <w:szCs w:val="18"/>
          <w:color w:val="auto"/>
        </w:rPr>
      </w:pPr>
    </w:p>
    <w:p>
      <w:pPr>
        <w:ind w:left="2600" w:right="4239" w:hanging="1382"/>
        <w:spacing w:after="0" w:line="454" w:lineRule="auto"/>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14111 Scottslawn Road</w:t>
      </w:r>
    </w:p>
    <w:p>
      <w:pPr>
        <w:ind w:left="2600"/>
        <w:spacing w:after="0"/>
        <w:rPr>
          <w:rFonts w:ascii="Arial" w:cs="Arial" w:eastAsia="Arial" w:hAnsi="Arial"/>
          <w:sz w:val="18"/>
          <w:szCs w:val="18"/>
          <w:color w:val="auto"/>
        </w:rPr>
      </w:pPr>
      <w:r>
        <w:rPr>
          <w:rFonts w:ascii="Arial" w:cs="Arial" w:eastAsia="Arial" w:hAnsi="Arial"/>
          <w:sz w:val="18"/>
          <w:szCs w:val="18"/>
          <w:color w:val="auto"/>
        </w:rPr>
        <w:t>Marysville, OH 43041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jc w:val="both"/>
        <w:ind w:left="2600" w:right="5959" w:hanging="1382"/>
        <w:spacing w:after="0" w:line="466" w:lineRule="auto"/>
        <w:tabs>
          <w:tab w:leader="none" w:pos="2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Wachovia Corporation</w:t>
      </w:r>
    </w:p>
    <w:p>
      <w:pPr>
        <w:spacing w:after="0" w:line="1" w:lineRule="exact"/>
        <w:rPr>
          <w:rFonts w:ascii="Arial" w:cs="Arial" w:eastAsia="Arial" w:hAnsi="Arial"/>
          <w:sz w:val="16"/>
          <w:szCs w:val="16"/>
          <w:color w:val="auto"/>
        </w:rPr>
      </w:pPr>
    </w:p>
    <w:p>
      <w:pPr>
        <w:ind w:left="2600" w:right="3379" w:hanging="1382"/>
        <w:spacing w:after="0" w:line="454"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One Wachovia Center</w:t>
      </w:r>
    </w:p>
    <w:p>
      <w:pPr>
        <w:ind w:left="2600"/>
        <w:spacing w:after="0"/>
        <w:rPr>
          <w:rFonts w:ascii="Arial" w:cs="Arial" w:eastAsia="Arial" w:hAnsi="Arial"/>
          <w:sz w:val="18"/>
          <w:szCs w:val="18"/>
          <w:color w:val="auto"/>
        </w:rPr>
      </w:pPr>
      <w:r>
        <w:rPr>
          <w:rFonts w:ascii="Arial" w:cs="Arial" w:eastAsia="Arial" w:hAnsi="Arial"/>
          <w:sz w:val="18"/>
          <w:szCs w:val="18"/>
          <w:color w:val="auto"/>
        </w:rPr>
        <w:t>Charlotte, North Carolina 28288-0137</w:t>
      </w:r>
    </w:p>
    <w:p>
      <w:pPr>
        <w:spacing w:after="0" w:line="117" w:lineRule="exact"/>
        <w:rPr>
          <w:rFonts w:ascii="Arial" w:cs="Arial" w:eastAsia="Arial" w:hAnsi="Arial"/>
          <w:sz w:val="18"/>
          <w:szCs w:val="18"/>
          <w:color w:val="auto"/>
        </w:rPr>
      </w:pPr>
    </w:p>
    <w:p>
      <w:pPr>
        <w:ind w:left="2600" w:right="6499" w:hanging="1382"/>
        <w:spacing w:after="0" w:line="466" w:lineRule="auto"/>
        <w:tabs>
          <w:tab w:leader="none" w:pos="2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North Carolina</w:t>
      </w:r>
    </w:p>
    <w:p>
      <w:pPr>
        <w:spacing w:after="0" w:line="1" w:lineRule="exact"/>
        <w:rPr>
          <w:rFonts w:ascii="Arial" w:cs="Arial" w:eastAsia="Arial" w:hAnsi="Arial"/>
          <w:sz w:val="16"/>
          <w:szCs w:val="16"/>
          <w:color w:val="auto"/>
        </w:rPr>
      </w:pPr>
    </w:p>
    <w:p>
      <w:pPr>
        <w:ind w:left="2600" w:hanging="1382"/>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ectPr>
          <w:pgSz w:w="11900" w:h="16880" w:orient="portrait"/>
          <w:cols w:equalWidth="0" w:num="1">
            <w:col w:w="10159"/>
          </w:cols>
          <w:pgMar w:left="300" w:top="239" w:right="1440" w:bottom="0" w:gutter="0" w:footer="0" w:header="0"/>
        </w:sectPr>
      </w:pPr>
    </w:p>
    <w:bookmarkStart w:id="2" w:name="page3"/>
    <w:bookmarkEnd w:id="2"/>
    <w:p>
      <w:pPr>
        <w:ind w:left="2600"/>
        <w:spacing w:after="0"/>
        <w:rPr>
          <w:sz w:val="20"/>
          <w:szCs w:val="20"/>
          <w:color w:val="auto"/>
        </w:rPr>
      </w:pPr>
      <w:r>
        <w:rPr>
          <w:rFonts w:ascii="Arial" w:cs="Arial" w:eastAsia="Arial" w:hAnsi="Arial"/>
          <w:sz w:val="18"/>
          <w:szCs w:val="18"/>
          <w:color w:val="auto"/>
        </w:rPr>
        <w:t>Common Stock</w:t>
      </w:r>
    </w:p>
    <w:p>
      <w:pPr>
        <w:spacing w:after="0" w:line="117" w:lineRule="exact"/>
        <w:rPr>
          <w:sz w:val="20"/>
          <w:szCs w:val="20"/>
          <w:color w:val="auto"/>
        </w:rPr>
      </w:pPr>
    </w:p>
    <w:p>
      <w:pPr>
        <w:ind w:left="2600" w:right="6439" w:hanging="1382"/>
        <w:spacing w:after="0" w:line="613" w:lineRule="auto"/>
        <w:tabs>
          <w:tab w:leader="none" w:pos="2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929903102</w:t>
      </w:r>
    </w:p>
    <w:p>
      <w:pPr>
        <w:spacing w:after="0" w:line="135" w:lineRule="exact"/>
        <w:rPr>
          <w:sz w:val="20"/>
          <w:szCs w:val="20"/>
          <w:color w:val="auto"/>
        </w:rPr>
      </w:pPr>
    </w:p>
    <w:p>
      <w:pPr>
        <w:ind w:left="1220" w:right="1839" w:hanging="1215"/>
        <w:spacing w:after="0" w:line="275" w:lineRule="auto"/>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sections 240.13d-1(b) or 240.13d-2(b) or (c), check whether the person filing is a:</w:t>
      </w:r>
    </w:p>
    <w:p>
      <w:pPr>
        <w:spacing w:after="0" w:line="72"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2"/>
              </w:rPr>
              <w:t>Broker or dealer registered under section 15 of the</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Act (15 U.S.C. 78o).</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(b)</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8"/>
              </w:rPr>
              <w:t>Bank as defined in section 3(a)(6) of the Act (15</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U.S.C. 78c).</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(c)</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0"/>
              </w:rPr>
              <w:t>Insurance company as defined in section 3(a)(19) of</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the Act (15 U.S.C. 78c).</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(d)</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3"/>
              </w:rPr>
              <w:t>Investment company registered under section 8 of</w:t>
            </w:r>
          </w:p>
        </w:tc>
      </w:tr>
      <w:tr>
        <w:trPr>
          <w:trHeight w:val="216"/>
        </w:trPr>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8"/>
              </w:rPr>
              <w:t>the Investment Company Act of 1940 (15 U.S.C 80a-</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8).</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(e)</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5"/>
              </w:rPr>
              <w:t>An investment adviser in accordance with section</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240.13d-1(b)(1)(ii)(E);</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(f)</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8"/>
              </w:rPr>
              <w:t>An employee benefit plan or endowment fund in</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accordance with section 240.13d-1(b)(1)(ii)(F);</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(g)</w:t>
            </w:r>
          </w:p>
        </w:tc>
        <w:tc>
          <w:tcPr>
            <w:tcW w:w="1800" w:type="dxa"/>
            <w:vAlign w:val="bottom"/>
          </w:tcPr>
          <w:p>
            <w:pPr>
              <w:ind w:left="580"/>
              <w:spacing w:after="0"/>
              <w:rPr>
                <w:sz w:val="20"/>
                <w:szCs w:val="20"/>
                <w:color w:val="auto"/>
              </w:rPr>
            </w:pPr>
            <w:r>
              <w:rPr>
                <w:rFonts w:ascii="Arial" w:cs="Arial" w:eastAsia="Arial" w:hAnsi="Arial"/>
                <w:sz w:val="18"/>
                <w:szCs w:val="18"/>
                <w:color w:val="auto"/>
              </w:rPr>
              <w:t>[X ]</w:t>
            </w:r>
          </w:p>
        </w:tc>
        <w:tc>
          <w:tcPr>
            <w:tcW w:w="4700" w:type="dxa"/>
            <w:vAlign w:val="bottom"/>
          </w:tcPr>
          <w:p>
            <w:pPr>
              <w:ind w:left="940"/>
              <w:spacing w:after="0"/>
              <w:rPr>
                <w:sz w:val="20"/>
                <w:szCs w:val="20"/>
                <w:color w:val="auto"/>
              </w:rPr>
            </w:pPr>
            <w:r>
              <w:rPr>
                <w:rFonts w:ascii="Arial" w:cs="Arial" w:eastAsia="Arial" w:hAnsi="Arial"/>
                <w:sz w:val="18"/>
                <w:szCs w:val="18"/>
                <w:color w:val="auto"/>
              </w:rPr>
              <w:t>A parent holding company or control person in</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accordance with section 240.13d-1(b)(1)(ii)(G);</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(h)</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0"/>
              </w:rPr>
              <w:t>A savings associations as defined in Section 3(b) of</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9"/>
              </w:rPr>
              <w:t>the Federal Deposit Insurance Act (12 U.S.C. 1813);</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(i)</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1"/>
              </w:rPr>
              <w:t>A church plan that is excluded from the definition of</w:t>
            </w:r>
          </w:p>
        </w:tc>
      </w:tr>
      <w:tr>
        <w:trPr>
          <w:trHeight w:val="216"/>
        </w:trPr>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8"/>
              </w:rPr>
              <w:t>an investment company under section 3(c)(14) of the</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9"/>
              </w:rPr>
              <w:t>Investment Company Act of 1940 (15 U.S.C. 80a-3);</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(j)</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3"/>
              </w:rPr>
              <w:t>Group, in accordance with section 240.13d-1(b)(1)</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(ii)(J).</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3" w:lineRule="exact"/>
        <w:rPr>
          <w:sz w:val="20"/>
          <w:szCs w:val="20"/>
          <w:color w:val="auto"/>
        </w:rPr>
      </w:pPr>
    </w:p>
    <w:p>
      <w:pPr>
        <w:ind w:right="173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2600" w:hanging="1382"/>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1820826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0" w:hanging="1382"/>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5.65%%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0" w:hanging="1382"/>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(i)</w:t>
            </w:r>
          </w:p>
        </w:tc>
        <w:tc>
          <w:tcPr>
            <w:tcW w:w="3620" w:type="dxa"/>
            <w:vAlign w:val="bottom"/>
            <w:gridSpan w:val="5"/>
          </w:tcPr>
          <w:p>
            <w:pPr>
              <w:spacing w:after="0"/>
              <w:rPr>
                <w:sz w:val="20"/>
                <w:szCs w:val="20"/>
                <w:color w:val="auto"/>
              </w:rPr>
            </w:pPr>
            <w:r>
              <w:rPr>
                <w:rFonts w:ascii="Arial" w:cs="Arial" w:eastAsia="Arial" w:hAnsi="Arial"/>
                <w:sz w:val="18"/>
                <w:szCs w:val="18"/>
                <w:color w:val="auto"/>
              </w:rPr>
              <w:t>Sole power to vote or to direct the vote</w:t>
            </w:r>
          </w:p>
        </w:tc>
      </w:tr>
      <w:tr>
        <w:trPr>
          <w:trHeight w:val="394"/>
        </w:trPr>
        <w:tc>
          <w:tcPr>
            <w:tcW w:w="216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Arial" w:cs="Arial" w:eastAsia="Arial" w:hAnsi="Arial"/>
                <w:sz w:val="18"/>
                <w:szCs w:val="18"/>
                <w:color w:val="auto"/>
              </w:rPr>
              <w:t>1418333.</w:t>
            </w: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43"/>
        </w:trPr>
        <w:tc>
          <w:tcPr>
            <w:tcW w:w="2160" w:type="dxa"/>
            <w:vAlign w:val="bottom"/>
          </w:tcPr>
          <w:p>
            <w:pPr>
              <w:spacing w:after="0"/>
              <w:rPr>
                <w:sz w:val="20"/>
                <w:szCs w:val="20"/>
                <w:color w:val="auto"/>
              </w:rPr>
            </w:pPr>
            <w:r>
              <w:rPr>
                <w:rFonts w:ascii="Arial" w:cs="Arial" w:eastAsia="Arial" w:hAnsi="Arial"/>
                <w:sz w:val="18"/>
                <w:szCs w:val="18"/>
                <w:color w:val="auto"/>
              </w:rPr>
              <w:t>(ii)</w:t>
            </w:r>
          </w:p>
        </w:tc>
        <w:tc>
          <w:tcPr>
            <w:tcW w:w="3620" w:type="dxa"/>
            <w:vAlign w:val="bottom"/>
            <w:gridSpan w:val="5"/>
          </w:tcPr>
          <w:p>
            <w:pPr>
              <w:spacing w:after="0"/>
              <w:rPr>
                <w:sz w:val="20"/>
                <w:szCs w:val="20"/>
                <w:color w:val="auto"/>
              </w:rPr>
            </w:pPr>
            <w:r>
              <w:rPr>
                <w:rFonts w:ascii="Arial" w:cs="Arial" w:eastAsia="Arial" w:hAnsi="Arial"/>
                <w:sz w:val="18"/>
                <w:szCs w:val="18"/>
                <w:color w:val="auto"/>
              </w:rPr>
              <w:t>Shared power to vote or to direct the vote</w:t>
            </w:r>
          </w:p>
        </w:tc>
      </w:tr>
      <w:tr>
        <w:trPr>
          <w:trHeight w:val="394"/>
        </w:trPr>
        <w:tc>
          <w:tcPr>
            <w:tcW w:w="216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36"/>
        </w:trPr>
        <w:tc>
          <w:tcPr>
            <w:tcW w:w="2160" w:type="dxa"/>
            <w:vAlign w:val="bottom"/>
          </w:tcPr>
          <w:p>
            <w:pPr>
              <w:spacing w:after="0"/>
              <w:rPr>
                <w:sz w:val="20"/>
                <w:szCs w:val="20"/>
                <w:color w:val="auto"/>
              </w:rPr>
            </w:pPr>
            <w:r>
              <w:rPr>
                <w:rFonts w:ascii="Arial" w:cs="Arial" w:eastAsia="Arial" w:hAnsi="Arial"/>
                <w:sz w:val="18"/>
                <w:szCs w:val="18"/>
                <w:color w:val="auto"/>
              </w:rPr>
              <w:t>(iii)</w:t>
            </w:r>
          </w:p>
        </w:tc>
        <w:tc>
          <w:tcPr>
            <w:tcW w:w="3620" w:type="dxa"/>
            <w:vAlign w:val="bottom"/>
            <w:gridSpan w:val="5"/>
          </w:tcPr>
          <w:p>
            <w:pPr>
              <w:spacing w:after="0"/>
              <w:rPr>
                <w:sz w:val="20"/>
                <w:szCs w:val="20"/>
                <w:color w:val="auto"/>
              </w:rPr>
            </w:pPr>
            <w:r>
              <w:rPr>
                <w:rFonts w:ascii="Arial" w:cs="Arial" w:eastAsia="Arial" w:hAnsi="Arial"/>
                <w:sz w:val="18"/>
                <w:szCs w:val="18"/>
                <w:color w:val="auto"/>
                <w:w w:val="88"/>
              </w:rPr>
              <w:t>Sole power to dispose or to direct the disposition of</w:t>
            </w:r>
          </w:p>
        </w:tc>
      </w:tr>
      <w:tr>
        <w:trPr>
          <w:trHeight w:val="184"/>
        </w:trPr>
        <w:tc>
          <w:tcPr>
            <w:tcW w:w="2160" w:type="dxa"/>
            <w:vAlign w:val="bottom"/>
          </w:tcPr>
          <w:p>
            <w:pPr>
              <w:spacing w:after="0"/>
              <w:rPr>
                <w:sz w:val="15"/>
                <w:szCs w:val="15"/>
                <w:color w:val="auto"/>
              </w:rPr>
            </w:pPr>
          </w:p>
        </w:tc>
        <w:tc>
          <w:tcPr>
            <w:tcW w:w="3620" w:type="dxa"/>
            <w:vAlign w:val="bottom"/>
            <w:gridSpan w:val="5"/>
          </w:tcPr>
          <w:p>
            <w:pPr>
              <w:spacing w:after="0" w:line="184" w:lineRule="exact"/>
              <w:rPr>
                <w:sz w:val="20"/>
                <w:szCs w:val="20"/>
                <w:color w:val="auto"/>
              </w:rPr>
            </w:pPr>
            <w:r>
              <w:rPr>
                <w:rFonts w:ascii="Arial" w:cs="Arial" w:eastAsia="Arial" w:hAnsi="Arial"/>
                <w:sz w:val="18"/>
                <w:szCs w:val="18"/>
                <w:color w:val="auto"/>
              </w:rPr>
              <w:t>1808321.</w:t>
            </w: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36"/>
        </w:trPr>
        <w:tc>
          <w:tcPr>
            <w:tcW w:w="2160" w:type="dxa"/>
            <w:vAlign w:val="bottom"/>
          </w:tcPr>
          <w:p>
            <w:pPr>
              <w:spacing w:after="0"/>
              <w:rPr>
                <w:sz w:val="20"/>
                <w:szCs w:val="20"/>
                <w:color w:val="auto"/>
              </w:rPr>
            </w:pPr>
            <w:r>
              <w:rPr>
                <w:rFonts w:ascii="Arial" w:cs="Arial" w:eastAsia="Arial" w:hAnsi="Arial"/>
                <w:sz w:val="18"/>
                <w:szCs w:val="18"/>
                <w:color w:val="auto"/>
              </w:rPr>
              <w:t>(iv)</w:t>
            </w:r>
          </w:p>
        </w:tc>
        <w:tc>
          <w:tcPr>
            <w:tcW w:w="3620" w:type="dxa"/>
            <w:vAlign w:val="bottom"/>
            <w:gridSpan w:val="5"/>
          </w:tcPr>
          <w:p>
            <w:pPr>
              <w:spacing w:after="0"/>
              <w:rPr>
                <w:sz w:val="20"/>
                <w:szCs w:val="20"/>
                <w:color w:val="auto"/>
              </w:rPr>
            </w:pPr>
            <w:r>
              <w:rPr>
                <w:rFonts w:ascii="Arial" w:cs="Arial" w:eastAsia="Arial" w:hAnsi="Arial"/>
                <w:sz w:val="18"/>
                <w:szCs w:val="18"/>
                <w:color w:val="auto"/>
                <w:w w:val="87"/>
              </w:rPr>
              <w:t>Shared power to dispose or to direct the disposition</w:t>
            </w:r>
          </w:p>
        </w:tc>
      </w:tr>
      <w:tr>
        <w:trPr>
          <w:trHeight w:val="184"/>
        </w:trPr>
        <w:tc>
          <w:tcPr>
            <w:tcW w:w="2160" w:type="dxa"/>
            <w:vAlign w:val="bottom"/>
          </w:tcPr>
          <w:p>
            <w:pPr>
              <w:spacing w:after="0"/>
              <w:rPr>
                <w:sz w:val="15"/>
                <w:szCs w:val="15"/>
                <w:color w:val="auto"/>
              </w:rPr>
            </w:pPr>
          </w:p>
        </w:tc>
        <w:tc>
          <w:tcPr>
            <w:tcW w:w="3620" w:type="dxa"/>
            <w:vAlign w:val="bottom"/>
            <w:gridSpan w:val="5"/>
          </w:tcPr>
          <w:p>
            <w:pPr>
              <w:spacing w:after="0" w:line="184" w:lineRule="exact"/>
              <w:rPr>
                <w:sz w:val="20"/>
                <w:szCs w:val="20"/>
                <w:color w:val="auto"/>
              </w:rPr>
            </w:pPr>
            <w:r>
              <w:rPr>
                <w:rFonts w:ascii="Arial" w:cs="Arial" w:eastAsia="Arial" w:hAnsi="Arial"/>
                <w:sz w:val="18"/>
                <w:szCs w:val="18"/>
                <w:color w:val="auto"/>
              </w:rPr>
              <w:t>of 1890.</w:t>
            </w: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right="2179"/>
        <w:spacing w:after="0" w:line="332"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w:t>
      </w:r>
    </w:p>
    <w:p>
      <w:pPr>
        <w:spacing w:after="0" w:line="37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ind w:left="1220" w:right="1799" w:hanging="1215"/>
        <w:spacing w:after="0" w:line="275" w:lineRule="auto"/>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ectPr>
          <w:pgSz w:w="11900" w:h="16838" w:orient="portrait"/>
          <w:cols w:equalWidth="0" w:num="1">
            <w:col w:w="10159"/>
          </w:cols>
          <w:pgMar w:left="300" w:top="131" w:right="1440" w:bottom="0" w:gutter="0" w:footer="0" w:header="0"/>
        </w:sectPr>
      </w:pPr>
    </w:p>
    <w:bookmarkStart w:id="3" w:name="page4"/>
    <w:bookmarkEnd w:id="3"/>
    <w:p>
      <w:pPr>
        <w:ind w:left="2220" w:right="2380"/>
        <w:spacing w:after="0" w:line="288" w:lineRule="auto"/>
        <w:rPr>
          <w:sz w:val="20"/>
          <w:szCs w:val="20"/>
          <w:color w:val="auto"/>
        </w:rPr>
      </w:pPr>
      <w:r>
        <w:rPr>
          <w:rFonts w:ascii="Arial" w:cs="Arial" w:eastAsia="Arial" w:hAnsi="Arial"/>
          <w:sz w:val="16"/>
          <w:szCs w:val="16"/>
          <w:color w:val="auto"/>
        </w:rPr>
        <w:t>Wachovia Corporation is filing this schedule pursuant to Rule 13d-1(b)(1)(ii)(G) as indicated under Item 3(g). The relevant subsidiaries are Wachovia Securities, LLC (IA), Evergreen Investment Management Company (IA), J.L. Kaplan Associates, LLC (IA), Wachovia Trust Company, N. A. (BK) and Wachovia Bank, N.A. (BK). Wachovia Securities, LLC, Evergreen Investment Management Company and J.L. Kaplan Associates, LLC are investment advisors for mutual funds and/or other clients; the securities reported by these subsidiaries are beneficially owned by such mutual funds or other clients. The other Wachovia entities listed above hold the securities reported in a fiduciary capacity for their respective customers.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2660" w:right="2520" w:hanging="1382"/>
        <w:spacing w:after="0" w:line="268" w:lineRule="auto"/>
        <w:tabs>
          <w:tab w:leader="none" w:pos="2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240.13d-1(b):</w:t>
      </w:r>
    </w:p>
    <w:p>
      <w:pPr>
        <w:spacing w:after="0" w:line="173"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signing below I certify that, to the best of my</w:t>
      </w:r>
    </w:p>
    <w:p>
      <w:pPr>
        <w:ind w:left="3200"/>
        <w:spacing w:after="0" w:line="238" w:lineRule="auto"/>
        <w:rPr>
          <w:sz w:val="20"/>
          <w:szCs w:val="20"/>
          <w:color w:val="auto"/>
        </w:rPr>
      </w:pPr>
      <w:r>
        <w:rPr>
          <w:rFonts w:ascii="Arial" w:cs="Arial" w:eastAsia="Arial" w:hAnsi="Arial"/>
          <w:sz w:val="22"/>
          <w:szCs w:val="22"/>
          <w:color w:val="auto"/>
        </w:rPr>
        <w:t>knowledge and belief, the securities referred to above</w:t>
      </w:r>
    </w:p>
    <w:p>
      <w:pPr>
        <w:ind w:left="3200"/>
        <w:spacing w:after="0" w:line="230" w:lineRule="auto"/>
        <w:rPr>
          <w:sz w:val="20"/>
          <w:szCs w:val="20"/>
          <w:color w:val="auto"/>
        </w:rPr>
      </w:pPr>
      <w:r>
        <w:rPr>
          <w:rFonts w:ascii="Arial" w:cs="Arial" w:eastAsia="Arial" w:hAnsi="Arial"/>
          <w:sz w:val="22"/>
          <w:szCs w:val="22"/>
          <w:color w:val="auto"/>
        </w:rPr>
        <w:t>were acquired and are held in the ordinary course of</w:t>
      </w:r>
    </w:p>
    <w:p>
      <w:pPr>
        <w:ind w:left="3200"/>
        <w:spacing w:after="0" w:line="231" w:lineRule="auto"/>
        <w:rPr>
          <w:sz w:val="20"/>
          <w:szCs w:val="20"/>
          <w:color w:val="auto"/>
        </w:rPr>
      </w:pPr>
      <w:r>
        <w:rPr>
          <w:rFonts w:ascii="Arial" w:cs="Arial" w:eastAsia="Arial" w:hAnsi="Arial"/>
          <w:sz w:val="22"/>
          <w:szCs w:val="22"/>
          <w:color w:val="auto"/>
        </w:rPr>
        <w:t>business and were not acquired and are not held for the</w:t>
      </w:r>
    </w:p>
    <w:p>
      <w:pPr>
        <w:ind w:left="3200"/>
        <w:spacing w:after="0" w:line="231" w:lineRule="auto"/>
        <w:rPr>
          <w:sz w:val="20"/>
          <w:szCs w:val="20"/>
          <w:color w:val="auto"/>
        </w:rPr>
      </w:pPr>
      <w:r>
        <w:rPr>
          <w:rFonts w:ascii="Arial" w:cs="Arial" w:eastAsia="Arial" w:hAnsi="Arial"/>
          <w:sz w:val="22"/>
          <w:szCs w:val="22"/>
          <w:color w:val="auto"/>
        </w:rPr>
        <w:t>purpose of or with the effect of changing or influencing</w:t>
      </w:r>
    </w:p>
    <w:p>
      <w:pPr>
        <w:ind w:left="3200"/>
        <w:spacing w:after="0" w:line="230" w:lineRule="auto"/>
        <w:rPr>
          <w:sz w:val="20"/>
          <w:szCs w:val="20"/>
          <w:color w:val="auto"/>
        </w:rPr>
      </w:pPr>
      <w:r>
        <w:rPr>
          <w:rFonts w:ascii="Arial" w:cs="Arial" w:eastAsia="Arial" w:hAnsi="Arial"/>
          <w:sz w:val="22"/>
          <w:szCs w:val="22"/>
          <w:color w:val="auto"/>
        </w:rPr>
        <w:t>the control of the issuer of the securities and were not</w:t>
      </w:r>
    </w:p>
    <w:p>
      <w:pPr>
        <w:ind w:left="3200"/>
        <w:spacing w:after="0" w:line="231" w:lineRule="auto"/>
        <w:rPr>
          <w:sz w:val="20"/>
          <w:szCs w:val="20"/>
          <w:color w:val="auto"/>
        </w:rPr>
      </w:pPr>
      <w:r>
        <w:rPr>
          <w:rFonts w:ascii="Arial" w:cs="Arial" w:eastAsia="Arial" w:hAnsi="Arial"/>
          <w:sz w:val="22"/>
          <w:szCs w:val="22"/>
          <w:color w:val="auto"/>
        </w:rPr>
        <w:t>acquired and are not held in connection with or as a</w:t>
      </w:r>
    </w:p>
    <w:p>
      <w:pPr>
        <w:ind w:left="3200"/>
        <w:spacing w:after="0" w:line="231" w:lineRule="auto"/>
        <w:rPr>
          <w:sz w:val="20"/>
          <w:szCs w:val="20"/>
          <w:color w:val="auto"/>
        </w:rPr>
      </w:pPr>
      <w:r>
        <w:rPr>
          <w:rFonts w:ascii="Arial" w:cs="Arial" w:eastAsia="Arial" w:hAnsi="Arial"/>
          <w:sz w:val="22"/>
          <w:szCs w:val="22"/>
          <w:color w:val="auto"/>
        </w:rPr>
        <w:t>participant in any transaction having that purpose or</w:t>
      </w:r>
    </w:p>
    <w:p>
      <w:pPr>
        <w:ind w:left="3200"/>
        <w:spacing w:after="0"/>
        <w:rPr>
          <w:sz w:val="20"/>
          <w:szCs w:val="20"/>
          <w:color w:val="auto"/>
        </w:rPr>
      </w:pPr>
      <w:r>
        <w:rPr>
          <w:rFonts w:ascii="Arial" w:cs="Arial" w:eastAsia="Arial" w:hAnsi="Arial"/>
          <w:sz w:val="22"/>
          <w:szCs w:val="22"/>
          <w:color w:val="auto"/>
        </w:rPr>
        <w:t>effect.</w:t>
      </w:r>
    </w:p>
    <w:p>
      <w:pPr>
        <w:spacing w:after="0" w:line="200" w:lineRule="exact"/>
        <w:rPr>
          <w:sz w:val="20"/>
          <w:szCs w:val="20"/>
          <w:color w:val="auto"/>
        </w:rPr>
      </w:pPr>
    </w:p>
    <w:p>
      <w:pPr>
        <w:spacing w:after="0" w:line="297" w:lineRule="exact"/>
        <w:rPr>
          <w:sz w:val="20"/>
          <w:szCs w:val="20"/>
          <w:color w:val="auto"/>
        </w:rPr>
      </w:pPr>
    </w:p>
    <w:p>
      <w:pPr>
        <w:ind w:left="4980"/>
        <w:spacing w:after="0"/>
        <w:rPr>
          <w:sz w:val="20"/>
          <w:szCs w:val="20"/>
          <w:color w:val="auto"/>
        </w:rPr>
      </w:pPr>
      <w:r>
        <w:rPr>
          <w:rFonts w:ascii="Arial" w:cs="Arial" w:eastAsia="Arial" w:hAnsi="Arial"/>
          <w:sz w:val="25"/>
          <w:szCs w:val="25"/>
          <w:b w:val="1"/>
          <w:bCs w:val="1"/>
          <w:color w:val="auto"/>
        </w:rPr>
        <w:t>SIGNATURE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1/28/2004</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________________________________</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17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Karen F. Knudtsen</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Vice President and Trust Officer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780"/>
      </w:cols>
      <w:pgMar w:left="240" w:top="1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2019-12-12T11:10:19Z</dcterms:created>
  <dcterms:modified xsi:type="dcterms:W3CDTF">2019-12-12T11:10:19Z</dcterms:modified>
</cp:coreProperties>
</file>