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HAGEDORN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5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03/26/2013</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00"/>
              <w:spacing w:after="0"/>
              <w:rPr>
                <w:sz w:val="20"/>
                <w:szCs w:val="20"/>
                <w:color w:val="auto"/>
              </w:rPr>
            </w:pPr>
            <w:r>
              <w:rPr>
                <w:rFonts w:ascii="Arial" w:cs="Arial" w:eastAsia="Arial" w:hAnsi="Arial"/>
                <w:sz w:val="18"/>
                <w:szCs w:val="18"/>
                <w:color w:val="0000FF"/>
              </w:rPr>
              <w:t>Chairman and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03/26/2013</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31.872</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44.29</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34,076.047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34,833.042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2,427,726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HPLP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5,482.7295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common shares of the Issuer ("Common Shares") represented by amount credited to the benchmark Company stock fund within the reporting person's bookkeeping account under The Scotts Company LLC Executive Retirement Plan.</w:t>
      </w:r>
    </w:p>
    <w:p>
      <w:pPr>
        <w:spacing w:after="0" w:line="30" w:lineRule="exact"/>
        <w:rPr>
          <w:rFonts w:ascii="Arial" w:cs="Arial" w:eastAsia="Arial" w:hAnsi="Arial"/>
          <w:sz w:val="14"/>
          <w:szCs w:val="14"/>
          <w:color w:val="008000"/>
        </w:rPr>
      </w:pPr>
    </w:p>
    <w:p>
      <w:pPr>
        <w:ind w:left="40" w:right="1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Exchange Act Rule 16a-1(a)(1), the reporting person may be deemed, solely for purposes of determining whether he is a beneficial owner of more than 10% of the Common Shares, to be the beneficial owner of the securities of the Issuer that are held by Hagedorn Partnership, L.P., a Delaware limited partnership in which the reporting person is a general partner (the "Partnership"). Represents the aggregate proportionate interest of the reporting person and those family members in whose holdings he may be deemed to have a pecuniary interest, in Common Shares held by the Partnership.</w:t>
      </w:r>
    </w:p>
    <w:p>
      <w:pPr>
        <w:sectPr>
          <w:pgSz w:w="11900" w:h="16838" w:orient="portrait"/>
          <w:cols w:equalWidth="0" w:num="1">
            <w:col w:w="11420"/>
          </w:cols>
          <w:pgMar w:left="240" w:top="226" w:right="239" w:bottom="1440" w:gutter="0" w:footer="0" w:header="0"/>
          <w:type w:val="continuous"/>
        </w:sectPr>
      </w:pPr>
    </w:p>
    <w:p>
      <w:pPr>
        <w:spacing w:after="0" w:line="32"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 for James Hagedorn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92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color w:val="0000FF"/>
        </w:rPr>
        <w:t>03/27/2013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1st day of April, 2009.</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James Hagedorn</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Hagedorn</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17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2019-12-17T17:29:53Z</dcterms:created>
  <dcterms:modified xsi:type="dcterms:W3CDTF">2019-12-17T17:29:53Z</dcterms:modified>
</cp:coreProperties>
</file>