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216535</wp:posOffset>
            </wp:positionH>
            <wp:positionV relativeFrom="page">
              <wp:posOffset>594995</wp:posOffset>
            </wp:positionV>
            <wp:extent cx="711517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15175" cy="8255"/>
                    </a:xfrm>
                    <a:prstGeom prst="rect">
                      <a:avLst/>
                    </a:prstGeom>
                    <a:noFill/>
                  </pic:spPr>
                </pic:pic>
              </a:graphicData>
            </a:graphic>
          </wp:anchor>
        </w:drawing>
        <w:drawing>
          <wp:anchor simplePos="0" relativeHeight="251657728" behindDoc="1" locked="0" layoutInCell="0" allowOverlap="1">
            <wp:simplePos x="0" y="0"/>
            <wp:positionH relativeFrom="page">
              <wp:posOffset>216535</wp:posOffset>
            </wp:positionH>
            <wp:positionV relativeFrom="page">
              <wp:posOffset>560705</wp:posOffset>
            </wp:positionV>
            <wp:extent cx="711517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15175" cy="8255"/>
                    </a:xfrm>
                    <a:prstGeom prst="rect">
                      <a:avLst/>
                    </a:prstGeom>
                    <a:noFill/>
                  </pic:spPr>
                </pic:pic>
              </a:graphicData>
            </a:graphic>
          </wp:anchor>
        </w:drawing>
        <w:t>UNITED STATES</w:t>
      </w:r>
    </w:p>
    <w:p>
      <w:pPr>
        <w:spacing w:after="0" w:line="3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WASHINGTON, D.C. 20549</w:t>
      </w:r>
    </w:p>
    <w:p>
      <w:pPr>
        <w:spacing w:after="0" w:line="18" w:lineRule="exact"/>
        <w:rPr>
          <w:sz w:val="24"/>
          <w:szCs w:val="24"/>
          <w:color w:val="auto"/>
        </w:rPr>
      </w:pPr>
    </w:p>
    <w:p>
      <w:pPr>
        <w:ind w:left="4140"/>
        <w:spacing w:after="0"/>
        <w:rPr>
          <w:sz w:val="20"/>
          <w:szCs w:val="20"/>
          <w:color w:val="auto"/>
        </w:rPr>
      </w:pPr>
      <w:r>
        <w:rPr>
          <w:rFonts w:ascii="Arial" w:cs="Arial" w:eastAsia="Arial" w:hAnsi="Arial"/>
          <w:sz w:val="14"/>
          <w:szCs w:val="14"/>
          <w:b w:val="1"/>
          <w:bCs w:val="1"/>
          <w:color w:val="auto"/>
        </w:rPr>
        <w:t>_________________________________________</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72" w:lineRule="exact"/>
        <w:rPr>
          <w:sz w:val="24"/>
          <w:szCs w:val="24"/>
          <w:color w:val="auto"/>
        </w:rPr>
      </w:pPr>
    </w:p>
    <w:p>
      <w:pPr>
        <w:ind w:left="4140"/>
        <w:spacing w:after="0"/>
        <w:rPr>
          <w:sz w:val="20"/>
          <w:szCs w:val="20"/>
          <w:color w:val="auto"/>
        </w:rPr>
      </w:pPr>
      <w:r>
        <w:rPr>
          <w:rFonts w:ascii="Arial" w:cs="Arial" w:eastAsia="Arial" w:hAnsi="Arial"/>
          <w:sz w:val="18"/>
          <w:szCs w:val="18"/>
          <w:b w:val="1"/>
          <w:bCs w:val="1"/>
          <w:color w:val="auto"/>
        </w:rPr>
        <w:t>_________________________________</w:t>
      </w:r>
    </w:p>
    <w:p>
      <w:pPr>
        <w:spacing w:after="0" w:line="108" w:lineRule="exact"/>
        <w:rPr>
          <w:sz w:val="24"/>
          <w:szCs w:val="24"/>
          <w:color w:val="auto"/>
        </w:rPr>
      </w:pPr>
    </w:p>
    <w:p>
      <w:pPr>
        <w:ind w:left="4620"/>
        <w:spacing w:after="0"/>
        <w:rPr>
          <w:sz w:val="20"/>
          <w:szCs w:val="20"/>
          <w:color w:val="auto"/>
        </w:rPr>
      </w:pPr>
      <w:r>
        <w:rPr>
          <w:rFonts w:ascii="Arial" w:cs="Arial" w:eastAsia="Arial" w:hAnsi="Arial"/>
          <w:sz w:val="22"/>
          <w:szCs w:val="22"/>
          <w:b w:val="1"/>
          <w:bCs w:val="1"/>
          <w:color w:val="auto"/>
        </w:rPr>
        <w:t>CURRENT REPORT</w:t>
      </w:r>
    </w:p>
    <w:p>
      <w:pPr>
        <w:spacing w:after="0" w:line="112" w:lineRule="exact"/>
        <w:rPr>
          <w:sz w:val="24"/>
          <w:szCs w:val="24"/>
          <w:color w:val="auto"/>
        </w:rPr>
      </w:pPr>
    </w:p>
    <w:p>
      <w:pPr>
        <w:ind w:left="3800"/>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21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Date of Report (Date of earliest event reported): November 3, 2021</w:t>
      </w:r>
    </w:p>
    <w:p>
      <w:pPr>
        <w:spacing w:after="0" w:line="24" w:lineRule="exact"/>
        <w:rPr>
          <w:sz w:val="24"/>
          <w:szCs w:val="24"/>
          <w:color w:val="auto"/>
        </w:rPr>
      </w:pPr>
    </w:p>
    <w:p>
      <w:pPr>
        <w:ind w:left="4140"/>
        <w:spacing w:after="0"/>
        <w:rPr>
          <w:sz w:val="20"/>
          <w:szCs w:val="20"/>
          <w:color w:val="auto"/>
        </w:rPr>
      </w:pPr>
      <w:r>
        <w:rPr>
          <w:rFonts w:ascii="Arial" w:cs="Arial" w:eastAsia="Arial" w:hAnsi="Arial"/>
          <w:sz w:val="18"/>
          <w:szCs w:val="18"/>
          <w:b w:val="1"/>
          <w:bCs w:val="1"/>
          <w:color w:val="auto"/>
        </w:rPr>
        <w:t>_________________________________</w:t>
      </w:r>
    </w:p>
    <w:p>
      <w:pPr>
        <w:spacing w:after="0" w:line="58"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The Scotts Miracle-Gro Company</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7" w:lineRule="exact"/>
        <w:rPr>
          <w:sz w:val="24"/>
          <w:szCs w:val="24"/>
          <w:color w:val="auto"/>
        </w:rPr>
      </w:pPr>
    </w:p>
    <w:p>
      <w:pPr>
        <w:ind w:left="4140"/>
        <w:spacing w:after="0"/>
        <w:rPr>
          <w:sz w:val="20"/>
          <w:szCs w:val="20"/>
          <w:color w:val="auto"/>
        </w:rPr>
      </w:pPr>
      <w:r>
        <w:rPr>
          <w:rFonts w:ascii="Arial" w:cs="Arial" w:eastAsia="Arial" w:hAnsi="Arial"/>
          <w:sz w:val="18"/>
          <w:szCs w:val="18"/>
          <w:b w:val="1"/>
          <w:bCs w:val="1"/>
          <w:color w:val="auto"/>
        </w:rPr>
        <w:t>_________________________________</w:t>
      </w:r>
    </w:p>
    <w:p>
      <w:pPr>
        <w:spacing w:after="0" w:line="31" w:lineRule="exact"/>
        <w:rPr>
          <w:sz w:val="24"/>
          <w:szCs w:val="24"/>
          <w:color w:val="auto"/>
        </w:rPr>
      </w:pPr>
    </w:p>
    <w:tbl>
      <w:tblPr>
        <w:tblLayout w:type="fixed"/>
        <w:tblInd w:w="680" w:type="dxa"/>
        <w:tblCellMar>
          <w:top w:w="0" w:type="dxa"/>
          <w:left w:w="0" w:type="dxa"/>
          <w:bottom w:w="0" w:type="dxa"/>
          <w:right w:w="0" w:type="dxa"/>
        </w:tblCellMar>
      </w:tblPr>
      <w:tr>
        <w:trPr>
          <w:trHeight w:val="234"/>
        </w:trPr>
        <w:tc>
          <w:tcPr>
            <w:tcW w:w="3300" w:type="dxa"/>
            <w:vAlign w:val="bottom"/>
          </w:tcPr>
          <w:p>
            <w:pPr>
              <w:jc w:val="center"/>
              <w:ind w:right="350"/>
              <w:spacing w:after="0"/>
              <w:rPr>
                <w:sz w:val="20"/>
                <w:szCs w:val="20"/>
                <w:color w:val="auto"/>
              </w:rPr>
            </w:pPr>
            <w:r>
              <w:rPr>
                <w:rFonts w:ascii="Arial" w:cs="Arial" w:eastAsia="Arial" w:hAnsi="Arial"/>
                <w:sz w:val="18"/>
                <w:szCs w:val="18"/>
                <w:b w:val="1"/>
                <w:bCs w:val="1"/>
                <w:color w:val="auto"/>
                <w:w w:val="92"/>
              </w:rPr>
              <w:t>Ohio</w:t>
            </w:r>
          </w:p>
        </w:tc>
        <w:tc>
          <w:tcPr>
            <w:tcW w:w="1960" w:type="dxa"/>
            <w:vAlign w:val="bottom"/>
          </w:tcPr>
          <w:p>
            <w:pPr>
              <w:jc w:val="right"/>
              <w:spacing w:after="0"/>
              <w:rPr>
                <w:sz w:val="20"/>
                <w:szCs w:val="20"/>
                <w:color w:val="auto"/>
              </w:rPr>
            </w:pPr>
            <w:r>
              <w:rPr>
                <w:rFonts w:ascii="Arial" w:cs="Arial" w:eastAsia="Arial" w:hAnsi="Arial"/>
                <w:sz w:val="18"/>
                <w:szCs w:val="18"/>
                <w:b w:val="1"/>
                <w:bCs w:val="1"/>
                <w:color w:val="auto"/>
              </w:rPr>
              <w:t>001-11593</w:t>
            </w:r>
          </w:p>
        </w:tc>
        <w:tc>
          <w:tcPr>
            <w:tcW w:w="1420" w:type="dxa"/>
            <w:vAlign w:val="bottom"/>
          </w:tcPr>
          <w:p>
            <w:pPr>
              <w:spacing w:after="0"/>
              <w:rPr>
                <w:sz w:val="20"/>
                <w:szCs w:val="20"/>
                <w:color w:val="auto"/>
              </w:rPr>
            </w:pPr>
          </w:p>
        </w:tc>
        <w:tc>
          <w:tcPr>
            <w:tcW w:w="2340" w:type="dxa"/>
            <w:vAlign w:val="bottom"/>
          </w:tcPr>
          <w:p>
            <w:pPr>
              <w:jc w:val="right"/>
              <w:ind w:right="150"/>
              <w:spacing w:after="0"/>
              <w:rPr>
                <w:sz w:val="20"/>
                <w:szCs w:val="20"/>
                <w:color w:val="auto"/>
              </w:rPr>
            </w:pPr>
            <w:r>
              <w:rPr>
                <w:rFonts w:ascii="Arial" w:cs="Arial" w:eastAsia="Arial" w:hAnsi="Arial"/>
                <w:sz w:val="18"/>
                <w:szCs w:val="18"/>
                <w:b w:val="1"/>
                <w:bCs w:val="1"/>
                <w:color w:val="auto"/>
              </w:rPr>
              <w:t>31-1414921</w:t>
            </w:r>
          </w:p>
        </w:tc>
      </w:tr>
      <w:tr>
        <w:trPr>
          <w:trHeight w:val="229"/>
        </w:trPr>
        <w:tc>
          <w:tcPr>
            <w:tcW w:w="3300" w:type="dxa"/>
            <w:vAlign w:val="bottom"/>
          </w:tcPr>
          <w:p>
            <w:pPr>
              <w:jc w:val="center"/>
              <w:ind w:right="230"/>
              <w:spacing w:after="0"/>
              <w:rPr>
                <w:sz w:val="20"/>
                <w:szCs w:val="20"/>
                <w:color w:val="auto"/>
              </w:rPr>
            </w:pPr>
            <w:r>
              <w:rPr>
                <w:rFonts w:ascii="Arial" w:cs="Arial" w:eastAsia="Arial" w:hAnsi="Arial"/>
                <w:sz w:val="18"/>
                <w:szCs w:val="18"/>
                <w:color w:val="auto"/>
                <w:w w:val="92"/>
              </w:rPr>
              <w:t>(State or other jurisdiction</w:t>
            </w:r>
          </w:p>
        </w:tc>
        <w:tc>
          <w:tcPr>
            <w:tcW w:w="3380" w:type="dxa"/>
            <w:vAlign w:val="bottom"/>
            <w:gridSpan w:val="2"/>
          </w:tcPr>
          <w:p>
            <w:pPr>
              <w:ind w:left="1040"/>
              <w:spacing w:after="0"/>
              <w:rPr>
                <w:sz w:val="20"/>
                <w:szCs w:val="20"/>
                <w:color w:val="auto"/>
              </w:rPr>
            </w:pPr>
            <w:r>
              <w:rPr>
                <w:rFonts w:ascii="Arial" w:cs="Arial" w:eastAsia="Arial" w:hAnsi="Arial"/>
                <w:sz w:val="18"/>
                <w:szCs w:val="18"/>
                <w:color w:val="auto"/>
              </w:rPr>
              <w:t>(Commission</w:t>
            </w:r>
          </w:p>
        </w:tc>
        <w:tc>
          <w:tcPr>
            <w:tcW w:w="2340" w:type="dxa"/>
            <w:vAlign w:val="bottom"/>
          </w:tcPr>
          <w:p>
            <w:pPr>
              <w:jc w:val="center"/>
              <w:ind w:left="910"/>
              <w:spacing w:after="0"/>
              <w:rPr>
                <w:sz w:val="20"/>
                <w:szCs w:val="20"/>
                <w:color w:val="auto"/>
              </w:rPr>
            </w:pPr>
            <w:r>
              <w:rPr>
                <w:rFonts w:ascii="Arial" w:cs="Arial" w:eastAsia="Arial" w:hAnsi="Arial"/>
                <w:sz w:val="18"/>
                <w:szCs w:val="18"/>
                <w:color w:val="auto"/>
                <w:w w:val="93"/>
              </w:rPr>
              <w:t>(IRS Employer</w:t>
            </w:r>
          </w:p>
        </w:tc>
      </w:tr>
      <w:tr>
        <w:trPr>
          <w:trHeight w:val="230"/>
        </w:trPr>
        <w:tc>
          <w:tcPr>
            <w:tcW w:w="3300" w:type="dxa"/>
            <w:vAlign w:val="bottom"/>
          </w:tcPr>
          <w:p>
            <w:pPr>
              <w:jc w:val="center"/>
              <w:ind w:right="210"/>
              <w:spacing w:after="0"/>
              <w:rPr>
                <w:sz w:val="20"/>
                <w:szCs w:val="20"/>
                <w:color w:val="auto"/>
              </w:rPr>
            </w:pPr>
            <w:r>
              <w:rPr>
                <w:rFonts w:ascii="Arial" w:cs="Arial" w:eastAsia="Arial" w:hAnsi="Arial"/>
                <w:sz w:val="18"/>
                <w:szCs w:val="18"/>
                <w:color w:val="auto"/>
                <w:w w:val="92"/>
              </w:rPr>
              <w:t>of incorporation or organization)</w:t>
            </w:r>
          </w:p>
        </w:tc>
        <w:tc>
          <w:tcPr>
            <w:tcW w:w="3380" w:type="dxa"/>
            <w:vAlign w:val="bottom"/>
            <w:gridSpan w:val="2"/>
          </w:tcPr>
          <w:p>
            <w:pPr>
              <w:ind w:left="1060"/>
              <w:spacing w:after="0"/>
              <w:rPr>
                <w:sz w:val="20"/>
                <w:szCs w:val="20"/>
                <w:color w:val="auto"/>
              </w:rPr>
            </w:pPr>
            <w:r>
              <w:rPr>
                <w:rFonts w:ascii="Arial" w:cs="Arial" w:eastAsia="Arial" w:hAnsi="Arial"/>
                <w:sz w:val="18"/>
                <w:szCs w:val="18"/>
                <w:color w:val="auto"/>
              </w:rPr>
              <w:t>File Number)</w:t>
            </w:r>
          </w:p>
        </w:tc>
        <w:tc>
          <w:tcPr>
            <w:tcW w:w="2340" w:type="dxa"/>
            <w:vAlign w:val="bottom"/>
          </w:tcPr>
          <w:p>
            <w:pPr>
              <w:jc w:val="center"/>
              <w:ind w:left="910"/>
              <w:spacing w:after="0"/>
              <w:rPr>
                <w:sz w:val="20"/>
                <w:szCs w:val="20"/>
                <w:color w:val="auto"/>
              </w:rPr>
            </w:pPr>
            <w:r>
              <w:rPr>
                <w:rFonts w:ascii="Arial" w:cs="Arial" w:eastAsia="Arial" w:hAnsi="Arial"/>
                <w:sz w:val="18"/>
                <w:szCs w:val="18"/>
                <w:color w:val="auto"/>
                <w:w w:val="95"/>
              </w:rPr>
              <w:t>Identification No.)</w:t>
            </w:r>
          </w:p>
        </w:tc>
      </w:tr>
      <w:tr>
        <w:trPr>
          <w:trHeight w:val="404"/>
        </w:trPr>
        <w:tc>
          <w:tcPr>
            <w:tcW w:w="3300" w:type="dxa"/>
            <w:vAlign w:val="bottom"/>
          </w:tcPr>
          <w:p>
            <w:pPr>
              <w:jc w:val="center"/>
              <w:ind w:right="370"/>
              <w:spacing w:after="0"/>
              <w:rPr>
                <w:sz w:val="20"/>
                <w:szCs w:val="20"/>
                <w:color w:val="auto"/>
              </w:rPr>
            </w:pPr>
            <w:r>
              <w:rPr>
                <w:rFonts w:ascii="Arial" w:cs="Arial" w:eastAsia="Arial" w:hAnsi="Arial"/>
                <w:sz w:val="18"/>
                <w:szCs w:val="18"/>
                <w:b w:val="1"/>
                <w:bCs w:val="1"/>
                <w:color w:val="auto"/>
                <w:w w:val="87"/>
              </w:rPr>
              <w:t>14111 Scottslawn Road</w:t>
            </w:r>
          </w:p>
        </w:tc>
        <w:tc>
          <w:tcPr>
            <w:tcW w:w="1960" w:type="dxa"/>
            <w:vAlign w:val="bottom"/>
          </w:tcPr>
          <w:p>
            <w:pPr>
              <w:ind w:left="460"/>
              <w:spacing w:after="0"/>
              <w:rPr>
                <w:sz w:val="20"/>
                <w:szCs w:val="20"/>
                <w:color w:val="auto"/>
              </w:rPr>
            </w:pPr>
            <w:r>
              <w:rPr>
                <w:rFonts w:ascii="Arial" w:cs="Arial" w:eastAsia="Arial" w:hAnsi="Arial"/>
                <w:sz w:val="18"/>
                <w:szCs w:val="18"/>
                <w:b w:val="1"/>
                <w:bCs w:val="1"/>
                <w:color w:val="auto"/>
              </w:rPr>
              <w:t>Marysville</w:t>
            </w:r>
          </w:p>
        </w:tc>
        <w:tc>
          <w:tcPr>
            <w:tcW w:w="1420" w:type="dxa"/>
            <w:vAlign w:val="bottom"/>
          </w:tcPr>
          <w:p>
            <w:pPr>
              <w:ind w:left="40"/>
              <w:spacing w:after="0"/>
              <w:rPr>
                <w:sz w:val="20"/>
                <w:szCs w:val="20"/>
                <w:color w:val="auto"/>
              </w:rPr>
            </w:pPr>
            <w:r>
              <w:rPr>
                <w:rFonts w:ascii="Arial" w:cs="Arial" w:eastAsia="Arial" w:hAnsi="Arial"/>
                <w:sz w:val="18"/>
                <w:szCs w:val="18"/>
                <w:b w:val="1"/>
                <w:bCs w:val="1"/>
                <w:color w:val="auto"/>
              </w:rPr>
              <w:t>Ohio</w:t>
            </w:r>
          </w:p>
        </w:tc>
        <w:tc>
          <w:tcPr>
            <w:tcW w:w="2340" w:type="dxa"/>
            <w:vAlign w:val="bottom"/>
          </w:tcPr>
          <w:p>
            <w:pPr>
              <w:jc w:val="right"/>
              <w:ind w:right="350"/>
              <w:spacing w:after="0"/>
              <w:rPr>
                <w:sz w:val="20"/>
                <w:szCs w:val="20"/>
                <w:color w:val="auto"/>
              </w:rPr>
            </w:pPr>
            <w:r>
              <w:rPr>
                <w:rFonts w:ascii="Arial" w:cs="Arial" w:eastAsia="Arial" w:hAnsi="Arial"/>
                <w:sz w:val="18"/>
                <w:szCs w:val="18"/>
                <w:b w:val="1"/>
                <w:bCs w:val="1"/>
                <w:color w:val="auto"/>
              </w:rPr>
              <w:t>43041</w:t>
            </w:r>
          </w:p>
        </w:tc>
      </w:tr>
      <w:tr>
        <w:trPr>
          <w:trHeight w:val="230"/>
        </w:trPr>
        <w:tc>
          <w:tcPr>
            <w:tcW w:w="3300" w:type="dxa"/>
            <w:vAlign w:val="bottom"/>
          </w:tcPr>
          <w:p>
            <w:pPr>
              <w:jc w:val="center"/>
              <w:ind w:right="370"/>
              <w:spacing w:after="0"/>
              <w:rPr>
                <w:sz w:val="20"/>
                <w:szCs w:val="20"/>
                <w:color w:val="auto"/>
              </w:rPr>
            </w:pPr>
            <w:r>
              <w:rPr>
                <w:rFonts w:ascii="Arial" w:cs="Arial" w:eastAsia="Arial" w:hAnsi="Arial"/>
                <w:sz w:val="18"/>
                <w:szCs w:val="18"/>
                <w:color w:val="auto"/>
                <w:w w:val="92"/>
              </w:rPr>
              <w:t>(Address of principal executive offices)</w:t>
            </w:r>
          </w:p>
        </w:tc>
        <w:tc>
          <w:tcPr>
            <w:tcW w:w="19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340" w:type="dxa"/>
            <w:vAlign w:val="bottom"/>
          </w:tcPr>
          <w:p>
            <w:pPr>
              <w:jc w:val="center"/>
              <w:ind w:left="890"/>
              <w:spacing w:after="0"/>
              <w:rPr>
                <w:sz w:val="20"/>
                <w:szCs w:val="20"/>
                <w:color w:val="auto"/>
              </w:rPr>
            </w:pPr>
            <w:r>
              <w:rPr>
                <w:rFonts w:ascii="Arial" w:cs="Arial" w:eastAsia="Arial" w:hAnsi="Arial"/>
                <w:sz w:val="18"/>
                <w:szCs w:val="18"/>
                <w:color w:val="auto"/>
                <w:w w:val="94"/>
              </w:rPr>
              <w:t>(Zip Code)</w:t>
            </w:r>
          </w:p>
        </w:tc>
      </w:tr>
    </w:tbl>
    <w:p>
      <w:pPr>
        <w:spacing w:after="0" w:line="31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(937) 644-0011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9" w:lineRule="exact"/>
        <w:rPr>
          <w:sz w:val="24"/>
          <w:szCs w:val="24"/>
          <w:color w:val="auto"/>
        </w:rPr>
      </w:pPr>
    </w:p>
    <w:p>
      <w:pPr>
        <w:ind w:left="4140"/>
        <w:spacing w:after="0"/>
        <w:rPr>
          <w:sz w:val="20"/>
          <w:szCs w:val="20"/>
          <w:color w:val="auto"/>
        </w:rPr>
      </w:pPr>
      <w:r>
        <w:rPr>
          <w:rFonts w:ascii="Arial" w:cs="Arial" w:eastAsia="Arial" w:hAnsi="Arial"/>
          <w:sz w:val="18"/>
          <w:szCs w:val="18"/>
          <w:b w:val="1"/>
          <w:bCs w:val="1"/>
          <w:color w:val="auto"/>
        </w:rPr>
        <w:t>_________________________________</w:t>
      </w:r>
    </w:p>
    <w:p>
      <w:pPr>
        <w:spacing w:after="0" w:line="236" w:lineRule="exact"/>
        <w:rPr>
          <w:sz w:val="24"/>
          <w:szCs w:val="24"/>
          <w:color w:val="auto"/>
        </w:rPr>
      </w:pPr>
    </w:p>
    <w:p>
      <w:pPr>
        <w:spacing w:after="0" w:line="25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7" w:lineRule="exact"/>
        <w:rPr>
          <w:sz w:val="24"/>
          <w:szCs w:val="24"/>
          <w:color w:val="auto"/>
        </w:rPr>
      </w:pPr>
    </w:p>
    <w:p>
      <w:pPr>
        <w:ind w:left="260" w:hanging="252"/>
        <w:spacing w:after="0"/>
        <w:tabs>
          <w:tab w:leader="none" w:pos="26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Written communications pursuant to Rule 425 under the Securities Act (17 CFR 230.425)</w:t>
      </w:r>
    </w:p>
    <w:p>
      <w:pPr>
        <w:spacing w:after="0" w:line="37" w:lineRule="exact"/>
        <w:rPr>
          <w:rFonts w:ascii="MS PGothic" w:cs="MS PGothic" w:eastAsia="MS PGothic" w:hAnsi="MS PGothic"/>
          <w:sz w:val="22"/>
          <w:szCs w:val="22"/>
          <w:color w:val="auto"/>
        </w:rPr>
      </w:pPr>
    </w:p>
    <w:p>
      <w:pPr>
        <w:ind w:left="260" w:hanging="252"/>
        <w:spacing w:after="0" w:line="235" w:lineRule="auto"/>
        <w:tabs>
          <w:tab w:leader="none" w:pos="26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Soliciting material pursuant to Rule 14a-12 under the Exchange Act (17 CFR 240.14a-12)</w:t>
      </w:r>
    </w:p>
    <w:p>
      <w:pPr>
        <w:spacing w:after="0" w:line="34" w:lineRule="exact"/>
        <w:rPr>
          <w:rFonts w:ascii="MS PGothic" w:cs="MS PGothic" w:eastAsia="MS PGothic" w:hAnsi="MS PGothic"/>
          <w:sz w:val="22"/>
          <w:szCs w:val="22"/>
          <w:color w:val="auto"/>
        </w:rPr>
      </w:pPr>
    </w:p>
    <w:p>
      <w:pPr>
        <w:ind w:left="260" w:hanging="252"/>
        <w:spacing w:after="0" w:line="235" w:lineRule="auto"/>
        <w:tabs>
          <w:tab w:leader="none" w:pos="26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Pre-commencement communications pursuant to Rule 14d-2(b) under the Exchange Act (17 CFR 240.14d-2(b))</w:t>
      </w:r>
    </w:p>
    <w:p>
      <w:pPr>
        <w:spacing w:after="0" w:line="34" w:lineRule="exact"/>
        <w:rPr>
          <w:rFonts w:ascii="MS PGothic" w:cs="MS PGothic" w:eastAsia="MS PGothic" w:hAnsi="MS PGothic"/>
          <w:sz w:val="22"/>
          <w:szCs w:val="22"/>
          <w:color w:val="auto"/>
        </w:rPr>
      </w:pPr>
    </w:p>
    <w:p>
      <w:pPr>
        <w:ind w:left="260" w:hanging="252"/>
        <w:spacing w:after="0" w:line="235" w:lineRule="auto"/>
        <w:tabs>
          <w:tab w:leader="none" w:pos="260" w:val="left"/>
        </w:tabs>
        <w:numPr>
          <w:ilvl w:val="0"/>
          <w:numId w:val="1"/>
        </w:numPr>
        <w:rPr>
          <w:rFonts w:ascii="MS PGothic" w:cs="MS PGothic" w:eastAsia="MS PGothic" w:hAnsi="MS PGothic"/>
          <w:sz w:val="22"/>
          <w:szCs w:val="22"/>
          <w:color w:val="auto"/>
        </w:rPr>
      </w:pPr>
      <w:r>
        <w:rPr>
          <w:rFonts w:ascii="Arial" w:cs="Arial" w:eastAsia="Arial" w:hAnsi="Arial"/>
          <w:sz w:val="18"/>
          <w:szCs w:val="18"/>
          <w:color w:val="auto"/>
        </w:rPr>
        <w:t>Pre-commencement communications pursuant to Rule 13e-4(c) under the Exchange Act (17 CFR 240.13e-4(c))</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240"/>
          </w:cols>
          <w:pgMar w:left="320" w:top="1012" w:right="339" w:bottom="1440" w:gutter="0" w:footer="0" w:header="0"/>
        </w:sectPr>
      </w:pPr>
    </w:p>
    <w:p>
      <w:pPr>
        <w:spacing w:after="0" w:line="50" w:lineRule="exact"/>
        <w:rPr>
          <w:sz w:val="24"/>
          <w:szCs w:val="24"/>
          <w:color w:val="auto"/>
        </w:rPr>
      </w:pPr>
    </w:p>
    <w:p>
      <w:pPr>
        <w:jc w:val="center"/>
        <w:ind w:right="240"/>
        <w:spacing w:after="0"/>
        <w:rPr>
          <w:sz w:val="20"/>
          <w:szCs w:val="20"/>
          <w:color w:val="auto"/>
        </w:rPr>
      </w:pPr>
      <w:r>
        <w:rPr>
          <w:rFonts w:ascii="Arial" w:cs="Arial" w:eastAsia="Arial" w:hAnsi="Arial"/>
          <w:sz w:val="18"/>
          <w:szCs w:val="18"/>
          <w:color w:val="auto"/>
        </w:rPr>
        <w:t>Title of each class</w:t>
      </w:r>
    </w:p>
    <w:p>
      <w:pPr>
        <w:spacing w:after="0" w:line="23" w:lineRule="exact"/>
        <w:rPr>
          <w:sz w:val="24"/>
          <w:szCs w:val="24"/>
          <w:color w:val="auto"/>
        </w:rPr>
      </w:pPr>
    </w:p>
    <w:p>
      <w:pPr>
        <w:jc w:val="center"/>
        <w:ind w:right="240"/>
        <w:spacing w:after="0"/>
        <w:rPr>
          <w:sz w:val="20"/>
          <w:szCs w:val="20"/>
          <w:color w:val="auto"/>
        </w:rPr>
      </w:pPr>
      <w:r>
        <w:rPr>
          <w:rFonts w:ascii="Arial" w:cs="Arial" w:eastAsia="Arial" w:hAnsi="Arial"/>
          <w:sz w:val="16"/>
          <w:szCs w:val="16"/>
          <w:color w:val="auto"/>
        </w:rPr>
        <w:t>Common Shares, $0.01 stated value</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jc w:val="center"/>
        <w:ind w:right="760"/>
        <w:spacing w:after="0"/>
        <w:rPr>
          <w:sz w:val="20"/>
          <w:szCs w:val="20"/>
          <w:color w:val="auto"/>
        </w:rPr>
      </w:pPr>
      <w:r>
        <w:rPr>
          <w:rFonts w:ascii="Arial" w:cs="Arial" w:eastAsia="Arial" w:hAnsi="Arial"/>
          <w:sz w:val="16"/>
          <w:szCs w:val="16"/>
          <w:color w:val="auto"/>
        </w:rPr>
        <w:t>Trading Symbol(s)</w:t>
      </w:r>
    </w:p>
    <w:p>
      <w:pPr>
        <w:spacing w:after="0" w:line="46" w:lineRule="exact"/>
        <w:rPr>
          <w:sz w:val="24"/>
          <w:szCs w:val="24"/>
          <w:color w:val="auto"/>
        </w:rPr>
      </w:pPr>
    </w:p>
    <w:p>
      <w:pPr>
        <w:jc w:val="center"/>
        <w:ind w:right="760"/>
        <w:spacing w:after="0"/>
        <w:rPr>
          <w:sz w:val="20"/>
          <w:szCs w:val="20"/>
          <w:color w:val="auto"/>
        </w:rPr>
      </w:pPr>
      <w:r>
        <w:rPr>
          <w:rFonts w:ascii="Arial" w:cs="Arial" w:eastAsia="Arial" w:hAnsi="Arial"/>
          <w:sz w:val="18"/>
          <w:szCs w:val="18"/>
          <w:color w:val="auto"/>
        </w:rPr>
        <w:t>SMG</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jc w:val="center"/>
        <w:ind w:right="580"/>
        <w:spacing w:after="0"/>
        <w:rPr>
          <w:sz w:val="20"/>
          <w:szCs w:val="20"/>
          <w:color w:val="auto"/>
        </w:rPr>
      </w:pPr>
      <w:r>
        <w:rPr>
          <w:rFonts w:ascii="Arial" w:cs="Arial" w:eastAsia="Arial" w:hAnsi="Arial"/>
          <w:sz w:val="16"/>
          <w:szCs w:val="16"/>
          <w:color w:val="auto"/>
        </w:rPr>
        <w:t>Name of each exchange on which registered</w:t>
      </w:r>
    </w:p>
    <w:p>
      <w:pPr>
        <w:spacing w:after="0" w:line="46" w:lineRule="exact"/>
        <w:rPr>
          <w:sz w:val="24"/>
          <w:szCs w:val="24"/>
          <w:color w:val="auto"/>
        </w:rPr>
      </w:pPr>
    </w:p>
    <w:p>
      <w:pPr>
        <w:jc w:val="center"/>
        <w:ind w:right="580"/>
        <w:spacing w:after="0"/>
        <w:rPr>
          <w:sz w:val="20"/>
          <w:szCs w:val="20"/>
          <w:color w:val="auto"/>
        </w:rPr>
      </w:pPr>
      <w:r>
        <w:rPr>
          <w:rFonts w:ascii="Arial" w:cs="Arial" w:eastAsia="Arial" w:hAnsi="Arial"/>
          <w:sz w:val="18"/>
          <w:szCs w:val="18"/>
          <w:color w:val="auto"/>
        </w:rPr>
        <w:t>NYSE</w:t>
      </w:r>
    </w:p>
    <w:p>
      <w:pPr>
        <w:spacing w:after="0" w:line="200" w:lineRule="exact"/>
        <w:rPr>
          <w:sz w:val="24"/>
          <w:szCs w:val="24"/>
          <w:color w:val="auto"/>
        </w:rPr>
      </w:pPr>
    </w:p>
    <w:p>
      <w:pPr>
        <w:sectPr>
          <w:pgSz w:w="11900" w:h="16838" w:orient="portrait"/>
          <w:cols w:equalWidth="0" w:num="3">
            <w:col w:w="3920" w:space="720"/>
            <w:col w:w="2120" w:space="720"/>
            <w:col w:w="3760"/>
          </w:cols>
          <w:pgMar w:left="320" w:top="1012" w:right="339" w:bottom="1440" w:gutter="0" w:footer="0" w:header="0"/>
          <w:type w:val="continuous"/>
        </w:sectPr>
      </w:pPr>
    </w:p>
    <w:p>
      <w:pPr>
        <w:spacing w:after="0" w:line="240" w:lineRule="exact"/>
        <w:rPr>
          <w:sz w:val="24"/>
          <w:szCs w:val="24"/>
          <w:color w:val="auto"/>
        </w:rPr>
      </w:pPr>
    </w:p>
    <w:p>
      <w:pPr>
        <w:ind w:right="520"/>
        <w:spacing w:after="0" w:line="233" w:lineRule="exact"/>
        <w:rPr>
          <w:sz w:val="20"/>
          <w:szCs w:val="20"/>
          <w:color w:val="auto"/>
        </w:rPr>
      </w:pPr>
      <w:r>
        <w:rPr>
          <w:rFonts w:ascii="Arial" w:cs="Arial" w:eastAsia="Arial" w:hAnsi="Arial"/>
          <w:sz w:val="17"/>
          <w:szCs w:val="17"/>
          <w:color w:val="auto"/>
        </w:rPr>
        <w:t xml:space="preserve">Indicate by check mark whether the registrant is an emerging growth company as defined in Rule 405 of the Securities Act of 1933 (§230.405 of this chapter) or Rule 12b–2 of the Securities Exchange Act of 1934 (§240.12b of this chapter). Emerging growth company </w:t>
      </w:r>
      <w:r>
        <w:rPr>
          <w:rFonts w:ascii="MS PGothic" w:cs="MS PGothic" w:eastAsia="MS PGothic" w:hAnsi="MS PGothic"/>
          <w:sz w:val="17"/>
          <w:szCs w:val="17"/>
          <w:color w:val="auto"/>
        </w:rPr>
        <w:t>☐</w:t>
      </w:r>
    </w:p>
    <w:p>
      <w:pPr>
        <w:spacing w:after="0" w:line="182"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703580</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39370</wp:posOffset>
            </wp:positionV>
            <wp:extent cx="670369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703695" cy="8255"/>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5080</wp:posOffset>
            </wp:positionV>
            <wp:extent cx="670369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703695" cy="8255"/>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u w:val="single" w:color="auto"/>
          <w:color w:val="auto"/>
        </w:rPr>
        <w:t>Item 2.02. Results of Operations and Financial Condition.</w:t>
      </w:r>
    </w:p>
    <w:p>
      <w:pPr>
        <w:spacing w:after="0" w:line="17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November 3, 2021, Scotts Miracle-Gro issued a news release reporting information regarding its financial results for the three and twelve months ended September 30, 2021 and its financial condition as of September 30, 2021. The news release is furnished herewith as Exhibit 99.1 to this Current Report on Form 8-K and incorporated herein by 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Item 9.01. Financial Statements and Exhibits.</w:t>
      </w:r>
    </w:p>
    <w:p>
      <w:pPr>
        <w:spacing w:after="0" w:line="175" w:lineRule="exact"/>
        <w:rPr>
          <w:sz w:val="20"/>
          <w:szCs w:val="20"/>
          <w:color w:val="auto"/>
        </w:rPr>
      </w:pPr>
    </w:p>
    <w:p>
      <w:pPr>
        <w:ind w:right="7800" w:firstLine="8"/>
        <w:spacing w:after="0" w:line="438" w:lineRule="auto"/>
        <w:tabs>
          <w:tab w:leader="none" w:pos="244"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 xml:space="preserve">Financial statements of businesses acquired: </w:t>
      </w:r>
      <w:r>
        <w:rPr>
          <w:rFonts w:ascii="Arial" w:cs="Arial" w:eastAsia="Arial" w:hAnsi="Arial"/>
          <w:sz w:val="18"/>
          <w:szCs w:val="18"/>
          <w:color w:val="auto"/>
        </w:rPr>
        <w:t>Not applicable.</w:t>
      </w:r>
    </w:p>
    <w:p>
      <w:pPr>
        <w:ind w:left="260" w:hanging="252"/>
        <w:spacing w:after="0"/>
        <w:tabs>
          <w:tab w:leader="none" w:pos="26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Pro forma financial information: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171" w:lineRule="exact"/>
        <w:rPr>
          <w:sz w:val="20"/>
          <w:szCs w:val="20"/>
          <w:color w:val="auto"/>
        </w:rPr>
      </w:pPr>
    </w:p>
    <w:p>
      <w:pPr>
        <w:ind w:right="8960" w:firstLine="8"/>
        <w:spacing w:after="0" w:line="438" w:lineRule="auto"/>
        <w:tabs>
          <w:tab w:leader="none" w:pos="244"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 xml:space="preserve">Shell company transactions: </w:t>
      </w:r>
      <w:r>
        <w:rPr>
          <w:rFonts w:ascii="Arial" w:cs="Arial" w:eastAsia="Arial" w:hAnsi="Arial"/>
          <w:sz w:val="18"/>
          <w:szCs w:val="18"/>
          <w:color w:val="auto"/>
        </w:rPr>
        <w:t>Not applicable.</w:t>
      </w:r>
    </w:p>
    <w:p>
      <w:pPr>
        <w:ind w:left="260" w:hanging="252"/>
        <w:spacing w:after="0"/>
        <w:tabs>
          <w:tab w:leader="none" w:pos="260"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Exhibits:</w:t>
      </w:r>
    </w:p>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126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9960" w:type="dxa"/>
            <w:vAlign w:val="bottom"/>
            <w:gridSpan w:val="3"/>
          </w:tcPr>
          <w:p>
            <w:pPr>
              <w:ind w:left="380"/>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8700" w:type="dxa"/>
            <w:vAlign w:val="bottom"/>
          </w:tcPr>
          <w:p>
            <w:pPr>
              <w:spacing w:after="0" w:line="20" w:lineRule="exact"/>
              <w:rPr>
                <w:sz w:val="1"/>
                <w:szCs w:val="1"/>
                <w:color w:val="auto"/>
              </w:rPr>
            </w:pPr>
          </w:p>
        </w:tc>
      </w:tr>
      <w:tr>
        <w:trPr>
          <w:trHeight w:val="250"/>
        </w:trPr>
        <w:tc>
          <w:tcPr>
            <w:tcW w:w="20" w:type="dxa"/>
            <w:vAlign w:val="bottom"/>
          </w:tcPr>
          <w:p>
            <w:pPr>
              <w:spacing w:after="0"/>
              <w:rPr>
                <w:sz w:val="21"/>
                <w:szCs w:val="21"/>
                <w:color w:val="auto"/>
              </w:rPr>
            </w:pPr>
          </w:p>
        </w:tc>
        <w:tc>
          <w:tcPr>
            <w:tcW w:w="880" w:type="dxa"/>
            <w:vAlign w:val="bottom"/>
          </w:tcPr>
          <w:p>
            <w:pPr>
              <w:spacing w:after="0"/>
              <w:rPr>
                <w:sz w:val="20"/>
                <w:szCs w:val="20"/>
                <w:color w:val="auto"/>
              </w:rPr>
            </w:pPr>
            <w:r>
              <w:rPr>
                <w:rFonts w:ascii="Arial" w:cs="Arial" w:eastAsia="Arial" w:hAnsi="Arial"/>
                <w:sz w:val="18"/>
                <w:szCs w:val="18"/>
                <w:color w:val="auto"/>
              </w:rPr>
              <w:t>99.1</w:t>
            </w:r>
          </w:p>
        </w:tc>
        <w:tc>
          <w:tcPr>
            <w:tcW w:w="380" w:type="dxa"/>
            <w:vAlign w:val="bottom"/>
          </w:tcPr>
          <w:p>
            <w:pPr>
              <w:spacing w:after="0"/>
              <w:rPr>
                <w:sz w:val="21"/>
                <w:szCs w:val="21"/>
                <w:color w:val="auto"/>
              </w:rPr>
            </w:pPr>
          </w:p>
        </w:tc>
        <w:tc>
          <w:tcPr>
            <w:tcW w:w="9960" w:type="dxa"/>
            <w:vAlign w:val="bottom"/>
            <w:gridSpan w:val="3"/>
          </w:tcPr>
          <w:p>
            <w:pPr>
              <w:ind w:left="380"/>
              <w:spacing w:after="0"/>
              <w:rPr>
                <w:sz w:val="20"/>
                <w:szCs w:val="20"/>
                <w:color w:val="auto"/>
              </w:rPr>
            </w:pPr>
            <w:r>
              <w:rPr>
                <w:rFonts w:ascii="Arial" w:cs="Arial" w:eastAsia="Arial" w:hAnsi="Arial"/>
                <w:sz w:val="18"/>
                <w:szCs w:val="18"/>
                <w:color w:val="auto"/>
              </w:rPr>
              <w:t>News release issued by The Scotts Miracle-Gro Company on November 3, 2021</w:t>
            </w:r>
          </w:p>
        </w:tc>
      </w:tr>
      <w:tr>
        <w:trPr>
          <w:trHeight w:val="283"/>
        </w:trPr>
        <w:tc>
          <w:tcPr>
            <w:tcW w:w="900" w:type="dxa"/>
            <w:vAlign w:val="bottom"/>
            <w:gridSpan w:val="2"/>
          </w:tcPr>
          <w:p>
            <w:pPr>
              <w:ind w:left="20"/>
              <w:spacing w:after="0"/>
              <w:rPr>
                <w:sz w:val="20"/>
                <w:szCs w:val="20"/>
                <w:color w:val="auto"/>
              </w:rPr>
            </w:pPr>
            <w:r>
              <w:rPr>
                <w:rFonts w:ascii="Arial" w:cs="Arial" w:eastAsia="Arial" w:hAnsi="Arial"/>
                <w:sz w:val="18"/>
                <w:szCs w:val="18"/>
                <w:color w:val="auto"/>
              </w:rPr>
              <w:t>104</w:t>
            </w:r>
          </w:p>
        </w:tc>
        <w:tc>
          <w:tcPr>
            <w:tcW w:w="380" w:type="dxa"/>
            <w:vAlign w:val="bottom"/>
          </w:tcPr>
          <w:p>
            <w:pPr>
              <w:spacing w:after="0"/>
              <w:rPr>
                <w:sz w:val="24"/>
                <w:szCs w:val="24"/>
                <w:color w:val="auto"/>
              </w:rPr>
            </w:pPr>
          </w:p>
        </w:tc>
        <w:tc>
          <w:tcPr>
            <w:tcW w:w="9960" w:type="dxa"/>
            <w:vAlign w:val="bottom"/>
            <w:gridSpan w:val="3"/>
          </w:tcPr>
          <w:p>
            <w:pPr>
              <w:ind w:left="380"/>
              <w:spacing w:after="0"/>
              <w:rPr>
                <w:sz w:val="20"/>
                <w:szCs w:val="20"/>
                <w:color w:val="auto"/>
              </w:rPr>
            </w:pPr>
            <w:r>
              <w:rPr>
                <w:rFonts w:ascii="Arial" w:cs="Arial" w:eastAsia="Arial" w:hAnsi="Arial"/>
                <w:sz w:val="18"/>
                <w:szCs w:val="18"/>
                <w:color w:val="auto"/>
              </w:rPr>
              <w:t>Cover Page Interactive Data File (embedded within the Inline XBRL document)</w:t>
            </w:r>
          </w:p>
        </w:tc>
      </w:tr>
      <w:tr>
        <w:trPr>
          <w:trHeight w:val="1384"/>
        </w:trPr>
        <w:tc>
          <w:tcPr>
            <w:tcW w:w="2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880" w:type="dxa"/>
            <w:vAlign w:val="bottom"/>
            <w:tcBorders>
              <w:bottom w:val="single" w:sz="8" w:color="9A9A9A"/>
            </w:tcBorders>
          </w:tcPr>
          <w:p>
            <w:pPr>
              <w:spacing w:after="0"/>
              <w:rPr>
                <w:sz w:val="24"/>
                <w:szCs w:val="24"/>
                <w:color w:val="auto"/>
              </w:rPr>
            </w:pPr>
          </w:p>
        </w:tc>
        <w:tc>
          <w:tcPr>
            <w:tcW w:w="87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spacing w:after="0" w:line="273"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 w:lineRule="exact"/>
        <w:rPr>
          <w:sz w:val="20"/>
          <w:szCs w:val="20"/>
          <w:color w:val="auto"/>
        </w:rPr>
      </w:pPr>
    </w:p>
    <w:p>
      <w:pPr>
        <w:ind w:left="3740"/>
        <w:spacing w:after="0"/>
        <w:rPr>
          <w:sz w:val="20"/>
          <w:szCs w:val="20"/>
          <w:color w:val="auto"/>
        </w:rPr>
      </w:pPr>
      <w:r>
        <w:rPr>
          <w:rFonts w:ascii="Arial" w:cs="Arial" w:eastAsia="Arial" w:hAnsi="Arial"/>
          <w:sz w:val="18"/>
          <w:szCs w:val="18"/>
          <w:color w:val="auto"/>
        </w:rPr>
        <w:t>THE SCOTTS MIRACLE-GRO COMPANY</w:t>
      </w:r>
    </w:p>
    <w:p>
      <w:pPr>
        <w:spacing w:after="0" w:line="279" w:lineRule="exact"/>
        <w:rPr>
          <w:sz w:val="20"/>
          <w:szCs w:val="20"/>
          <w:color w:val="auto"/>
        </w:rPr>
      </w:pPr>
    </w:p>
    <w:p>
      <w:pPr>
        <w:ind w:left="20"/>
        <w:spacing w:after="0"/>
        <w:tabs>
          <w:tab w:leader="none" w:pos="3240" w:val="left"/>
          <w:tab w:leader="none" w:pos="3720" w:val="left"/>
        </w:tabs>
        <w:rPr>
          <w:sz w:val="20"/>
          <w:szCs w:val="20"/>
          <w:color w:val="auto"/>
        </w:rPr>
      </w:pPr>
      <w:r>
        <w:rPr>
          <w:rFonts w:ascii="Arial" w:cs="Arial" w:eastAsia="Arial" w:hAnsi="Arial"/>
          <w:sz w:val="18"/>
          <w:szCs w:val="18"/>
          <w:color w:val="auto"/>
        </w:rPr>
        <w:t>Dated: November 3,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CORY J. MILLER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2362200</wp:posOffset>
            </wp:positionH>
            <wp:positionV relativeFrom="paragraph">
              <wp:posOffset>48895</wp:posOffset>
            </wp:positionV>
            <wp:extent cx="474916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749165" cy="8255"/>
                    </a:xfrm>
                    <a:prstGeom prst="rect">
                      <a:avLst/>
                    </a:prstGeom>
                    <a:noFill/>
                  </pic:spPr>
                </pic:pic>
              </a:graphicData>
            </a:graphic>
          </wp:anchor>
        </w:drawing>
      </w:r>
    </w:p>
    <w:p>
      <w:pPr>
        <w:spacing w:after="0" w:line="70" w:lineRule="exact"/>
        <w:rPr>
          <w:sz w:val="20"/>
          <w:szCs w:val="20"/>
          <w:color w:val="auto"/>
        </w:rPr>
      </w:pPr>
    </w:p>
    <w:p>
      <w:pPr>
        <w:ind w:left="3740"/>
        <w:spacing w:after="0"/>
        <w:rPr>
          <w:sz w:val="20"/>
          <w:szCs w:val="20"/>
          <w:color w:val="auto"/>
        </w:rPr>
      </w:pPr>
      <w:r>
        <w:rPr>
          <w:rFonts w:ascii="Arial" w:cs="Arial" w:eastAsia="Arial" w:hAnsi="Arial"/>
          <w:sz w:val="18"/>
          <w:szCs w:val="18"/>
          <w:color w:val="auto"/>
        </w:rPr>
        <w:t>Printed Name: Cory J. Miller</w:t>
      </w:r>
    </w:p>
    <w:p>
      <w:pPr>
        <w:spacing w:after="0" w:line="23" w:lineRule="exact"/>
        <w:rPr>
          <w:sz w:val="20"/>
          <w:szCs w:val="20"/>
          <w:color w:val="auto"/>
        </w:rPr>
      </w:pPr>
    </w:p>
    <w:p>
      <w:pPr>
        <w:ind w:left="3740"/>
        <w:spacing w:after="0"/>
        <w:rPr>
          <w:sz w:val="20"/>
          <w:szCs w:val="20"/>
          <w:color w:val="auto"/>
        </w:rPr>
      </w:pPr>
      <w:r>
        <w:rPr>
          <w:rFonts w:ascii="Arial" w:cs="Arial" w:eastAsia="Arial" w:hAnsi="Arial"/>
          <w:sz w:val="18"/>
          <w:szCs w:val="18"/>
          <w:color w:val="auto"/>
        </w:rPr>
        <w:t>Title: Chief Financial Officer and Executive Vice 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927735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3" w:name="page4"/>
    <w:bookmarkEnd w:id="3"/>
    <w:p>
      <w:pPr>
        <w:jc w:val="center"/>
        <w:ind w:right="-1060"/>
        <w:spacing w:after="0"/>
        <w:rPr>
          <w:sz w:val="20"/>
          <w:szCs w:val="20"/>
          <w:color w:val="auto"/>
        </w:rPr>
      </w:pPr>
      <w:r>
        <w:rPr>
          <w:rFonts w:ascii="Arial" w:cs="Arial" w:eastAsia="Arial" w:hAnsi="Arial"/>
          <w:sz w:val="18"/>
          <w:szCs w:val="18"/>
          <w:b w:val="1"/>
          <w:bCs w:val="1"/>
          <w:color w:val="auto"/>
        </w:rPr>
        <w:t>INDEX TO EXHIBITS</w:t>
      </w:r>
    </w:p>
    <w:p>
      <w:pPr>
        <w:spacing w:after="0" w:line="256" w:lineRule="exact"/>
        <w:rPr>
          <w:sz w:val="20"/>
          <w:szCs w:val="20"/>
          <w:color w:val="auto"/>
        </w:rPr>
      </w:pPr>
    </w:p>
    <w:p>
      <w:pPr>
        <w:jc w:val="center"/>
        <w:ind w:right="-1060"/>
        <w:spacing w:after="0"/>
        <w:rPr>
          <w:sz w:val="20"/>
          <w:szCs w:val="20"/>
          <w:color w:val="auto"/>
        </w:rPr>
      </w:pPr>
      <w:r>
        <w:rPr>
          <w:rFonts w:ascii="Arial" w:cs="Arial" w:eastAsia="Arial" w:hAnsi="Arial"/>
          <w:sz w:val="18"/>
          <w:szCs w:val="18"/>
          <w:color w:val="auto"/>
        </w:rPr>
        <w:t>Current Report on Form 8-K</w:t>
      </w:r>
    </w:p>
    <w:p>
      <w:pPr>
        <w:spacing w:after="0" w:line="23" w:lineRule="exact"/>
        <w:rPr>
          <w:sz w:val="20"/>
          <w:szCs w:val="20"/>
          <w:color w:val="auto"/>
        </w:rPr>
      </w:pPr>
    </w:p>
    <w:p>
      <w:pPr>
        <w:jc w:val="center"/>
        <w:ind w:right="-1060"/>
        <w:spacing w:after="0"/>
        <w:rPr>
          <w:sz w:val="20"/>
          <w:szCs w:val="20"/>
          <w:color w:val="auto"/>
        </w:rPr>
      </w:pPr>
      <w:r>
        <w:rPr>
          <w:rFonts w:ascii="Arial" w:cs="Arial" w:eastAsia="Arial" w:hAnsi="Arial"/>
          <w:sz w:val="18"/>
          <w:szCs w:val="18"/>
          <w:color w:val="auto"/>
        </w:rPr>
        <w:t>Dated November 3, 2021</w:t>
      </w:r>
    </w:p>
    <w:p>
      <w:pPr>
        <w:spacing w:after="0" w:line="9" w:lineRule="exact"/>
        <w:rPr>
          <w:sz w:val="20"/>
          <w:szCs w:val="20"/>
          <w:color w:val="auto"/>
        </w:rPr>
      </w:pPr>
    </w:p>
    <w:p>
      <w:pPr>
        <w:jc w:val="center"/>
        <w:ind w:right="-1060"/>
        <w:spacing w:after="0"/>
        <w:rPr>
          <w:sz w:val="20"/>
          <w:szCs w:val="20"/>
          <w:color w:val="auto"/>
        </w:rPr>
      </w:pPr>
      <w:r>
        <w:rPr>
          <w:rFonts w:ascii="Arial" w:cs="Arial" w:eastAsia="Arial" w:hAnsi="Arial"/>
          <w:sz w:val="18"/>
          <w:szCs w:val="18"/>
          <w:color w:val="auto"/>
        </w:rPr>
        <w:t>The Scotts Miracle-Gro Company</w:t>
      </w:r>
    </w:p>
    <w:p>
      <w:pPr>
        <w:spacing w:after="0" w:line="200" w:lineRule="exact"/>
        <w:rPr>
          <w:sz w:val="20"/>
          <w:szCs w:val="20"/>
          <w:color w:val="auto"/>
        </w:rPr>
      </w:pP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w w:val="91"/>
              </w:rPr>
              <w:t>Exhibit No.</w:t>
            </w:r>
          </w:p>
        </w:tc>
        <w:tc>
          <w:tcPr>
            <w:tcW w:w="760" w:type="dxa"/>
            <w:vAlign w:val="bottom"/>
          </w:tcPr>
          <w:p>
            <w:pPr>
              <w:spacing w:after="0"/>
              <w:rPr>
                <w:sz w:val="17"/>
                <w:szCs w:val="17"/>
                <w:color w:val="auto"/>
              </w:rPr>
            </w:pPr>
          </w:p>
        </w:tc>
        <w:tc>
          <w:tcPr>
            <w:tcW w:w="578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32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4900" w:type="dxa"/>
            <w:vAlign w:val="bottom"/>
          </w:tcPr>
          <w:p>
            <w:pPr>
              <w:spacing w:after="0" w:line="20" w:lineRule="exact"/>
              <w:rPr>
                <w:sz w:val="1"/>
                <w:szCs w:val="1"/>
                <w:color w:val="auto"/>
              </w:rPr>
            </w:pPr>
          </w:p>
        </w:tc>
      </w:tr>
      <w:tr>
        <w:trPr>
          <w:trHeight w:val="210"/>
        </w:trPr>
        <w:tc>
          <w:tcPr>
            <w:tcW w:w="320" w:type="dxa"/>
            <w:vAlign w:val="bottom"/>
            <w:tcBorders>
              <w:bottom w:val="single" w:sz="8" w:color="0000FF"/>
            </w:tcBorders>
          </w:tcPr>
          <w:p>
            <w:pPr>
              <w:spacing w:after="0"/>
              <w:rPr>
                <w:rFonts w:ascii="Arial" w:cs="Arial" w:eastAsia="Arial" w:hAnsi="Arial"/>
                <w:sz w:val="18"/>
                <w:szCs w:val="18"/>
                <w:color w:val="0000FF"/>
                <w:w w:val="85"/>
              </w:rPr>
            </w:pPr>
            <w:hyperlink w:anchor="page5">
              <w:r>
                <w:rPr>
                  <w:rFonts w:ascii="Arial" w:cs="Arial" w:eastAsia="Arial" w:hAnsi="Arial"/>
                  <w:sz w:val="18"/>
                  <w:szCs w:val="18"/>
                  <w:color w:val="0000FF"/>
                  <w:w w:val="85"/>
                </w:rPr>
                <w:t>99.</w:t>
              </w:r>
              <w:r>
                <w:rPr>
                  <w:rFonts w:ascii="Arial" w:cs="Arial" w:eastAsia="Arial" w:hAnsi="Arial"/>
                  <w:sz w:val="18"/>
                  <w:szCs w:val="18"/>
                  <w:u w:val="single" w:color="auto"/>
                  <w:color w:val="0000FF"/>
                  <w:w w:val="85"/>
                </w:rPr>
                <w:t>1</w:t>
              </w:r>
            </w:hyperlink>
          </w:p>
        </w:tc>
        <w:tc>
          <w:tcPr>
            <w:tcW w:w="5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780" w:type="dxa"/>
            <w:vAlign w:val="bottom"/>
            <w:gridSpan w:val="2"/>
          </w:tcPr>
          <w:p>
            <w:pPr>
              <w:spacing w:after="0"/>
              <w:rPr>
                <w:sz w:val="20"/>
                <w:szCs w:val="20"/>
                <w:color w:val="auto"/>
              </w:rPr>
            </w:pPr>
            <w:r>
              <w:rPr>
                <w:rFonts w:ascii="Arial" w:cs="Arial" w:eastAsia="Arial" w:hAnsi="Arial"/>
                <w:sz w:val="18"/>
                <w:szCs w:val="18"/>
                <w:color w:val="auto"/>
                <w:w w:val="89"/>
              </w:rPr>
              <w:t>News release issued by The Scotts Miracle-Gro Company on November 3, 2021</w:t>
            </w:r>
          </w:p>
        </w:tc>
      </w:tr>
    </w:tbl>
    <w:p>
      <w:pPr>
        <w:sectPr>
          <w:pgSz w:w="11900" w:h="16838" w:orient="portrait"/>
          <w:cols w:equalWidth="0" w:num="1">
            <w:col w:w="10099"/>
          </w:cols>
          <w:pgMar w:left="360" w:top="891" w:right="1440" w:bottom="1440" w:gutter="0" w:footer="0" w:header="0"/>
        </w:sectPr>
      </w:pPr>
    </w:p>
    <w:bookmarkStart w:id="4" w:name="page5"/>
    <w:bookmarkEnd w:id="4"/>
    <w:p>
      <w:pPr>
        <w:ind w:left="20"/>
        <w:spacing w:after="0"/>
        <w:rPr>
          <w:sz w:val="20"/>
          <w:szCs w:val="20"/>
          <w:color w:val="auto"/>
        </w:rPr>
      </w:pPr>
      <w:r>
        <w:rPr>
          <w:rFonts w:ascii="Arial" w:cs="Arial" w:eastAsia="Arial" w:hAnsi="Arial"/>
          <w:sz w:val="18"/>
          <w:szCs w:val="18"/>
          <w:b w:val="1"/>
          <w:bCs w:val="1"/>
          <w:color w:val="auto"/>
        </w:rPr>
        <w:t>Exhibit 99.1</w:t>
      </w:r>
    </w:p>
    <w:p>
      <w:pPr>
        <w:spacing w:after="0" w:line="27" w:lineRule="exact"/>
        <w:rPr>
          <w:sz w:val="20"/>
          <w:szCs w:val="20"/>
          <w:color w:val="auto"/>
        </w:rPr>
      </w:pPr>
    </w:p>
    <w:p>
      <w:pPr>
        <w:ind w:left="20"/>
        <w:spacing w:after="0"/>
        <w:tabs>
          <w:tab w:leader="none" w:pos="10240" w:val="left"/>
        </w:tabs>
        <w:rPr>
          <w:sz w:val="20"/>
          <w:szCs w:val="20"/>
          <w:color w:val="auto"/>
        </w:rPr>
      </w:pPr>
      <w:r>
        <w:rPr>
          <w:rFonts w:ascii="Arial" w:cs="Arial" w:eastAsia="Arial" w:hAnsi="Arial"/>
          <w:sz w:val="20"/>
          <w:szCs w:val="20"/>
          <w:b w:val="1"/>
          <w:bCs w:val="1"/>
          <w:i w:val="1"/>
          <w:iCs w:val="1"/>
          <w:color w:val="auto"/>
        </w:rPr>
        <w:t>The Scotts Miracle-Gro Company</w:t>
      </w:r>
      <w:r>
        <w:rPr>
          <w:sz w:val="20"/>
          <w:szCs w:val="20"/>
          <w:color w:val="auto"/>
        </w:rPr>
        <w:tab/>
      </w:r>
      <w:r>
        <w:rPr>
          <w:rFonts w:ascii="Arial" w:cs="Arial" w:eastAsia="Arial" w:hAnsi="Arial"/>
          <w:sz w:val="18"/>
          <w:szCs w:val="18"/>
          <w:b w:val="1"/>
          <w:bCs w:val="1"/>
          <w:i w:val="1"/>
          <w:iCs w:val="1"/>
          <w:color w:val="auto"/>
        </w:rPr>
        <w:t>NEWS</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ScottsMiracle-Gro Announces Record Full Year Results as</w:t>
      </w:r>
    </w:p>
    <w:p>
      <w:pPr>
        <w:spacing w:after="0" w:line="91"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Fourth Quarter Sales Exceed Expectations in U.S. Consumer Segment</w:t>
      </w:r>
    </w:p>
    <w:p>
      <w:pPr>
        <w:spacing w:after="0" w:line="110" w:lineRule="exact"/>
        <w:rPr>
          <w:sz w:val="20"/>
          <w:szCs w:val="20"/>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U.S. Consumer segment sales increase 11% in fiscal 2021; decline 28% in Q4</w:t>
      </w:r>
    </w:p>
    <w:p>
      <w:pPr>
        <w:spacing w:after="0" w:line="40" w:lineRule="exact"/>
        <w:rPr>
          <w:rFonts w:ascii="Arial" w:cs="Arial" w:eastAsia="Arial" w:hAnsi="Arial"/>
          <w:sz w:val="20"/>
          <w:szCs w:val="20"/>
          <w:i w:val="1"/>
          <w:iCs w:val="1"/>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Full-year Hawthorne sales increase 39%, decline 2% in Q4 despite growth in the U.S.</w:t>
      </w:r>
    </w:p>
    <w:p>
      <w:pPr>
        <w:spacing w:after="0" w:line="40" w:lineRule="exact"/>
        <w:rPr>
          <w:rFonts w:ascii="Arial" w:cs="Arial" w:eastAsia="Arial" w:hAnsi="Arial"/>
          <w:sz w:val="20"/>
          <w:szCs w:val="20"/>
          <w:i w:val="1"/>
          <w:iCs w:val="1"/>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Full-year GAAP earnings of $9.03 per share; Q4 loss of $0.87 per share</w:t>
      </w:r>
    </w:p>
    <w:p>
      <w:pPr>
        <w:spacing w:after="0" w:line="40" w:lineRule="exact"/>
        <w:rPr>
          <w:rFonts w:ascii="Arial" w:cs="Arial" w:eastAsia="Arial" w:hAnsi="Arial"/>
          <w:sz w:val="20"/>
          <w:szCs w:val="20"/>
          <w:i w:val="1"/>
          <w:iCs w:val="1"/>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Non-GAAP adjusted full-year EPS of $9.23; Q4 adjusted loss of $0.82 per share</w:t>
      </w:r>
    </w:p>
    <w:p>
      <w:pPr>
        <w:spacing w:after="0" w:line="40" w:lineRule="exact"/>
        <w:rPr>
          <w:rFonts w:ascii="Arial" w:cs="Arial" w:eastAsia="Arial" w:hAnsi="Arial"/>
          <w:sz w:val="20"/>
          <w:szCs w:val="20"/>
          <w:i w:val="1"/>
          <w:iCs w:val="1"/>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Fiscal 2022 guidance: Non-GAAP adjusted EPS $8.50 to $8.90; sales growth 0 to 3%</w:t>
      </w:r>
    </w:p>
    <w:p>
      <w:pPr>
        <w:spacing w:after="0" w:line="40" w:lineRule="exact"/>
        <w:rPr>
          <w:rFonts w:ascii="Arial" w:cs="Arial" w:eastAsia="Arial" w:hAnsi="Arial"/>
          <w:sz w:val="20"/>
          <w:szCs w:val="20"/>
          <w:i w:val="1"/>
          <w:iCs w:val="1"/>
          <w:color w:val="auto"/>
        </w:rPr>
      </w:pPr>
    </w:p>
    <w:p>
      <w:pPr>
        <w:ind w:left="640" w:hanging="308"/>
        <w:spacing w:after="0"/>
        <w:tabs>
          <w:tab w:leader="none" w:pos="640" w:val="left"/>
        </w:tabs>
        <w:numPr>
          <w:ilvl w:val="0"/>
          <w:numId w:val="4"/>
        </w:numPr>
        <w:rPr>
          <w:rFonts w:ascii="Arial" w:cs="Arial" w:eastAsia="Arial" w:hAnsi="Arial"/>
          <w:sz w:val="20"/>
          <w:szCs w:val="20"/>
          <w:i w:val="1"/>
          <w:iCs w:val="1"/>
          <w:color w:val="auto"/>
        </w:rPr>
      </w:pPr>
      <w:r>
        <w:rPr>
          <w:rFonts w:ascii="Arial" w:cs="Arial" w:eastAsia="Arial" w:hAnsi="Arial"/>
          <w:sz w:val="20"/>
          <w:szCs w:val="20"/>
          <w:i w:val="1"/>
          <w:iCs w:val="1"/>
          <w:color w:val="auto"/>
        </w:rPr>
        <w:t>Company announces intent for share repurchases of $300 million in fiscal 2022</w:t>
      </w:r>
    </w:p>
    <w:p>
      <w:pPr>
        <w:spacing w:after="0" w:line="218"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2D1E23"/>
        </w:rPr>
        <w:t xml:space="preserve">MARYSVILLE, Ohio, November 3, 2021 – </w:t>
      </w:r>
      <w:r>
        <w:rPr>
          <w:rFonts w:ascii="Arial" w:cs="Arial" w:eastAsia="Arial" w:hAnsi="Arial"/>
          <w:sz w:val="18"/>
          <w:szCs w:val="18"/>
          <w:color w:val="000000"/>
        </w:rPr>
        <w:t>The Scotts Miracle-Gro Company (NYSE: SMG), the world’s leading marketer of branded consumer lawn and</w:t>
      </w:r>
      <w:r>
        <w:rPr>
          <w:rFonts w:ascii="Arial" w:cs="Arial" w:eastAsia="Arial" w:hAnsi="Arial"/>
          <w:sz w:val="18"/>
          <w:szCs w:val="18"/>
          <w:color w:val="2D1E23"/>
        </w:rPr>
        <w:t xml:space="preserve"> </w:t>
      </w:r>
      <w:r>
        <w:rPr>
          <w:rFonts w:ascii="Arial" w:cs="Arial" w:eastAsia="Arial" w:hAnsi="Arial"/>
          <w:sz w:val="18"/>
          <w:szCs w:val="18"/>
          <w:color w:val="000000"/>
        </w:rPr>
        <w:t>garden as well as indoor and hydroponic growing products, today released record full year financial results driven by a company-wide sales increase of 19 percent and continued growth in all major operating segments.</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The Company also established guidance for fiscal 2022 that includes non-GAAP adjusted earnings of $8.50 to $8.90 per share on company-wide sales growth of 0 to 3 percent, both of which will be aided by a second pricing action in the U.S. Consumer segment to mitigate commodity inflation. The Company also said it plans to repurchase up to another $300 million in shares during fiscal 2022.</w:t>
      </w:r>
    </w:p>
    <w:p>
      <w:pPr>
        <w:spacing w:after="0" w:line="202" w:lineRule="exact"/>
        <w:rPr>
          <w:sz w:val="20"/>
          <w:szCs w:val="20"/>
          <w:color w:val="auto"/>
        </w:rPr>
      </w:pPr>
    </w:p>
    <w:p>
      <w:pPr>
        <w:jc w:val="both"/>
        <w:spacing w:after="0" w:line="231" w:lineRule="auto"/>
        <w:rPr>
          <w:sz w:val="20"/>
          <w:szCs w:val="20"/>
          <w:color w:val="auto"/>
        </w:rPr>
      </w:pPr>
      <w:r>
        <w:rPr>
          <w:rFonts w:ascii="Arial" w:cs="Arial" w:eastAsia="Arial" w:hAnsi="Arial"/>
          <w:sz w:val="18"/>
          <w:szCs w:val="18"/>
          <w:color w:val="auto"/>
        </w:rPr>
        <w:t>For the year ended September 30, 2021, company-wide sales increased 19 percent to a record $4.93 billion, compared with $4.13 billion a year earlier. GAAP earnings from continuing operations were $9.03 per diluted share, compared with $6.78 per diluted share in the prior year. Non-GAAP adjusted earnings, which are the basis of the Company’s guidance and exclude impairment, restructuring, and other non-recurring items, were $9.23 per diluted share compared with $7.24 per diluted share a year ago.</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Company-wide sales in the fourth quarter declined by 17 percent to $737.8 million. The Company reported a GAAP loss in the quarter of $0.87 per share compared with earnings last year of $0.07 per diluted share. The adjusted loss in the quarter was $0.82 per share compared with earnings of $0.06 per diluted share a year ago.</w:t>
      </w:r>
    </w:p>
    <w:p>
      <w:pPr>
        <w:spacing w:after="0" w:line="202" w:lineRule="exact"/>
        <w:rPr>
          <w:sz w:val="20"/>
          <w:szCs w:val="20"/>
          <w:color w:val="auto"/>
        </w:rPr>
      </w:pPr>
    </w:p>
    <w:p>
      <w:pPr>
        <w:jc w:val="both"/>
        <w:spacing w:after="0" w:line="266" w:lineRule="auto"/>
        <w:rPr>
          <w:sz w:val="20"/>
          <w:szCs w:val="20"/>
          <w:color w:val="auto"/>
        </w:rPr>
      </w:pPr>
      <w:r>
        <w:rPr>
          <w:rFonts w:ascii="Arial" w:cs="Arial" w:eastAsia="Arial" w:hAnsi="Arial"/>
          <w:sz w:val="16"/>
          <w:szCs w:val="16"/>
          <w:color w:val="auto"/>
        </w:rPr>
        <w:t>“The continued engagement by consumers throughout the lawn and garden season drove full-year U.S. Consumer sales 11 percent higher on a full-year basis on top of last year’s 25 percent growth,” said Jim Hagedorn, chairman and chief executive officer. “Consumer purchases of our products at our largest retail partners – as measured in units – were up 6 percent for the full year, with growth in every major product category. When compared to 2019, consumer purchases are up 21 percent and suggest a level of consumer enthusiasm that we expect to carry into the 2022 lawn and garden season.</w:t>
      </w:r>
    </w:p>
    <w:p>
      <w:pPr>
        <w:spacing w:after="0" w:line="183" w:lineRule="exact"/>
        <w:rPr>
          <w:sz w:val="20"/>
          <w:szCs w:val="20"/>
          <w:color w:val="auto"/>
        </w:rPr>
      </w:pPr>
    </w:p>
    <w:p>
      <w:pPr>
        <w:jc w:val="both"/>
        <w:spacing w:after="0" w:line="231" w:lineRule="auto"/>
        <w:rPr>
          <w:sz w:val="20"/>
          <w:szCs w:val="20"/>
          <w:color w:val="auto"/>
        </w:rPr>
      </w:pPr>
      <w:r>
        <w:rPr>
          <w:rFonts w:ascii="Arial" w:cs="Arial" w:eastAsia="Arial" w:hAnsi="Arial"/>
          <w:sz w:val="18"/>
          <w:szCs w:val="18"/>
          <w:color w:val="auto"/>
        </w:rPr>
        <w:t>“At Hawthorne, we continued to use our competitive advantages to drive 39 percent segment growth on a full-year basis despite a 2 percent decline in the fourth quarter. While we saw expected pressure on Hawthorne’s Q4 results due to a widely publicized over-supply of cannabis in California, sales of hydroponic supply products in the U.S. increased more than 10 percent on an apples-to-apples basis and we remain focused on the long-term opportunities to expand our leadership in this rapidly evolving industry.</w:t>
      </w:r>
    </w:p>
    <w:p>
      <w:pPr>
        <w:spacing w:after="0" w:line="202" w:lineRule="exact"/>
        <w:rPr>
          <w:sz w:val="20"/>
          <w:szCs w:val="20"/>
          <w:color w:val="auto"/>
        </w:rPr>
      </w:pPr>
    </w:p>
    <w:p>
      <w:pPr>
        <w:jc w:val="both"/>
        <w:spacing w:after="0" w:line="266" w:lineRule="auto"/>
        <w:rPr>
          <w:sz w:val="20"/>
          <w:szCs w:val="20"/>
          <w:color w:val="auto"/>
        </w:rPr>
      </w:pPr>
      <w:r>
        <w:rPr>
          <w:rFonts w:ascii="Arial" w:cs="Arial" w:eastAsia="Arial" w:hAnsi="Arial"/>
          <w:sz w:val="16"/>
          <w:szCs w:val="16"/>
          <w:color w:val="auto"/>
        </w:rPr>
        <w:t>“As we look to fiscal 2022, we have continued confidence in our strategy and ability to drive long-term shareholder value,” Hagedorn continued. “Certain macro issues beyond our control may present challenges we haven’t faced for a while, but I’m confident in our team’s ability to execute. We expect to continue pursuing acquisition opportunities throughout the year and remain committed to using our financial flexibility to return cash to shareholders. That is why, in addition to the $113 million of share repurchases in fiscal ’21, we plan to repurchase as much as another $300 million in 2022.”</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2D1E23"/>
        </w:rPr>
        <w:t>Fourth quarter details</w:t>
      </w:r>
    </w:p>
    <w:p>
      <w:pPr>
        <w:spacing w:after="0" w:line="40" w:lineRule="exact"/>
        <w:rPr>
          <w:sz w:val="20"/>
          <w:szCs w:val="20"/>
          <w:color w:val="auto"/>
        </w:rPr>
      </w:pPr>
    </w:p>
    <w:p>
      <w:pPr>
        <w:jc w:val="both"/>
        <w:spacing w:after="0" w:line="228" w:lineRule="auto"/>
        <w:rPr>
          <w:sz w:val="20"/>
          <w:szCs w:val="20"/>
          <w:color w:val="auto"/>
        </w:rPr>
      </w:pPr>
      <w:r>
        <w:rPr>
          <w:rFonts w:ascii="Arial" w:cs="Arial" w:eastAsia="Arial" w:hAnsi="Arial"/>
          <w:sz w:val="18"/>
          <w:szCs w:val="18"/>
          <w:color w:val="auto"/>
        </w:rPr>
        <w:t>Company-wide sales declined 17 percent to $737.8 million. U.S. Consumer, which was facing a 92 percent growth comparison from fiscal 2020, decreased 28 percent to $369.4 million. Hawthorne sales declined 2 percent to $329.1 million due to declines in the European and Canadian businesses. Due to a shift in the fiscal calendar, the fourth quarter had six fewer days than a year ago which negatively impacted the quarter by $54 million. Excluding the calendar impact U.S. Consumer sales declined 23 percent and Hawthorne sales increased 5 percent, including a more than 10 percent increase in sales of hydroponic products in the U.S.</w:t>
      </w:r>
    </w:p>
    <w:p>
      <w:pPr>
        <w:spacing w:after="0" w:line="205"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For the quarter, the GAAP and non-GAAP adjusted gross margin rate was 17.1 percent and 17.4 percent, respectively, compared with 24.3 percent in the prior year. The decline was driven primarily by a year-over-year decline in fixed cost leverage as well as higher distribution costs. Pricing and decreased promotional activity net of increased material costs helped to offset the decline.</w:t>
      </w:r>
    </w:p>
    <w:p>
      <w:pPr>
        <w:sectPr>
          <w:pgSz w:w="11900" w:h="16838" w:orient="portrait"/>
          <w:cols w:equalWidth="0" w:num="1">
            <w:col w:w="11240"/>
          </w:cols>
          <w:pgMar w:left="320" w:top="81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w:t>
      </w:r>
    </w:p>
    <w:p>
      <w:pPr>
        <w:sectPr>
          <w:pgSz w:w="11900" w:h="16838" w:orient="portrait"/>
          <w:cols w:equalWidth="0" w:num="1">
            <w:col w:w="11240"/>
          </w:cols>
          <w:pgMar w:left="320" w:top="810" w:right="339" w:bottom="1440" w:gutter="0" w:footer="0" w:header="0"/>
          <w:type w:val="continuous"/>
        </w:sectPr>
      </w:pPr>
    </w:p>
    <w:bookmarkStart w:id="5" w:name="page6"/>
    <w:bookmarkEnd w:id="5"/>
    <w:p>
      <w:pPr>
        <w:jc w:val="both"/>
        <w:spacing w:after="0" w:line="235" w:lineRule="auto"/>
        <w:rPr>
          <w:sz w:val="20"/>
          <w:szCs w:val="20"/>
          <w:color w:val="auto"/>
        </w:rPr>
      </w:pPr>
      <w:r>
        <w:rPr>
          <w:rFonts w:ascii="Arial" w:cs="Arial" w:eastAsia="Arial" w:hAnsi="Arial"/>
          <w:sz w:val="18"/>
          <w:szCs w:val="18"/>
          <w:color w:val="auto"/>
        </w:rPr>
        <w:t>“Commodity prices were a headwind throughout fiscal ’21 but were partially offset in the quarter by price increases in our U.S. Consumer segment that took effect in August,” said Cory Miller, chief financial officer. “We have communicated to our retail partners that we will take additional pricing actions effective in January as we continue to battle higher costs from urea, resin, grass seed and other commodities.”</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SG&amp;A was $161.2 million, a 21 percent decrease from 2020, due to lower accruals for annual incentive compensation payments and lower corporate spending. Interest expense increased nearly $5 million on a year-over-year basis to $21.6 million. The Company said its leverage ratio at the end of the quarter was approximately 2.7 times average debt-to-EBITDA.</w:t>
      </w:r>
    </w:p>
    <w:p>
      <w:pPr>
        <w:spacing w:after="0" w:line="202" w:lineRule="exact"/>
        <w:rPr>
          <w:sz w:val="20"/>
          <w:szCs w:val="20"/>
          <w:color w:val="auto"/>
        </w:rPr>
      </w:pPr>
    </w:p>
    <w:p>
      <w:pPr>
        <w:jc w:val="both"/>
        <w:spacing w:after="0" w:line="242" w:lineRule="auto"/>
        <w:rPr>
          <w:sz w:val="20"/>
          <w:szCs w:val="20"/>
          <w:color w:val="auto"/>
        </w:rPr>
      </w:pPr>
      <w:r>
        <w:rPr>
          <w:rFonts w:ascii="Arial" w:cs="Arial" w:eastAsia="Arial" w:hAnsi="Arial"/>
          <w:sz w:val="17"/>
          <w:szCs w:val="17"/>
          <w:color w:val="auto"/>
        </w:rPr>
        <w:t>The Company reported a loss from continuing operations of $48.7 million, or $0.87 per share, compared with income from continuing operations of $4.2 million, or $0.07 per diluted share. The non-GAAP adjusted loss in the quarter, which excluded impairment, restructuring, as well as other non-recurring items, was $45.5 million, or $0.82 per share, compared with adjusted net income of $3.5 million, or $0.06 per diluted share in 2020. The fourth quarter is historically a loss quarter for ScottsMiracle-Gro due to the seasonal nature of the U.S. Consumer segment. The Company’s unprecedented fourth quarter growth in fiscal 2020 allowed it to report a profit in the period for the first time in 15 years.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2021 details</w:t>
      </w:r>
    </w:p>
    <w:p>
      <w:pPr>
        <w:spacing w:after="0" w:line="40"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Company-wide sales on a full year basis increased 19 percent to $4.93 billion compared with $4.13 billion a year ago. Sales in the U.S. Consumer segment increased 11 percent, to $3.20 billion due to strong consumer demand throughout the year. Hawthorne sales increased 39 percent to $1.42 billion due to strong growth in all category segments in both emerging and legacy markets.</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The GAAP gross margin rate on a year-to-date basis was 29.8 percent. The non-GAAP adjusted rate was 30.3 percent. These compare with 32.6 and 33.0 percent, respectively, last year. The decrease was driven primarily by higher-than-expected distribution and input costs, as well as unfavorable segment mix. The decline was partially offset by improved fixed cost leverage.</w:t>
      </w:r>
    </w:p>
    <w:p>
      <w:pPr>
        <w:spacing w:after="0" w:line="202"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SG&amp;A was $743.5 million, a 2 percent decrease from 2020, due to lower accruals for annual and long-term incentive compensation. Interest expense was essentially flat at $78.9 million.</w:t>
      </w:r>
    </w:p>
    <w:p>
      <w:pPr>
        <w:spacing w:after="0" w:line="197"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GAAP income from continuing operations was $517.3 million, or $9.03 per diluted share, compared with $386.9 million, or $6.78 per diluted share in the prior year. Non-GAAP adjusted earnings, which excluded impairment, restructuring, as well as other non-recurring items, were $527.7 million, or $9.23 per diluted share, compared with $411.7 million, or $7.24 per diluted share a year ago.</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“Free cash flow, defined as operating cash flow minus capital expenditures, was $165 million and was driven lower year-over-year by key investments in CapEx and building and maintaining record-high inventory levels to provide superior service to our customers,” Miller said. “Those headwinds were somewhat offset as we worked with several of our major vendors and partners on extended payment terms.”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2022 outlook</w:t>
      </w:r>
    </w:p>
    <w:p>
      <w:pPr>
        <w:spacing w:after="0" w:line="40"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The Company established guidance for fiscal 2022 based on expected company-wide sales growth of 0 to 3 percent. It expects U.S. Consumer segment sales to be 0 to minus 4 percent. Hawthorne sales are expected to grow approximately 8 to 12 percent with most of the growth expected in the second half of the year.</w:t>
      </w:r>
    </w:p>
    <w:p>
      <w:pPr>
        <w:spacing w:after="0" w:line="202" w:lineRule="exact"/>
        <w:rPr>
          <w:sz w:val="20"/>
          <w:szCs w:val="20"/>
          <w:color w:val="auto"/>
        </w:rPr>
      </w:pPr>
    </w:p>
    <w:p>
      <w:pPr>
        <w:jc w:val="both"/>
        <w:ind w:right="20"/>
        <w:spacing w:after="0" w:line="274" w:lineRule="auto"/>
        <w:rPr>
          <w:sz w:val="20"/>
          <w:szCs w:val="20"/>
          <w:color w:val="auto"/>
        </w:rPr>
      </w:pPr>
      <w:r>
        <w:rPr>
          <w:rFonts w:ascii="Arial" w:cs="Arial" w:eastAsia="Arial" w:hAnsi="Arial"/>
          <w:sz w:val="17"/>
          <w:szCs w:val="17"/>
          <w:color w:val="auto"/>
        </w:rPr>
        <w:t>Non-GAAP adjusted earnings per share are anticipated to be in a range of $8.50 to $8.90 with the gross margin rate declining approximately 100 to 150 basis points. SG&amp;A is expected in a range of minus 6 to plus 1 percent. Interest expense is expected to increase approximately $25 million.</w:t>
      </w:r>
    </w:p>
    <w:p>
      <w:pPr>
        <w:spacing w:after="0" w:line="175"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“In our U.S. Consumer segment, high-single digit pricing actions are expected to offset potential unit volume declines,” Miller said. “While continued levels of consumer engagement and retailer support remain encouraging, we are taking a prudent approach to setting our full year volume assumptions and establishing guidance.</w:t>
      </w:r>
    </w:p>
    <w:p>
      <w:pPr>
        <w:spacing w:after="0" w:line="202"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“At Hawthorne, we expect the current over-supply of cannabis to put negative pressure on our growth rate through the rest of the calendar year and into the second quarter, at which point we anticipate a more normal growth rate.”</w:t>
      </w:r>
    </w:p>
    <w:p>
      <w:pPr>
        <w:spacing w:after="0" w:line="197"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Management will outline its 2022 expectations in more detail during its scheduled conference call with the investment community at 9 a.m. Eastern time today.</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Conference Call and Webcast Scheduled for 9 a.m. ET Today, November 3</w:t>
      </w:r>
    </w:p>
    <w:p>
      <w:pPr>
        <w:spacing w:after="0" w:line="50" w:lineRule="exact"/>
        <w:rPr>
          <w:sz w:val="20"/>
          <w:szCs w:val="20"/>
          <w:color w:val="auto"/>
        </w:rPr>
      </w:pPr>
    </w:p>
    <w:p>
      <w:pPr>
        <w:jc w:val="both"/>
        <w:spacing w:after="0" w:line="295" w:lineRule="auto"/>
        <w:rPr>
          <w:sz w:val="20"/>
          <w:szCs w:val="20"/>
          <w:color w:val="auto"/>
        </w:rPr>
      </w:pPr>
      <w:r>
        <w:rPr>
          <w:rFonts w:ascii="Arial" w:cs="Arial" w:eastAsia="Arial" w:hAnsi="Arial"/>
          <w:sz w:val="14"/>
          <w:szCs w:val="14"/>
          <w:color w:val="auto"/>
        </w:rPr>
        <w:t>The Company will discuss results during a webcast and conference call today at 9:00 a.m. Eastern Time. Conference call participants should call 1-866-337-5532 (Conference Code: 7088156). A live webcast of the call will be available on the investor relations section of the Company's website at http://investor.scotts.com. An archive of the webcast will remain available for at least 12 months. In addition, a replay of the call can be heard by calling 1-888-203-1112. The replay will be available for 15 days.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760" w:right="339" w:bottom="1440" w:gutter="0" w:footer="0" w:header="0"/>
        </w:sectPr>
      </w:pPr>
    </w:p>
    <w:bookmarkStart w:id="6" w:name="page7"/>
    <w:bookmarkEnd w:id="6"/>
    <w:p>
      <w:pPr>
        <w:spacing w:after="0"/>
        <w:rPr>
          <w:sz w:val="20"/>
          <w:szCs w:val="20"/>
          <w:color w:val="auto"/>
        </w:rPr>
      </w:pPr>
      <w:r>
        <w:rPr>
          <w:rFonts w:ascii="Arial" w:cs="Arial" w:eastAsia="Arial" w:hAnsi="Arial"/>
          <w:sz w:val="16"/>
          <w:szCs w:val="16"/>
          <w:b w:val="1"/>
          <w:bCs w:val="1"/>
          <w:color w:val="auto"/>
        </w:rPr>
        <w:t>About ScottsMiracle-Gro</w:t>
      </w:r>
    </w:p>
    <w:p>
      <w:pPr>
        <w:spacing w:after="0" w:line="50" w:lineRule="exact"/>
        <w:rPr>
          <w:sz w:val="20"/>
          <w:szCs w:val="20"/>
          <w:color w:val="auto"/>
        </w:rPr>
      </w:pPr>
    </w:p>
    <w:p>
      <w:pPr>
        <w:jc w:val="both"/>
        <w:spacing w:after="0" w:line="238" w:lineRule="auto"/>
        <w:rPr>
          <w:sz w:val="20"/>
          <w:szCs w:val="20"/>
          <w:color w:val="auto"/>
        </w:rPr>
      </w:pPr>
      <w:r>
        <w:rPr>
          <w:rFonts w:ascii="Arial" w:cs="Arial" w:eastAsia="Arial" w:hAnsi="Arial"/>
          <w:sz w:val="16"/>
          <w:szCs w:val="16"/>
          <w:color w:val="auto"/>
        </w:rPr>
        <w:t xml:space="preserve">With approximately $4.9 billion in sales, the Company is one of the world’s largest marketers of branded consumer products for lawn and garden care. The Company’s brands are among the most recognized in the industry. The Company’s Scotts®, Miracle-Gro® and Ortho® brands are market-leading in their categories. The Company’s wholly owned subsidiary, The Hawthorne Gardening Company, is a leading provider of nutrients, lighting and other materials used in the indoor and hydroponic growing segment. For additional information, visit us at </w:t>
      </w:r>
      <w:r>
        <w:rPr>
          <w:rFonts w:ascii="Arial" w:cs="Arial" w:eastAsia="Arial" w:hAnsi="Arial"/>
          <w:sz w:val="16"/>
          <w:szCs w:val="16"/>
          <w:color w:val="0000FF"/>
        </w:rPr>
        <w:t>www.scottsmiraclegro.com</w:t>
      </w:r>
      <w:r>
        <w:rPr>
          <w:rFonts w:ascii="Arial" w:cs="Arial" w:eastAsia="Arial" w:hAnsi="Arial"/>
          <w:sz w:val="16"/>
          <w:szCs w:val="16"/>
          <w:color w:val="auto"/>
        </w:rPr>
        <w:t>.</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Cautionary Note Regarding Forward-Looking Statements</w:t>
      </w:r>
    </w:p>
    <w:p>
      <w:pPr>
        <w:spacing w:after="0" w:line="50" w:lineRule="exact"/>
        <w:rPr>
          <w:sz w:val="20"/>
          <w:szCs w:val="20"/>
          <w:color w:val="auto"/>
        </w:rPr>
      </w:pPr>
    </w:p>
    <w:p>
      <w:pPr>
        <w:jc w:val="both"/>
        <w:spacing w:after="0" w:line="234" w:lineRule="auto"/>
        <w:rPr>
          <w:sz w:val="20"/>
          <w:szCs w:val="20"/>
          <w:color w:val="auto"/>
        </w:rPr>
      </w:pPr>
      <w:r>
        <w:rPr>
          <w:rFonts w:ascii="Arial" w:cs="Arial" w:eastAsia="Arial" w:hAnsi="Arial"/>
          <w:sz w:val="16"/>
          <w:szCs w:val="16"/>
          <w:color w:val="auto"/>
        </w:rPr>
        <w:t>Statements contained in this press release, other than statements of historical fact, which address activities, events and developments that the Company expects or anticipates will or may occur in the future, including, but not limited to, information regarding the future economic performance and financial condition of the Company, the plans and objectives of the Company’s management, and the Company’s assumptions regarding such performance and plans are “forward-looking statements” within the meaning of the U.S. federal securities laws that are subject to risks and uncertainties. These forward-looking statements generally can be identified as statements that include phrases such as “guidance,” “outlook,” “projected,” “believe,” “target,” “predict,” “estimate,” “forecast,” “strategy,” “may,” “goal,” “expect,” “anticipate,” “intend,” “plan,” “foresee,” “likely,” “will,” “should” or other similar words or phrases. Actual results could differ materially from the forward-looking information in this release due to a variety of factors, including, but not limited to:</w:t>
      </w:r>
    </w:p>
    <w:p>
      <w:pPr>
        <w:spacing w:after="0" w:line="270" w:lineRule="exact"/>
        <w:rPr>
          <w:sz w:val="20"/>
          <w:szCs w:val="20"/>
          <w:color w:val="auto"/>
        </w:rPr>
      </w:pPr>
    </w:p>
    <w:p>
      <w:pPr>
        <w:ind w:left="640" w:hanging="308"/>
        <w:spacing w:after="0"/>
        <w:tabs>
          <w:tab w:leader="none" w:pos="640" w:val="left"/>
        </w:tabs>
        <w:numPr>
          <w:ilvl w:val="0"/>
          <w:numId w:val="5"/>
        </w:numPr>
        <w:rPr>
          <w:rFonts w:ascii="Arial" w:cs="Arial" w:eastAsia="Arial" w:hAnsi="Arial"/>
          <w:sz w:val="15"/>
          <w:szCs w:val="15"/>
          <w:color w:val="auto"/>
        </w:rPr>
      </w:pPr>
      <w:r>
        <w:rPr>
          <w:rFonts w:ascii="Arial" w:cs="Arial" w:eastAsia="Arial" w:hAnsi="Arial"/>
          <w:sz w:val="15"/>
          <w:szCs w:val="15"/>
          <w:color w:val="auto"/>
        </w:rPr>
        <w:t>The ongoing COVID-19 pandemic could have a material adverse effect on the Company’s business, results of operation, financial condition and/or cash flows;</w:t>
      </w:r>
    </w:p>
    <w:p>
      <w:pPr>
        <w:spacing w:after="0" w:line="17" w:lineRule="exact"/>
        <w:rPr>
          <w:rFonts w:ascii="Arial" w:cs="Arial" w:eastAsia="Arial" w:hAnsi="Arial"/>
          <w:sz w:val="15"/>
          <w:szCs w:val="15"/>
          <w:color w:val="auto"/>
        </w:rPr>
      </w:pPr>
    </w:p>
    <w:p>
      <w:pPr>
        <w:ind w:left="66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Compliance with environmental and other public health regulations or changes in such regulations or regulatory enforcement priorities could increase the Company’s costs of doing business or limit the Company’s ability to market all of its products;</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5"/>
        </w:numPr>
        <w:rPr>
          <w:rFonts w:ascii="Arial" w:cs="Arial" w:eastAsia="Arial" w:hAnsi="Arial"/>
          <w:sz w:val="14"/>
          <w:szCs w:val="14"/>
          <w:color w:val="auto"/>
        </w:rPr>
      </w:pPr>
      <w:r>
        <w:rPr>
          <w:rFonts w:ascii="Arial" w:cs="Arial" w:eastAsia="Arial" w:hAnsi="Arial"/>
          <w:sz w:val="14"/>
          <w:szCs w:val="14"/>
          <w:color w:val="auto"/>
        </w:rPr>
        <w:t>Damage to the Company’s reputation or the reputation of its products or products it markets on behalf of third parties could have an adverse effect on its business;</w:t>
      </w:r>
    </w:p>
    <w:p>
      <w:pPr>
        <w:spacing w:after="0" w:line="14" w:lineRule="exact"/>
        <w:rPr>
          <w:rFonts w:ascii="Arial" w:cs="Arial" w:eastAsia="Arial" w:hAnsi="Arial"/>
          <w:sz w:val="14"/>
          <w:szCs w:val="14"/>
          <w:color w:val="auto"/>
        </w:rPr>
      </w:pPr>
    </w:p>
    <w:p>
      <w:pPr>
        <w:ind w:left="66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If the Company underestimates or overestimates demand for its products and does not maintain appropriate inventory levels, its net sales and/or working capital could be negatively impacted;</w:t>
      </w:r>
    </w:p>
    <w:p>
      <w:pPr>
        <w:spacing w:after="0" w:line="1" w:lineRule="exact"/>
        <w:rPr>
          <w:rFonts w:ascii="Arial" w:cs="Arial" w:eastAsia="Arial" w:hAnsi="Arial"/>
          <w:sz w:val="16"/>
          <w:szCs w:val="16"/>
          <w:color w:val="auto"/>
        </w:rPr>
      </w:pPr>
    </w:p>
    <w:p>
      <w:pPr>
        <w:ind w:left="640" w:hanging="308"/>
        <w:spacing w:after="0" w:line="228" w:lineRule="auto"/>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If the Company is unable to effectively execute its e-commerce business, its reputation and operating results may be harmed;</w:t>
      </w:r>
    </w:p>
    <w:p>
      <w:pPr>
        <w:ind w:left="66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Because of the concentration of the Company’s sales to a small number of retail customers, the loss of one or more of, or significant reduction in orders from, its top customers could adversely affect the Company’s financial results;</w:t>
      </w:r>
    </w:p>
    <w:p>
      <w:pPr>
        <w:spacing w:after="0" w:line="1" w:lineRule="exact"/>
        <w:rPr>
          <w:rFonts w:ascii="Arial" w:cs="Arial" w:eastAsia="Arial" w:hAnsi="Arial"/>
          <w:sz w:val="16"/>
          <w:szCs w:val="16"/>
          <w:color w:val="auto"/>
        </w:rPr>
      </w:pPr>
    </w:p>
    <w:p>
      <w:pPr>
        <w:ind w:left="640" w:hanging="308"/>
        <w:spacing w:after="0" w:line="228" w:lineRule="auto"/>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Climate change and unfavorable weather conditions could adversely impact financial results;</w:t>
      </w:r>
    </w:p>
    <w:p>
      <w:pPr>
        <w:ind w:left="660" w:right="2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Certain of the Company’s products may be purchased for use in new or emerging industries or segments and/or be subject to varying, inconsistent, and rapidly changing laws, regulations, administrative practices, enforcement approaches, judicial interpretations and consumer perceptions;</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5"/>
        </w:numPr>
        <w:rPr>
          <w:rFonts w:ascii="Arial" w:cs="Arial" w:eastAsia="Arial" w:hAnsi="Arial"/>
          <w:sz w:val="14"/>
          <w:szCs w:val="14"/>
          <w:color w:val="auto"/>
        </w:rPr>
      </w:pPr>
      <w:r>
        <w:rPr>
          <w:rFonts w:ascii="Arial" w:cs="Arial" w:eastAsia="Arial" w:hAnsi="Arial"/>
          <w:sz w:val="14"/>
          <w:szCs w:val="14"/>
          <w:color w:val="auto"/>
        </w:rPr>
        <w:t>The Company’s operations may be impaired if its information technology systems fail to perform adequately or if it is the subject of a data breach or cyber-attack;</w:t>
      </w:r>
    </w:p>
    <w:p>
      <w:pPr>
        <w:spacing w:after="0" w:line="14" w:lineRule="exact"/>
        <w:rPr>
          <w:rFonts w:ascii="Arial" w:cs="Arial" w:eastAsia="Arial" w:hAnsi="Arial"/>
          <w:sz w:val="14"/>
          <w:szCs w:val="14"/>
          <w:color w:val="auto"/>
        </w:rPr>
      </w:pPr>
    </w:p>
    <w:p>
      <w:pPr>
        <w:ind w:left="640" w:hanging="308"/>
        <w:spacing w:after="0" w:line="228" w:lineRule="auto"/>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Company may not be able to adequately protect its intellectual property and other proprietary rights that are material to the Company’s business;</w:t>
      </w:r>
    </w:p>
    <w:p>
      <w:pPr>
        <w:ind w:left="66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In the event the Third Restated Marketing Agreement for consumer Roundup products terminates, or Monsanto’s consumer Roundup business materially declines the Company would lose a substantial source of future earnings and overhead expense absorption;</w:t>
      </w:r>
    </w:p>
    <w:p>
      <w:pPr>
        <w:spacing w:after="0" w:line="1" w:lineRule="exact"/>
        <w:rPr>
          <w:rFonts w:ascii="Arial" w:cs="Arial" w:eastAsia="Arial" w:hAnsi="Arial"/>
          <w:sz w:val="16"/>
          <w:szCs w:val="16"/>
          <w:color w:val="auto"/>
        </w:rPr>
      </w:pPr>
    </w:p>
    <w:p>
      <w:pPr>
        <w:ind w:left="660" w:hanging="328"/>
        <w:spacing w:after="0" w:line="228"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Hagedorn Partnership, L.P. beneficially owns approximately 26% of the Company’s common shares and can significantly influence decisions that require the approval of shareholders;</w:t>
      </w:r>
    </w:p>
    <w:p>
      <w:pPr>
        <w:spacing w:after="0" w:line="1" w:lineRule="exact"/>
        <w:rPr>
          <w:rFonts w:ascii="Arial" w:cs="Arial" w:eastAsia="Arial" w:hAnsi="Arial"/>
          <w:sz w:val="16"/>
          <w:szCs w:val="16"/>
          <w:color w:val="auto"/>
        </w:rPr>
      </w:pPr>
    </w:p>
    <w:p>
      <w:pPr>
        <w:ind w:left="660" w:hanging="328"/>
        <w:spacing w:after="0" w:line="239"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Acquisitions, other strategic alliances and investments could result in operating difficulties, dilution and other harmful consequences that may adversely impact the Company’s business and results of operations.</w:t>
      </w:r>
    </w:p>
    <w:p>
      <w:pPr>
        <w:spacing w:after="0" w:line="214" w:lineRule="exact"/>
        <w:rPr>
          <w:sz w:val="20"/>
          <w:szCs w:val="20"/>
          <w:color w:val="auto"/>
        </w:rPr>
      </w:pPr>
    </w:p>
    <w:p>
      <w:pPr>
        <w:jc w:val="both"/>
        <w:spacing w:after="0" w:line="238" w:lineRule="auto"/>
        <w:rPr>
          <w:sz w:val="20"/>
          <w:szCs w:val="20"/>
          <w:color w:val="auto"/>
        </w:rPr>
      </w:pPr>
      <w:r>
        <w:rPr>
          <w:rFonts w:ascii="Arial" w:cs="Arial" w:eastAsia="Arial" w:hAnsi="Arial"/>
          <w:sz w:val="16"/>
          <w:szCs w:val="16"/>
          <w:color w:val="auto"/>
        </w:rPr>
        <w:t>Additional detailed information concerning a number of the important factors that could cause actual results to differ materially from the forward-looking information contained in this release is readily available in the Company’s publicly filed quarterly, annual and other reports. The Company disclaims any obligation to update developments of these risk factors or to announce publicly any revision to any of the forward-looking statements contained in this release, or to make corrections to reflect future events or developments.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Jim King</w:t>
      </w:r>
    </w:p>
    <w:p>
      <w:pPr>
        <w:spacing w:after="0" w:line="234" w:lineRule="auto"/>
        <w:rPr>
          <w:sz w:val="20"/>
          <w:szCs w:val="20"/>
          <w:color w:val="auto"/>
        </w:rPr>
      </w:pPr>
      <w:r>
        <w:rPr>
          <w:rFonts w:ascii="Arial" w:cs="Arial" w:eastAsia="Arial" w:hAnsi="Arial"/>
          <w:sz w:val="18"/>
          <w:szCs w:val="18"/>
          <w:b w:val="1"/>
          <w:bCs w:val="1"/>
          <w:color w:val="auto"/>
        </w:rPr>
        <w:t>Executive Vice President</w:t>
      </w:r>
    </w:p>
    <w:p>
      <w:pPr>
        <w:spacing w:after="0" w:line="235" w:lineRule="auto"/>
        <w:rPr>
          <w:sz w:val="20"/>
          <w:szCs w:val="20"/>
          <w:color w:val="auto"/>
        </w:rPr>
      </w:pPr>
      <w:r>
        <w:rPr>
          <w:rFonts w:ascii="Arial" w:cs="Arial" w:eastAsia="Arial" w:hAnsi="Arial"/>
          <w:sz w:val="18"/>
          <w:szCs w:val="18"/>
          <w:b w:val="1"/>
          <w:bCs w:val="1"/>
          <w:color w:val="auto"/>
        </w:rPr>
        <w:t>Investor Relations &amp; Corporate Affairs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(937) 578-5622</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320" w:top="760"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398"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32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608"/>
              <w:spacing w:after="0"/>
              <w:rPr>
                <w:sz w:val="20"/>
                <w:szCs w:val="20"/>
                <w:color w:val="auto"/>
              </w:rPr>
            </w:pPr>
            <w:r>
              <w:rPr>
                <w:rFonts w:ascii="Arial" w:cs="Arial" w:eastAsia="Arial" w:hAnsi="Arial"/>
                <w:sz w:val="14"/>
                <w:szCs w:val="14"/>
                <w:color w:val="auto"/>
              </w:rPr>
              <w:t>Three Months Ended</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400" w:type="dxa"/>
            <w:vAlign w:val="bottom"/>
            <w:tcBorders>
              <w:bottom w:val="single" w:sz="8" w:color="auto"/>
            </w:tcBorders>
            <w:gridSpan w:val="4"/>
          </w:tcPr>
          <w:p>
            <w:pPr>
              <w:jc w:val="right"/>
              <w:ind w:right="548"/>
              <w:spacing w:after="0"/>
              <w:rPr>
                <w:sz w:val="20"/>
                <w:szCs w:val="20"/>
                <w:color w:val="auto"/>
              </w:rPr>
            </w:pPr>
            <w:r>
              <w:rPr>
                <w:rFonts w:ascii="Arial" w:cs="Arial" w:eastAsia="Arial" w:hAnsi="Arial"/>
                <w:sz w:val="14"/>
                <w:szCs w:val="14"/>
                <w:color w:val="auto"/>
              </w:rPr>
              <w:t>Twelve Months Ended</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3260" w:type="dxa"/>
            <w:vAlign w:val="bottom"/>
          </w:tcPr>
          <w:p>
            <w:pPr>
              <w:spacing w:after="0"/>
              <w:rPr>
                <w:sz w:val="11"/>
                <w:szCs w:val="11"/>
                <w:color w:val="auto"/>
              </w:rPr>
            </w:pPr>
          </w:p>
        </w:tc>
        <w:tc>
          <w:tcPr>
            <w:tcW w:w="1000" w:type="dxa"/>
            <w:vAlign w:val="bottom"/>
            <w:gridSpan w:val="3"/>
            <w:vMerge w:val="restart"/>
          </w:tcPr>
          <w:p>
            <w:pPr>
              <w:jc w:val="right"/>
              <w:ind w:right="268"/>
              <w:spacing w:after="0"/>
              <w:rPr>
                <w:sz w:val="20"/>
                <w:szCs w:val="20"/>
                <w:color w:val="auto"/>
              </w:rPr>
            </w:pPr>
            <w:r>
              <w:rPr>
                <w:rFonts w:ascii="Arial" w:cs="Arial" w:eastAsia="Arial" w:hAnsi="Arial"/>
                <w:sz w:val="14"/>
                <w:szCs w:val="14"/>
                <w:color w:val="auto"/>
              </w:rPr>
              <w:t>Footnotes</w:t>
            </w:r>
          </w:p>
        </w:tc>
        <w:tc>
          <w:tcPr>
            <w:tcW w:w="1200" w:type="dxa"/>
            <w:vAlign w:val="bottom"/>
            <w:gridSpan w:val="2"/>
          </w:tcPr>
          <w:p>
            <w:pPr>
              <w:ind w:left="60"/>
              <w:spacing w:after="0" w:line="135" w:lineRule="exact"/>
              <w:rPr>
                <w:sz w:val="20"/>
                <w:szCs w:val="20"/>
                <w:color w:val="auto"/>
              </w:rPr>
            </w:pPr>
            <w:r>
              <w:rPr>
                <w:rFonts w:ascii="Arial" w:cs="Arial" w:eastAsia="Arial" w:hAnsi="Arial"/>
                <w:sz w:val="14"/>
                <w:szCs w:val="14"/>
                <w:color w:val="auto"/>
              </w:rPr>
              <w:t>September 30,</w:t>
            </w:r>
          </w:p>
        </w:tc>
        <w:tc>
          <w:tcPr>
            <w:tcW w:w="140" w:type="dxa"/>
            <w:vAlign w:val="bottom"/>
          </w:tcPr>
          <w:p>
            <w:pPr>
              <w:spacing w:after="0"/>
              <w:rPr>
                <w:sz w:val="11"/>
                <w:szCs w:val="11"/>
                <w:color w:val="auto"/>
              </w:rPr>
            </w:pPr>
          </w:p>
        </w:tc>
        <w:tc>
          <w:tcPr>
            <w:tcW w:w="1100" w:type="dxa"/>
            <w:vAlign w:val="bottom"/>
          </w:tcPr>
          <w:p>
            <w:pPr>
              <w:jc w:val="right"/>
              <w:ind w:right="128"/>
              <w:spacing w:after="0" w:line="135" w:lineRule="exact"/>
              <w:rPr>
                <w:sz w:val="20"/>
                <w:szCs w:val="20"/>
                <w:color w:val="auto"/>
              </w:rPr>
            </w:pPr>
            <w:r>
              <w:rPr>
                <w:rFonts w:ascii="Arial" w:cs="Arial" w:eastAsia="Arial" w:hAnsi="Arial"/>
                <w:sz w:val="14"/>
                <w:szCs w:val="14"/>
                <w:color w:val="auto"/>
                <w:w w:val="95"/>
              </w:rPr>
              <w:t>September 30,</w:t>
            </w:r>
          </w:p>
        </w:tc>
        <w:tc>
          <w:tcPr>
            <w:tcW w:w="100" w:type="dxa"/>
            <w:vAlign w:val="bottom"/>
          </w:tcPr>
          <w:p>
            <w:pPr>
              <w:spacing w:after="0"/>
              <w:rPr>
                <w:sz w:val="11"/>
                <w:szCs w:val="11"/>
                <w:color w:val="auto"/>
              </w:rPr>
            </w:pPr>
          </w:p>
        </w:tc>
        <w:tc>
          <w:tcPr>
            <w:tcW w:w="940" w:type="dxa"/>
            <w:vAlign w:val="bottom"/>
            <w:gridSpan w:val="2"/>
            <w:vMerge w:val="restart"/>
          </w:tcPr>
          <w:p>
            <w:pPr>
              <w:ind w:left="140"/>
              <w:spacing w:after="0"/>
              <w:rPr>
                <w:sz w:val="20"/>
                <w:szCs w:val="20"/>
                <w:color w:val="auto"/>
              </w:rPr>
            </w:pPr>
            <w:r>
              <w:rPr>
                <w:rFonts w:ascii="Arial" w:cs="Arial" w:eastAsia="Arial" w:hAnsi="Arial"/>
                <w:sz w:val="14"/>
                <w:szCs w:val="14"/>
                <w:color w:val="auto"/>
              </w:rPr>
              <w:t>% Change</w:t>
            </w:r>
          </w:p>
        </w:tc>
        <w:tc>
          <w:tcPr>
            <w:tcW w:w="140" w:type="dxa"/>
            <w:vAlign w:val="bottom"/>
          </w:tcPr>
          <w:p>
            <w:pPr>
              <w:spacing w:after="0"/>
              <w:rPr>
                <w:sz w:val="11"/>
                <w:szCs w:val="11"/>
                <w:color w:val="auto"/>
              </w:rPr>
            </w:pPr>
          </w:p>
        </w:tc>
        <w:tc>
          <w:tcPr>
            <w:tcW w:w="1180" w:type="dxa"/>
            <w:vAlign w:val="bottom"/>
            <w:gridSpan w:val="2"/>
          </w:tcPr>
          <w:p>
            <w:pPr>
              <w:ind w:left="60"/>
              <w:spacing w:after="0" w:line="135" w:lineRule="exact"/>
              <w:rPr>
                <w:sz w:val="20"/>
                <w:szCs w:val="20"/>
                <w:color w:val="auto"/>
              </w:rPr>
            </w:pPr>
            <w:r>
              <w:rPr>
                <w:rFonts w:ascii="Arial" w:cs="Arial" w:eastAsia="Arial" w:hAnsi="Arial"/>
                <w:sz w:val="14"/>
                <w:szCs w:val="14"/>
                <w:color w:val="auto"/>
              </w:rPr>
              <w:t>September 30,</w:t>
            </w:r>
          </w:p>
        </w:tc>
        <w:tc>
          <w:tcPr>
            <w:tcW w:w="140" w:type="dxa"/>
            <w:vAlign w:val="bottom"/>
          </w:tcPr>
          <w:p>
            <w:pPr>
              <w:spacing w:after="0"/>
              <w:rPr>
                <w:sz w:val="11"/>
                <w:szCs w:val="11"/>
                <w:color w:val="auto"/>
              </w:rPr>
            </w:pPr>
          </w:p>
        </w:tc>
        <w:tc>
          <w:tcPr>
            <w:tcW w:w="1080" w:type="dxa"/>
            <w:vAlign w:val="bottom"/>
          </w:tcPr>
          <w:p>
            <w:pPr>
              <w:jc w:val="right"/>
              <w:ind w:right="128"/>
              <w:spacing w:after="0" w:line="135" w:lineRule="exact"/>
              <w:rPr>
                <w:sz w:val="20"/>
                <w:szCs w:val="20"/>
                <w:color w:val="auto"/>
              </w:rPr>
            </w:pPr>
            <w:r>
              <w:rPr>
                <w:rFonts w:ascii="Arial" w:cs="Arial" w:eastAsia="Arial" w:hAnsi="Arial"/>
                <w:sz w:val="14"/>
                <w:szCs w:val="14"/>
                <w:color w:val="auto"/>
                <w:w w:val="93"/>
              </w:rPr>
              <w:t>September 30,</w:t>
            </w:r>
          </w:p>
        </w:tc>
        <w:tc>
          <w:tcPr>
            <w:tcW w:w="100" w:type="dxa"/>
            <w:vAlign w:val="bottom"/>
          </w:tcPr>
          <w:p>
            <w:pPr>
              <w:spacing w:after="0"/>
              <w:rPr>
                <w:sz w:val="11"/>
                <w:szCs w:val="11"/>
                <w:color w:val="auto"/>
              </w:rPr>
            </w:pPr>
          </w:p>
        </w:tc>
        <w:tc>
          <w:tcPr>
            <w:tcW w:w="860" w:type="dxa"/>
            <w:vAlign w:val="bottom"/>
            <w:vMerge w:val="restart"/>
          </w:tcPr>
          <w:p>
            <w:pPr>
              <w:jc w:val="right"/>
              <w:ind w:right="28"/>
              <w:spacing w:after="0"/>
              <w:rPr>
                <w:sz w:val="20"/>
                <w:szCs w:val="20"/>
                <w:color w:val="auto"/>
              </w:rPr>
            </w:pPr>
            <w:r>
              <w:rPr>
                <w:rFonts w:ascii="Arial" w:cs="Arial" w:eastAsia="Arial" w:hAnsi="Arial"/>
                <w:sz w:val="14"/>
                <w:szCs w:val="14"/>
                <w:color w:val="auto"/>
              </w:rPr>
              <w:t>% Change</w:t>
            </w:r>
          </w:p>
        </w:tc>
        <w:tc>
          <w:tcPr>
            <w:tcW w:w="0" w:type="dxa"/>
            <w:vAlign w:val="bottom"/>
          </w:tcPr>
          <w:p>
            <w:pPr>
              <w:spacing w:after="0"/>
              <w:rPr>
                <w:sz w:val="1"/>
                <w:szCs w:val="1"/>
                <w:color w:val="auto"/>
              </w:rPr>
            </w:pPr>
          </w:p>
        </w:tc>
      </w:tr>
      <w:tr>
        <w:trPr>
          <w:trHeight w:val="186"/>
        </w:trPr>
        <w:tc>
          <w:tcPr>
            <w:tcW w:w="326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1100" w:type="dxa"/>
            <w:vAlign w:val="bottom"/>
          </w:tcPr>
          <w:p>
            <w:pPr>
              <w:jc w:val="right"/>
              <w:ind w:right="408"/>
              <w:spacing w:after="0"/>
              <w:rPr>
                <w:sz w:val="20"/>
                <w:szCs w:val="20"/>
                <w:color w:val="auto"/>
              </w:rPr>
            </w:pPr>
            <w:r>
              <w:rPr>
                <w:rFonts w:ascii="Arial" w:cs="Arial" w:eastAsia="Arial" w:hAnsi="Arial"/>
                <w:sz w:val="14"/>
                <w:szCs w:val="14"/>
                <w:color w:val="auto"/>
              </w:rPr>
              <w:t>2021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408"/>
              <w:spacing w:after="0"/>
              <w:rPr>
                <w:sz w:val="20"/>
                <w:szCs w:val="20"/>
                <w:color w:val="auto"/>
              </w:rPr>
            </w:pPr>
            <w:r>
              <w:rPr>
                <w:rFonts w:ascii="Arial" w:cs="Arial" w:eastAsia="Arial" w:hAnsi="Arial"/>
                <w:sz w:val="14"/>
                <w:szCs w:val="14"/>
                <w:color w:val="auto"/>
              </w:rPr>
              <w:t>2020</w:t>
            </w:r>
          </w:p>
        </w:tc>
        <w:tc>
          <w:tcPr>
            <w:tcW w:w="10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388"/>
              <w:spacing w:after="0"/>
              <w:rPr>
                <w:sz w:val="20"/>
                <w:szCs w:val="20"/>
                <w:color w:val="auto"/>
              </w:rPr>
            </w:pPr>
            <w:r>
              <w:rPr>
                <w:rFonts w:ascii="Arial" w:cs="Arial" w:eastAsia="Arial" w:hAnsi="Arial"/>
                <w:sz w:val="14"/>
                <w:szCs w:val="14"/>
                <w:color w:val="auto"/>
              </w:rPr>
              <w:t>2021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388"/>
              <w:spacing w:after="0"/>
              <w:rPr>
                <w:sz w:val="20"/>
                <w:szCs w:val="20"/>
                <w:color w:val="auto"/>
              </w:rPr>
            </w:pPr>
            <w:r>
              <w:rPr>
                <w:rFonts w:ascii="Arial" w:cs="Arial" w:eastAsia="Arial" w:hAnsi="Arial"/>
                <w:sz w:val="14"/>
                <w:szCs w:val="14"/>
                <w:color w:val="auto"/>
              </w:rPr>
              <w:t>2020</w:t>
            </w:r>
          </w:p>
        </w:tc>
        <w:tc>
          <w:tcPr>
            <w:tcW w:w="100" w:type="dxa"/>
            <w:vAlign w:val="bottom"/>
          </w:tcPr>
          <w:p>
            <w:pPr>
              <w:spacing w:after="0"/>
              <w:rPr>
                <w:sz w:val="16"/>
                <w:szCs w:val="16"/>
                <w:color w:val="auto"/>
              </w:rPr>
            </w:pPr>
          </w:p>
        </w:tc>
        <w:tc>
          <w:tcPr>
            <w:tcW w:w="8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2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sales</w:t>
            </w:r>
          </w:p>
        </w:tc>
        <w:tc>
          <w:tcPr>
            <w:tcW w:w="76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737.8</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top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890.3</w:t>
            </w:r>
          </w:p>
        </w:tc>
        <w:tc>
          <w:tcPr>
            <w:tcW w:w="100" w:type="dxa"/>
            <w:vAlign w:val="bottom"/>
            <w:tcBorders>
              <w:top w:val="single" w:sz="8" w:color="CCEEFF"/>
            </w:tcBorders>
            <w:shd w:val="clear" w:color="auto" w:fill="CCEEFF"/>
          </w:tcPr>
          <w:p>
            <w:pPr>
              <w:spacing w:after="0"/>
              <w:rPr>
                <w:sz w:val="16"/>
                <w:szCs w:val="16"/>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4,925.0</w:t>
            </w:r>
          </w:p>
        </w:tc>
        <w:tc>
          <w:tcPr>
            <w:tcW w:w="10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top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4,131.6</w:t>
            </w:r>
          </w:p>
        </w:tc>
        <w:tc>
          <w:tcPr>
            <w:tcW w:w="100" w:type="dxa"/>
            <w:vAlign w:val="bottom"/>
            <w:tcBorders>
              <w:top w:val="single" w:sz="8" w:color="CCEEFF"/>
            </w:tcBorders>
            <w:shd w:val="clear" w:color="auto" w:fill="CCEEFF"/>
          </w:tcPr>
          <w:p>
            <w:pPr>
              <w:spacing w:after="0"/>
              <w:rPr>
                <w:sz w:val="16"/>
                <w:szCs w:val="16"/>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19 %</w:t>
            </w: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Cost of sales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609.1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673.6</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3,431.3</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2,768.6</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Cost of sales—impairment, restructuring and other</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2.5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0.7</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24.7</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16.0</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3260" w:type="dxa"/>
            <w:vAlign w:val="bottom"/>
          </w:tcPr>
          <w:p>
            <w:pPr>
              <w:ind w:left="20"/>
              <w:spacing w:after="0"/>
              <w:rPr>
                <w:sz w:val="20"/>
                <w:szCs w:val="20"/>
                <w:color w:val="auto"/>
              </w:rPr>
            </w:pPr>
            <w:r>
              <w:rPr>
                <w:rFonts w:ascii="Arial" w:cs="Arial" w:eastAsia="Arial" w:hAnsi="Arial"/>
                <w:sz w:val="14"/>
                <w:szCs w:val="14"/>
                <w:color w:val="auto"/>
              </w:rPr>
              <w:t>Gross profit</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126.2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216.0</w:t>
            </w: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(42)%</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1,469.0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1,347.0</w:t>
            </w: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9 %</w:t>
            </w: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 of sales</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17.1 %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24.3 %</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29.8 %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32.6 %</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Operating expenses: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Selling, general and administrative</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161.2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204.8</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743.5</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757.8</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186"/>
        </w:trPr>
        <w:tc>
          <w:tcPr>
            <w:tcW w:w="3260" w:type="dxa"/>
            <w:vAlign w:val="bottom"/>
          </w:tcPr>
          <w:p>
            <w:pPr>
              <w:ind w:left="140"/>
              <w:spacing w:after="0"/>
              <w:rPr>
                <w:sz w:val="20"/>
                <w:szCs w:val="20"/>
                <w:color w:val="auto"/>
              </w:rPr>
            </w:pPr>
            <w:r>
              <w:rPr>
                <w:rFonts w:ascii="Arial" w:cs="Arial" w:eastAsia="Arial" w:hAnsi="Arial"/>
                <w:sz w:val="14"/>
                <w:szCs w:val="14"/>
                <w:color w:val="auto"/>
              </w:rPr>
              <w:t>Impairment, restructuring and other</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0.6</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0.8</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140"/>
              <w:spacing w:after="0"/>
              <w:rPr>
                <w:sz w:val="20"/>
                <w:szCs w:val="20"/>
                <w:color w:val="auto"/>
              </w:rPr>
            </w:pPr>
            <w:r>
              <w:rPr>
                <w:rFonts w:ascii="Arial" w:cs="Arial" w:eastAsia="Arial" w:hAnsi="Arial"/>
                <w:sz w:val="14"/>
                <w:szCs w:val="14"/>
                <w:color w:val="auto"/>
              </w:rPr>
              <w:t>Other (income) expense, net</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2.8</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3.2</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3260" w:type="dxa"/>
            <w:vAlign w:val="bottom"/>
          </w:tcPr>
          <w:p>
            <w:pPr>
              <w:ind w:left="20"/>
              <w:spacing w:after="0"/>
              <w:rPr>
                <w:sz w:val="20"/>
                <w:szCs w:val="20"/>
                <w:color w:val="auto"/>
              </w:rPr>
            </w:pPr>
            <w:r>
              <w:rPr>
                <w:rFonts w:ascii="Arial" w:cs="Arial" w:eastAsia="Arial" w:hAnsi="Arial"/>
                <w:sz w:val="14"/>
                <w:szCs w:val="14"/>
                <w:color w:val="auto"/>
              </w:rPr>
              <w:t>Income (loss) from operations</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(37.1)</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9.6</w:t>
            </w: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(486)%</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723.0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585.2</w:t>
            </w: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24 %</w:t>
            </w: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 of sales</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1.1 %</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14.7 %</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14.2 %</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Equity in (income) loss of unconsolidated affiliates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5.6</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68"/>
              <w:spacing w:after="0"/>
              <w:rPr>
                <w:sz w:val="20"/>
                <w:szCs w:val="20"/>
                <w:color w:val="auto"/>
              </w:rPr>
            </w:pPr>
            <w:r>
              <w:rPr>
                <w:rFonts w:ascii="Arial" w:cs="Arial" w:eastAsia="Arial" w:hAnsi="Arial"/>
                <w:sz w:val="14"/>
                <w:szCs w:val="14"/>
                <w:color w:val="auto"/>
              </w:rPr>
              <w:t>(14.4)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Costs related to refinancing</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28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15.1</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Interest expense</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21.6</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16.7</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78.9</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79.6</w:t>
            </w: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Other non-operating income, net</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(12.8)</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(18.6)</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(20.1)</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3260" w:type="dxa"/>
            <w:vAlign w:val="bottom"/>
          </w:tcPr>
          <w:p>
            <w:pPr>
              <w:ind w:left="20"/>
              <w:spacing w:after="0" w:line="115" w:lineRule="exact"/>
              <w:rPr>
                <w:sz w:val="20"/>
                <w:szCs w:val="20"/>
                <w:color w:val="auto"/>
              </w:rPr>
            </w:pPr>
            <w:r>
              <w:rPr>
                <w:rFonts w:ascii="Arial" w:cs="Arial" w:eastAsia="Arial" w:hAnsi="Arial"/>
                <w:sz w:val="13"/>
                <w:szCs w:val="13"/>
                <w:color w:val="auto"/>
              </w:rPr>
              <w:t>Income (loss) from continuing operations before</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vMerge w:val="restart"/>
          </w:tcPr>
          <w:p>
            <w:pPr>
              <w:jc w:val="right"/>
              <w:ind w:right="88"/>
              <w:spacing w:after="0"/>
              <w:rPr>
                <w:sz w:val="20"/>
                <w:szCs w:val="20"/>
                <w:color w:val="auto"/>
              </w:rPr>
            </w:pPr>
            <w:r>
              <w:rPr>
                <w:rFonts w:ascii="Arial" w:cs="Arial" w:eastAsia="Arial" w:hAnsi="Arial"/>
                <w:sz w:val="14"/>
                <w:szCs w:val="14"/>
                <w:color w:val="auto"/>
              </w:rPr>
              <w:t>(63.1)</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vMerge w:val="restart"/>
          </w:tcPr>
          <w:p>
            <w:pPr>
              <w:jc w:val="right"/>
              <w:ind w:right="128"/>
              <w:spacing w:after="0"/>
              <w:rPr>
                <w:sz w:val="20"/>
                <w:szCs w:val="20"/>
                <w:color w:val="auto"/>
              </w:rPr>
            </w:pPr>
            <w:r>
              <w:rPr>
                <w:rFonts w:ascii="Arial" w:cs="Arial" w:eastAsia="Arial" w:hAnsi="Arial"/>
                <w:sz w:val="14"/>
                <w:szCs w:val="14"/>
                <w:color w:val="auto"/>
              </w:rPr>
              <w:t>5.7</w:t>
            </w:r>
          </w:p>
        </w:tc>
        <w:tc>
          <w:tcPr>
            <w:tcW w:w="940" w:type="dxa"/>
            <w:vAlign w:val="bottom"/>
            <w:gridSpan w:val="2"/>
            <w:vMerge w:val="restart"/>
          </w:tcPr>
          <w:p>
            <w:pPr>
              <w:jc w:val="right"/>
              <w:spacing w:after="0"/>
              <w:rPr>
                <w:sz w:val="20"/>
                <w:szCs w:val="20"/>
                <w:color w:val="auto"/>
              </w:rPr>
            </w:pPr>
            <w:r>
              <w:rPr>
                <w:rFonts w:ascii="Arial" w:cs="Arial" w:eastAsia="Arial" w:hAnsi="Arial"/>
                <w:sz w:val="14"/>
                <w:szCs w:val="14"/>
                <w:color w:val="auto"/>
              </w:rPr>
              <w:t>(1,207)%</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vMerge w:val="restart"/>
          </w:tcPr>
          <w:p>
            <w:pPr>
              <w:jc w:val="right"/>
              <w:ind w:right="108"/>
              <w:spacing w:after="0"/>
              <w:rPr>
                <w:sz w:val="20"/>
                <w:szCs w:val="20"/>
                <w:color w:val="auto"/>
              </w:rPr>
            </w:pPr>
            <w:r>
              <w:rPr>
                <w:rFonts w:ascii="Arial" w:cs="Arial" w:eastAsia="Arial" w:hAnsi="Arial"/>
                <w:sz w:val="14"/>
                <w:szCs w:val="14"/>
                <w:color w:val="auto"/>
              </w:rPr>
              <w:t>677.1</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vMerge w:val="restart"/>
          </w:tcPr>
          <w:p>
            <w:pPr>
              <w:jc w:val="right"/>
              <w:ind w:right="108"/>
              <w:spacing w:after="0"/>
              <w:rPr>
                <w:sz w:val="20"/>
                <w:szCs w:val="20"/>
                <w:color w:val="auto"/>
              </w:rPr>
            </w:pPr>
            <w:r>
              <w:rPr>
                <w:rFonts w:ascii="Arial" w:cs="Arial" w:eastAsia="Arial" w:hAnsi="Arial"/>
                <w:sz w:val="14"/>
                <w:szCs w:val="14"/>
                <w:color w:val="auto"/>
              </w:rPr>
              <w:t>510.6</w:t>
            </w:r>
          </w:p>
        </w:tc>
        <w:tc>
          <w:tcPr>
            <w:tcW w:w="960" w:type="dxa"/>
            <w:vAlign w:val="bottom"/>
            <w:gridSpan w:val="2"/>
            <w:vMerge w:val="restart"/>
          </w:tcPr>
          <w:p>
            <w:pPr>
              <w:jc w:val="right"/>
              <w:spacing w:after="0"/>
              <w:rPr>
                <w:sz w:val="20"/>
                <w:szCs w:val="20"/>
                <w:color w:val="auto"/>
              </w:rPr>
            </w:pPr>
            <w:r>
              <w:rPr>
                <w:rFonts w:ascii="Arial" w:cs="Arial" w:eastAsia="Arial" w:hAnsi="Arial"/>
                <w:sz w:val="14"/>
                <w:szCs w:val="14"/>
                <w:color w:val="auto"/>
              </w:rPr>
              <w:t>33 %</w:t>
            </w: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income taxes</w:t>
            </w: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vMerge w:val="continue"/>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vMerge w:val="continue"/>
          </w:tcPr>
          <w:p>
            <w:pPr>
              <w:spacing w:after="0"/>
              <w:rPr>
                <w:sz w:val="16"/>
                <w:szCs w:val="16"/>
                <w:color w:val="auto"/>
              </w:rPr>
            </w:pPr>
          </w:p>
        </w:tc>
        <w:tc>
          <w:tcPr>
            <w:tcW w:w="96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8"/>
        </w:trPr>
        <w:tc>
          <w:tcPr>
            <w:tcW w:w="3260" w:type="dxa"/>
            <w:vAlign w:val="bottom"/>
            <w:shd w:val="clear" w:color="auto" w:fill="CCEEFF"/>
          </w:tcPr>
          <w:p>
            <w:pPr>
              <w:ind w:left="20"/>
              <w:spacing w:after="0" w:line="139" w:lineRule="exact"/>
              <w:rPr>
                <w:sz w:val="20"/>
                <w:szCs w:val="20"/>
                <w:color w:val="auto"/>
              </w:rPr>
            </w:pPr>
            <w:r>
              <w:rPr>
                <w:rFonts w:ascii="Arial" w:cs="Arial" w:eastAsia="Arial" w:hAnsi="Arial"/>
                <w:sz w:val="14"/>
                <w:szCs w:val="14"/>
                <w:color w:val="auto"/>
              </w:rPr>
              <w:t>Income tax expense (benefit) from continuing</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(14.4)</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1.5</w:t>
            </w: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159.8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123.7</w:t>
            </w: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operations</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3260" w:type="dxa"/>
            <w:vAlign w:val="bottom"/>
          </w:tcPr>
          <w:p>
            <w:pPr>
              <w:ind w:left="20"/>
              <w:spacing w:after="0"/>
              <w:rPr>
                <w:sz w:val="20"/>
                <w:szCs w:val="20"/>
                <w:color w:val="auto"/>
              </w:rPr>
            </w:pPr>
            <w:r>
              <w:rPr>
                <w:rFonts w:ascii="Arial" w:cs="Arial" w:eastAsia="Arial" w:hAnsi="Arial"/>
                <w:sz w:val="14"/>
                <w:szCs w:val="14"/>
                <w:color w:val="auto"/>
              </w:rPr>
              <w:t>Income (loss) from continuing operations</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(48.7)</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4.2</w:t>
            </w: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(1,260)%</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517.3</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386.9</w:t>
            </w: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34 %</w:t>
            </w:r>
          </w:p>
        </w:tc>
        <w:tc>
          <w:tcPr>
            <w:tcW w:w="0" w:type="dxa"/>
            <w:vAlign w:val="bottom"/>
          </w:tcPr>
          <w:p>
            <w:pPr>
              <w:spacing w:after="0"/>
              <w:rPr>
                <w:sz w:val="1"/>
                <w:szCs w:val="1"/>
                <w:color w:val="auto"/>
              </w:rPr>
            </w:pPr>
          </w:p>
        </w:tc>
      </w:tr>
      <w:tr>
        <w:trPr>
          <w:trHeight w:val="138"/>
        </w:trPr>
        <w:tc>
          <w:tcPr>
            <w:tcW w:w="3260" w:type="dxa"/>
            <w:vAlign w:val="bottom"/>
            <w:shd w:val="clear" w:color="auto" w:fill="CCEEFF"/>
          </w:tcPr>
          <w:p>
            <w:pPr>
              <w:ind w:left="20"/>
              <w:spacing w:after="0" w:line="139" w:lineRule="exact"/>
              <w:rPr>
                <w:sz w:val="20"/>
                <w:szCs w:val="20"/>
                <w:color w:val="auto"/>
              </w:rPr>
            </w:pPr>
            <w:r>
              <w:rPr>
                <w:rFonts w:ascii="Arial" w:cs="Arial" w:eastAsia="Arial" w:hAnsi="Arial"/>
                <w:sz w:val="14"/>
                <w:szCs w:val="14"/>
                <w:color w:val="auto"/>
              </w:rPr>
              <w:t>Income (loss) from discontinued operations, net of</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0.9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(3.9)</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8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1.7</w:t>
            </w: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89"/>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tax</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9"/>
        </w:trPr>
        <w:tc>
          <w:tcPr>
            <w:tcW w:w="326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Net income (loss)</w:t>
            </w:r>
          </w:p>
        </w:tc>
        <w:tc>
          <w:tcPr>
            <w:tcW w:w="76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(47.8)</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4.2</w:t>
            </w:r>
          </w:p>
        </w:tc>
        <w:tc>
          <w:tcPr>
            <w:tcW w:w="100" w:type="dxa"/>
            <w:vAlign w:val="bottom"/>
            <w:tcBorders>
              <w:bottom w:val="single" w:sz="8" w:color="CCEEFF"/>
            </w:tcBorders>
          </w:tcPr>
          <w:p>
            <w:pPr>
              <w:spacing w:after="0"/>
              <w:rPr>
                <w:sz w:val="15"/>
                <w:szCs w:val="15"/>
                <w:color w:val="auto"/>
              </w:rPr>
            </w:pPr>
          </w:p>
        </w:tc>
        <w:tc>
          <w:tcPr>
            <w:tcW w:w="84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513.4</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388.6</w:t>
            </w:r>
          </w:p>
        </w:tc>
        <w:tc>
          <w:tcPr>
            <w:tcW w:w="100" w:type="dxa"/>
            <w:vAlign w:val="bottom"/>
            <w:tcBorders>
              <w:bottom w:val="single" w:sz="8" w:color="CCEEFF"/>
            </w:tcBorders>
          </w:tcPr>
          <w:p>
            <w:pPr>
              <w:spacing w:after="0"/>
              <w:rPr>
                <w:sz w:val="15"/>
                <w:szCs w:val="15"/>
                <w:color w:val="auto"/>
              </w:rPr>
            </w:pPr>
          </w:p>
        </w:tc>
        <w:tc>
          <w:tcPr>
            <w:tcW w:w="86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income attributable to noncontrolling interest</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(0.3)</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(0.9)</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260" w:type="dxa"/>
            <w:vAlign w:val="bottom"/>
          </w:tcPr>
          <w:p>
            <w:pPr>
              <w:ind w:left="20"/>
              <w:spacing w:after="0"/>
              <w:rPr>
                <w:sz w:val="20"/>
                <w:szCs w:val="20"/>
                <w:color w:val="auto"/>
              </w:rPr>
            </w:pPr>
            <w:r>
              <w:rPr>
                <w:rFonts w:ascii="Arial" w:cs="Arial" w:eastAsia="Arial" w:hAnsi="Arial"/>
                <w:sz w:val="14"/>
                <w:szCs w:val="14"/>
                <w:color w:val="auto"/>
              </w:rPr>
              <w:t>Net income (loss) attributable to controlling interest</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(47.8)</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3.9</w:t>
            </w: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512.5</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387.4</w:t>
            </w: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2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2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6"/>
        </w:trPr>
        <w:tc>
          <w:tcPr>
            <w:tcW w:w="3260" w:type="dxa"/>
            <w:vAlign w:val="bottom"/>
          </w:tcPr>
          <w:p>
            <w:pPr>
              <w:ind w:left="20"/>
              <w:spacing w:after="0"/>
              <w:rPr>
                <w:sz w:val="20"/>
                <w:szCs w:val="20"/>
                <w:color w:val="auto"/>
              </w:rPr>
            </w:pPr>
            <w:r>
              <w:rPr>
                <w:rFonts w:ascii="Arial" w:cs="Arial" w:eastAsia="Arial" w:hAnsi="Arial"/>
                <w:sz w:val="14"/>
                <w:szCs w:val="14"/>
                <w:color w:val="auto"/>
              </w:rPr>
              <w:t>Basic income (loss) per common share:</w:t>
            </w:r>
          </w:p>
        </w:tc>
        <w:tc>
          <w:tcPr>
            <w:tcW w:w="760" w:type="dxa"/>
            <w:vAlign w:val="bottom"/>
          </w:tcPr>
          <w:p>
            <w:pPr>
              <w:jc w:val="right"/>
              <w:spacing w:after="0"/>
              <w:rPr>
                <w:sz w:val="20"/>
                <w:szCs w:val="20"/>
                <w:color w:val="auto"/>
              </w:rPr>
            </w:pPr>
            <w:r>
              <w:rPr>
                <w:rFonts w:ascii="Arial" w:cs="Arial" w:eastAsia="Arial" w:hAnsi="Arial"/>
                <w:sz w:val="14"/>
                <w:szCs w:val="14"/>
                <w:color w:val="auto"/>
              </w:rPr>
              <w:t>(1)</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Income (loss) from continuing operations</w:t>
            </w: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(0.87)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0.07</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(1,343)%</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9.27</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rPr>
              <w:t>6.92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34 %</w:t>
            </w:r>
          </w:p>
        </w:tc>
        <w:tc>
          <w:tcPr>
            <w:tcW w:w="0" w:type="dxa"/>
            <w:vAlign w:val="bottom"/>
          </w:tcPr>
          <w:p>
            <w:pPr>
              <w:spacing w:after="0"/>
              <w:rPr>
                <w:sz w:val="1"/>
                <w:szCs w:val="1"/>
                <w:color w:val="auto"/>
              </w:rPr>
            </w:pPr>
          </w:p>
        </w:tc>
      </w:tr>
      <w:tr>
        <w:trPr>
          <w:trHeight w:val="186"/>
        </w:trPr>
        <w:tc>
          <w:tcPr>
            <w:tcW w:w="3260" w:type="dxa"/>
            <w:vAlign w:val="bottom"/>
            <w:tcBorders>
              <w:bottom w:val="single" w:sz="8" w:color="CCEEFF"/>
            </w:tcBorders>
          </w:tcPr>
          <w:p>
            <w:pPr>
              <w:ind w:left="220"/>
              <w:spacing w:after="0"/>
              <w:rPr>
                <w:sz w:val="20"/>
                <w:szCs w:val="20"/>
                <w:color w:val="auto"/>
              </w:rPr>
            </w:pPr>
            <w:r>
              <w:rPr>
                <w:rFonts w:ascii="Arial" w:cs="Arial" w:eastAsia="Arial" w:hAnsi="Arial"/>
                <w:sz w:val="14"/>
                <w:szCs w:val="14"/>
                <w:color w:val="auto"/>
              </w:rPr>
              <w:t>Income (loss) from discontinued operations</w:t>
            </w:r>
          </w:p>
        </w:tc>
        <w:tc>
          <w:tcPr>
            <w:tcW w:w="7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0.01</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16"/>
                <w:szCs w:val="16"/>
                <w:color w:val="auto"/>
              </w:rPr>
            </w:pPr>
          </w:p>
        </w:tc>
        <w:tc>
          <w:tcPr>
            <w:tcW w:w="84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(0.07)</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0.04</w:t>
            </w:r>
          </w:p>
        </w:tc>
        <w:tc>
          <w:tcPr>
            <w:tcW w:w="100" w:type="dxa"/>
            <w:vAlign w:val="bottom"/>
            <w:tcBorders>
              <w:bottom w:val="single" w:sz="8" w:color="CCEEFF"/>
            </w:tcBorders>
          </w:tcPr>
          <w:p>
            <w:pPr>
              <w:spacing w:after="0"/>
              <w:rPr>
                <w:sz w:val="16"/>
                <w:szCs w:val="16"/>
                <w:color w:val="auto"/>
              </w:rPr>
            </w:pPr>
          </w:p>
        </w:tc>
        <w:tc>
          <w:tcPr>
            <w:tcW w:w="860" w:type="dxa"/>
            <w:vAlign w:val="bottom"/>
            <w:tcBorders>
              <w:bottom w:val="single" w:sz="8" w:color="CCEEFF"/>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32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Net income (loss)</w:t>
            </w:r>
          </w:p>
        </w:tc>
        <w:tc>
          <w:tcPr>
            <w:tcW w:w="7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(0.86)</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0.07</w:t>
            </w:r>
          </w:p>
        </w:tc>
        <w:tc>
          <w:tcPr>
            <w:tcW w:w="100" w:type="dxa"/>
            <w:vAlign w:val="bottom"/>
            <w:tcBorders>
              <w:bottom w:val="single" w:sz="8" w:color="CCEEFF"/>
            </w:tcBorders>
            <w:shd w:val="clear" w:color="auto" w:fill="CCEEFF"/>
          </w:tcPr>
          <w:p>
            <w:pPr>
              <w:spacing w:after="0"/>
              <w:rPr>
                <w:sz w:val="17"/>
                <w:szCs w:val="17"/>
                <w:color w:val="auto"/>
              </w:rPr>
            </w:pPr>
          </w:p>
        </w:tc>
        <w:tc>
          <w:tcPr>
            <w:tcW w:w="8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9.20</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6.96</w:t>
            </w:r>
          </w:p>
        </w:tc>
        <w:tc>
          <w:tcPr>
            <w:tcW w:w="100" w:type="dxa"/>
            <w:vAlign w:val="bottom"/>
            <w:tcBorders>
              <w:bottom w:val="single" w:sz="8" w:color="CCEEFF"/>
            </w:tcBorders>
            <w:shd w:val="clear" w:color="auto" w:fill="CCEEFF"/>
          </w:tcPr>
          <w:p>
            <w:pPr>
              <w:spacing w:after="0"/>
              <w:rPr>
                <w:sz w:val="17"/>
                <w:szCs w:val="17"/>
                <w:color w:val="auto"/>
              </w:rPr>
            </w:pPr>
          </w:p>
        </w:tc>
        <w:tc>
          <w:tcPr>
            <w:tcW w:w="86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26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2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9"/>
        </w:trPr>
        <w:tc>
          <w:tcPr>
            <w:tcW w:w="3260" w:type="dxa"/>
            <w:vAlign w:val="bottom"/>
            <w:shd w:val="clear" w:color="auto" w:fill="CCEEFF"/>
          </w:tcPr>
          <w:p>
            <w:pPr>
              <w:ind w:left="20"/>
              <w:spacing w:after="0"/>
              <w:rPr>
                <w:sz w:val="20"/>
                <w:szCs w:val="20"/>
                <w:color w:val="auto"/>
              </w:rPr>
            </w:pPr>
            <w:r>
              <w:rPr>
                <w:rFonts w:ascii="Arial" w:cs="Arial" w:eastAsia="Arial" w:hAnsi="Arial"/>
                <w:sz w:val="14"/>
                <w:szCs w:val="14"/>
                <w:color w:val="auto"/>
              </w:rPr>
              <w:t>Diluted income (loss) per common share:</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6"/>
        </w:trPr>
        <w:tc>
          <w:tcPr>
            <w:tcW w:w="3260" w:type="dxa"/>
            <w:vAlign w:val="bottom"/>
          </w:tcPr>
          <w:p>
            <w:pPr>
              <w:ind w:left="220"/>
              <w:spacing w:after="0"/>
              <w:rPr>
                <w:sz w:val="20"/>
                <w:szCs w:val="20"/>
                <w:color w:val="auto"/>
              </w:rPr>
            </w:pPr>
            <w:r>
              <w:rPr>
                <w:rFonts w:ascii="Arial" w:cs="Arial" w:eastAsia="Arial" w:hAnsi="Arial"/>
                <w:sz w:val="14"/>
                <w:szCs w:val="14"/>
                <w:color w:val="auto"/>
              </w:rPr>
              <w:t>Income (loss) from continuing operations</w:t>
            </w:r>
          </w:p>
        </w:tc>
        <w:tc>
          <w:tcPr>
            <w:tcW w:w="100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88"/>
              <w:spacing w:after="0"/>
              <w:rPr>
                <w:sz w:val="20"/>
                <w:szCs w:val="20"/>
                <w:color w:val="auto"/>
              </w:rPr>
            </w:pPr>
            <w:r>
              <w:rPr>
                <w:rFonts w:ascii="Arial" w:cs="Arial" w:eastAsia="Arial" w:hAnsi="Arial"/>
                <w:sz w:val="14"/>
                <w:szCs w:val="14"/>
                <w:color w:val="auto"/>
              </w:rPr>
              <w:t>(0.87)</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100" w:type="dxa"/>
            <w:vAlign w:val="bottom"/>
          </w:tcPr>
          <w:p>
            <w:pPr>
              <w:jc w:val="right"/>
              <w:ind w:right="128"/>
              <w:spacing w:after="0"/>
              <w:rPr>
                <w:sz w:val="20"/>
                <w:szCs w:val="20"/>
                <w:color w:val="auto"/>
              </w:rPr>
            </w:pPr>
            <w:r>
              <w:rPr>
                <w:rFonts w:ascii="Arial" w:cs="Arial" w:eastAsia="Arial" w:hAnsi="Arial"/>
                <w:sz w:val="14"/>
                <w:szCs w:val="14"/>
                <w:color w:val="auto"/>
              </w:rPr>
              <w:t>0.07</w:t>
            </w:r>
          </w:p>
        </w:tc>
        <w:tc>
          <w:tcPr>
            <w:tcW w:w="940" w:type="dxa"/>
            <w:vAlign w:val="bottom"/>
            <w:gridSpan w:val="2"/>
          </w:tcPr>
          <w:p>
            <w:pPr>
              <w:jc w:val="right"/>
              <w:spacing w:after="0"/>
              <w:rPr>
                <w:sz w:val="20"/>
                <w:szCs w:val="20"/>
                <w:color w:val="auto"/>
              </w:rPr>
            </w:pPr>
            <w:r>
              <w:rPr>
                <w:rFonts w:ascii="Arial" w:cs="Arial" w:eastAsia="Arial" w:hAnsi="Arial"/>
                <w:sz w:val="14"/>
                <w:szCs w:val="14"/>
                <w:color w:val="auto"/>
              </w:rPr>
              <w:t>(1,343)%</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9.03</w:t>
            </w:r>
          </w:p>
        </w:tc>
        <w:tc>
          <w:tcPr>
            <w:tcW w:w="10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ind w:right="108"/>
              <w:spacing w:after="0"/>
              <w:rPr>
                <w:sz w:val="20"/>
                <w:szCs w:val="20"/>
                <w:color w:val="auto"/>
              </w:rPr>
            </w:pPr>
            <w:r>
              <w:rPr>
                <w:rFonts w:ascii="Arial" w:cs="Arial" w:eastAsia="Arial" w:hAnsi="Arial"/>
                <w:sz w:val="14"/>
                <w:szCs w:val="14"/>
                <w:color w:val="auto"/>
              </w:rPr>
              <w:t>6.78</w:t>
            </w:r>
          </w:p>
        </w:tc>
        <w:tc>
          <w:tcPr>
            <w:tcW w:w="960" w:type="dxa"/>
            <w:vAlign w:val="bottom"/>
            <w:gridSpan w:val="2"/>
          </w:tcPr>
          <w:p>
            <w:pPr>
              <w:jc w:val="right"/>
              <w:spacing w:after="0"/>
              <w:rPr>
                <w:sz w:val="20"/>
                <w:szCs w:val="20"/>
                <w:color w:val="auto"/>
              </w:rPr>
            </w:pPr>
            <w:r>
              <w:rPr>
                <w:rFonts w:ascii="Arial" w:cs="Arial" w:eastAsia="Arial" w:hAnsi="Arial"/>
                <w:sz w:val="14"/>
                <w:szCs w:val="14"/>
                <w:color w:val="auto"/>
              </w:rPr>
              <w:t>33 %</w:t>
            </w:r>
          </w:p>
        </w:tc>
        <w:tc>
          <w:tcPr>
            <w:tcW w:w="0" w:type="dxa"/>
            <w:vAlign w:val="bottom"/>
          </w:tcPr>
          <w:p>
            <w:pPr>
              <w:spacing w:after="0"/>
              <w:rPr>
                <w:sz w:val="1"/>
                <w:szCs w:val="1"/>
                <w:color w:val="auto"/>
              </w:rPr>
            </w:pPr>
          </w:p>
        </w:tc>
      </w:tr>
      <w:tr>
        <w:trPr>
          <w:trHeight w:val="192"/>
        </w:trPr>
        <w:tc>
          <w:tcPr>
            <w:tcW w:w="3260" w:type="dxa"/>
            <w:vAlign w:val="bottom"/>
            <w:shd w:val="clear" w:color="auto" w:fill="CCEEFF"/>
          </w:tcPr>
          <w:p>
            <w:pPr>
              <w:ind w:left="220"/>
              <w:spacing w:after="0"/>
              <w:rPr>
                <w:sz w:val="20"/>
                <w:szCs w:val="20"/>
                <w:color w:val="auto"/>
              </w:rPr>
            </w:pPr>
            <w:r>
              <w:rPr>
                <w:rFonts w:ascii="Arial" w:cs="Arial" w:eastAsia="Arial" w:hAnsi="Arial"/>
                <w:sz w:val="14"/>
                <w:szCs w:val="14"/>
                <w:color w:val="auto"/>
              </w:rPr>
              <w:t>Income (loss) from discontinued operations</w:t>
            </w: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0.01</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(0.07)</w:t>
            </w:r>
          </w:p>
        </w:tc>
        <w:tc>
          <w:tcPr>
            <w:tcW w:w="100" w:type="dxa"/>
            <w:vAlign w:val="bottom"/>
            <w:shd w:val="clear" w:color="auto" w:fill="CCEEFF"/>
          </w:tcPr>
          <w:p>
            <w:pPr>
              <w:spacing w:after="0"/>
              <w:rPr>
                <w:sz w:val="16"/>
                <w:szCs w:val="16"/>
                <w:color w:val="auto"/>
              </w:rPr>
            </w:pPr>
          </w:p>
        </w:tc>
        <w:tc>
          <w:tcPr>
            <w:tcW w:w="140" w:type="dxa"/>
            <w:vAlign w:val="bottom"/>
            <w:tcBorders>
              <w:bottom w:val="single" w:sz="8" w:color="auto"/>
            </w:tcBorders>
            <w:shd w:val="clear" w:color="auto" w:fill="CCEEFF"/>
          </w:tcPr>
          <w:p>
            <w:pPr>
              <w:spacing w:after="0"/>
              <w:rPr>
                <w:sz w:val="16"/>
                <w:szCs w:val="16"/>
                <w:color w:val="auto"/>
              </w:rPr>
            </w:pPr>
          </w:p>
        </w:tc>
        <w:tc>
          <w:tcPr>
            <w:tcW w:w="108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0.03</w:t>
            </w:r>
          </w:p>
        </w:tc>
        <w:tc>
          <w:tcPr>
            <w:tcW w:w="10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3260" w:type="dxa"/>
            <w:vAlign w:val="bottom"/>
          </w:tcPr>
          <w:p>
            <w:pPr>
              <w:ind w:left="20"/>
              <w:spacing w:after="0"/>
              <w:rPr>
                <w:sz w:val="20"/>
                <w:szCs w:val="20"/>
                <w:color w:val="auto"/>
              </w:rPr>
            </w:pPr>
            <w:r>
              <w:rPr>
                <w:rFonts w:ascii="Arial" w:cs="Arial" w:eastAsia="Arial" w:hAnsi="Arial"/>
                <w:sz w:val="14"/>
                <w:szCs w:val="14"/>
                <w:color w:val="auto"/>
              </w:rPr>
              <w:t>Net income (loss)</w:t>
            </w: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(0.86)</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0.07</w:t>
            </w: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8.96</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6.81</w:t>
            </w: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2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8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326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sectPr>
          <w:pgSz w:w="11900" w:h="16838" w:orient="portrait"/>
          <w:cols w:equalWidth="0" w:num="1">
            <w:col w:w="11240"/>
          </w:cols>
          <w:pgMar w:left="320" w:top="117" w:right="339" w:bottom="1440" w:gutter="0" w:footer="0" w:header="0"/>
        </w:sectPr>
      </w:pPr>
    </w:p>
    <w:p>
      <w:pPr>
        <w:ind w:left="20" w:right="280"/>
        <w:spacing w:after="0" w:line="232" w:lineRule="auto"/>
        <w:rPr>
          <w:sz w:val="20"/>
          <w:szCs w:val="20"/>
          <w:color w:val="auto"/>
        </w:rPr>
      </w:pPr>
      <w:r>
        <w:rPr>
          <w:rFonts w:ascii="Arial" w:cs="Arial" w:eastAsia="Arial" w:hAnsi="Arial"/>
          <w:sz w:val="14"/>
          <w:szCs w:val="14"/>
          <w:color w:val="auto"/>
        </w:rPr>
        <w:t>Common shares used in basic income (loss) per share calculation</w:t>
      </w:r>
    </w:p>
    <w:p>
      <w:pPr>
        <w:spacing w:after="0" w:line="8" w:lineRule="exact"/>
        <w:rPr>
          <w:sz w:val="20"/>
          <w:szCs w:val="20"/>
          <w:color w:val="auto"/>
        </w:rPr>
      </w:pPr>
    </w:p>
    <w:p>
      <w:pPr>
        <w:ind w:left="20" w:right="280"/>
        <w:spacing w:after="0" w:line="269" w:lineRule="auto"/>
        <w:rPr>
          <w:sz w:val="20"/>
          <w:szCs w:val="20"/>
          <w:color w:val="auto"/>
        </w:rPr>
      </w:pPr>
      <w:r>
        <w:rPr>
          <w:rFonts w:ascii="Arial" w:cs="Arial" w:eastAsia="Arial" w:hAnsi="Arial"/>
          <w:sz w:val="13"/>
          <w:szCs w:val="13"/>
          <w:color w:val="auto"/>
        </w:rPr>
        <w:t>Common shares and potential common shares used in diluted income (loss) per share calculation</w:t>
      </w:r>
    </w:p>
    <w:p>
      <w:pPr>
        <w:spacing w:after="0" w:line="20" w:lineRule="exact"/>
        <w:rPr>
          <w:sz w:val="20"/>
          <w:szCs w:val="20"/>
          <w:color w:val="auto"/>
        </w:rPr>
      </w:pPr>
      <w:r>
        <w:rPr>
          <w:sz w:val="20"/>
          <w:szCs w:val="20"/>
          <w:color w:val="auto"/>
        </w:rPr>
        <w:br w:type="column"/>
      </w:r>
    </w:p>
    <w:p>
      <w:pPr>
        <w:spacing w:after="0" w:line="8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4"/>
        </w:trPr>
        <w:tc>
          <w:tcPr>
            <w:tcW w:w="12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6"/>
                <w:szCs w:val="16"/>
                <w:color w:val="auto"/>
              </w:rPr>
            </w:pPr>
          </w:p>
        </w:tc>
        <w:tc>
          <w:tcPr>
            <w:tcW w:w="12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55.8</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 %</w:t>
            </w: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16"/>
                <w:szCs w:val="16"/>
                <w:color w:val="auto"/>
              </w:rPr>
            </w:pP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55.7</w:t>
            </w:r>
          </w:p>
        </w:tc>
        <w:tc>
          <w:tcPr>
            <w:tcW w:w="940" w:type="dxa"/>
            <w:vAlign w:val="bottom"/>
          </w:tcPr>
          <w:p>
            <w:pPr>
              <w:jc w:val="right"/>
              <w:spacing w:after="0"/>
              <w:rPr>
                <w:sz w:val="20"/>
                <w:szCs w:val="20"/>
                <w:color w:val="auto"/>
              </w:rPr>
            </w:pPr>
            <w:r>
              <w:rPr>
                <w:rFonts w:ascii="Arial" w:cs="Arial" w:eastAsia="Arial" w:hAnsi="Arial"/>
                <w:sz w:val="14"/>
                <w:szCs w:val="14"/>
                <w:color w:val="auto"/>
              </w:rPr>
              <w:t>— %</w:t>
            </w:r>
          </w:p>
        </w:tc>
      </w:tr>
      <w:tr>
        <w:trPr>
          <w:trHeight w:val="20"/>
        </w:trPr>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r>
        <w:trPr>
          <w:trHeight w:val="263"/>
        </w:trPr>
        <w:tc>
          <w:tcPr>
            <w:tcW w:w="12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55.7</w:t>
            </w:r>
          </w:p>
        </w:tc>
        <w:tc>
          <w:tcPr>
            <w:tcW w:w="100" w:type="dxa"/>
            <w:vAlign w:val="bottom"/>
          </w:tcPr>
          <w:p>
            <w:pPr>
              <w:spacing w:after="0"/>
              <w:rPr>
                <w:sz w:val="22"/>
                <w:szCs w:val="22"/>
                <w:color w:val="auto"/>
              </w:rPr>
            </w:pPr>
          </w:p>
        </w:tc>
        <w:tc>
          <w:tcPr>
            <w:tcW w:w="124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57.6</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57.2</w:t>
            </w:r>
          </w:p>
        </w:tc>
        <w:tc>
          <w:tcPr>
            <w:tcW w:w="100" w:type="dxa"/>
            <w:vAlign w:val="bottom"/>
          </w:tcPr>
          <w:p>
            <w:pPr>
              <w:spacing w:after="0"/>
              <w:rPr>
                <w:sz w:val="22"/>
                <w:szCs w:val="22"/>
                <w:color w:val="auto"/>
              </w:rPr>
            </w:pP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56.9</w:t>
            </w:r>
          </w:p>
        </w:tc>
        <w:tc>
          <w:tcPr>
            <w:tcW w:w="940" w:type="dxa"/>
            <w:vAlign w:val="bottom"/>
          </w:tcPr>
          <w:p>
            <w:pPr>
              <w:jc w:val="right"/>
              <w:spacing w:after="0"/>
              <w:rPr>
                <w:sz w:val="20"/>
                <w:szCs w:val="20"/>
                <w:color w:val="auto"/>
              </w:rPr>
            </w:pPr>
            <w:r>
              <w:rPr>
                <w:rFonts w:ascii="Arial" w:cs="Arial" w:eastAsia="Arial" w:hAnsi="Arial"/>
                <w:sz w:val="14"/>
                <w:szCs w:val="14"/>
                <w:color w:val="auto"/>
              </w:rPr>
              <w:t>1 %</w:t>
            </w:r>
          </w:p>
        </w:tc>
      </w:tr>
      <w:tr>
        <w:trPr>
          <w:trHeight w:val="20"/>
        </w:trPr>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-2610485</wp:posOffset>
            </wp:positionH>
            <wp:positionV relativeFrom="paragraph">
              <wp:posOffset>-222250</wp:posOffset>
            </wp:positionV>
            <wp:extent cx="7132320" cy="2057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205740"/>
                    </a:xfrm>
                    <a:prstGeom prst="rect">
                      <a:avLst/>
                    </a:prstGeom>
                    <a:noFill/>
                  </pic:spPr>
                </pic:pic>
              </a:graphicData>
            </a:graphic>
          </wp:anchor>
        </w:drawing>
      </w:r>
    </w:p>
    <w:p>
      <w:pPr>
        <w:spacing w:after="0" w:line="189" w:lineRule="exact"/>
        <w:rPr>
          <w:sz w:val="20"/>
          <w:szCs w:val="20"/>
          <w:color w:val="auto"/>
        </w:rPr>
      </w:pPr>
    </w:p>
    <w:p>
      <w:pPr>
        <w:sectPr>
          <w:pgSz w:w="11900" w:h="16838" w:orient="portrait"/>
          <w:cols w:equalWidth="0" w:num="2">
            <w:col w:w="3400" w:space="720"/>
            <w:col w:w="7120"/>
          </w:cols>
          <w:pgMar w:left="320" w:top="117" w:right="339" w:bottom="1440" w:gutter="0" w:footer="0" w:header="0"/>
          <w:type w:val="continuous"/>
        </w:sectPr>
      </w:pPr>
    </w:p>
    <w:tbl>
      <w:tblPr>
        <w:tblLayout w:type="fixed"/>
        <w:tblInd w:w="0" w:type="dxa"/>
        <w:tblCellMar>
          <w:top w:w="0" w:type="dxa"/>
          <w:left w:w="0" w:type="dxa"/>
          <w:bottom w:w="0" w:type="dxa"/>
          <w:right w:w="0" w:type="dxa"/>
        </w:tblCellMar>
      </w:tblPr>
      <w:tr>
        <w:trPr>
          <w:trHeight w:val="189"/>
        </w:trPr>
        <w:tc>
          <w:tcPr>
            <w:tcW w:w="3360" w:type="dxa"/>
            <w:vAlign w:val="bottom"/>
            <w:shd w:val="clear" w:color="auto" w:fill="CCEEFF"/>
          </w:tcPr>
          <w:p>
            <w:pPr>
              <w:ind w:left="20"/>
              <w:spacing w:after="0"/>
              <w:rPr>
                <w:sz w:val="20"/>
                <w:szCs w:val="20"/>
                <w:color w:val="auto"/>
              </w:rPr>
            </w:pPr>
            <w:r>
              <w:rPr>
                <w:rFonts w:ascii="Arial" w:cs="Arial" w:eastAsia="Arial" w:hAnsi="Arial"/>
                <w:sz w:val="14"/>
                <w:szCs w:val="14"/>
                <w:color w:val="auto"/>
              </w:rPr>
              <w:t>Non-GAAP results:</w:t>
            </w:r>
          </w:p>
        </w:tc>
        <w:tc>
          <w:tcPr>
            <w:tcW w:w="7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80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360" w:type="dxa"/>
            <w:vAlign w:val="bottom"/>
          </w:tcPr>
          <w:p>
            <w:pPr>
              <w:ind w:left="20"/>
              <w:spacing w:after="0" w:line="135" w:lineRule="exact"/>
              <w:rPr>
                <w:sz w:val="20"/>
                <w:szCs w:val="20"/>
                <w:color w:val="auto"/>
              </w:rPr>
            </w:pPr>
            <w:r>
              <w:rPr>
                <w:rFonts w:ascii="Arial" w:cs="Arial" w:eastAsia="Arial" w:hAnsi="Arial"/>
                <w:sz w:val="14"/>
                <w:szCs w:val="14"/>
                <w:color w:val="auto"/>
              </w:rPr>
              <w:t>Adjusted net income (loss) attributable to controlling</w:t>
            </w:r>
          </w:p>
        </w:tc>
        <w:tc>
          <w:tcPr>
            <w:tcW w:w="760" w:type="dxa"/>
            <w:vAlign w:val="bottom"/>
            <w:vMerge w:val="restart"/>
          </w:tcPr>
          <w:p>
            <w:pPr>
              <w:jc w:val="right"/>
              <w:ind w:right="48"/>
              <w:spacing w:after="0"/>
              <w:rPr>
                <w:sz w:val="20"/>
                <w:szCs w:val="20"/>
                <w:color w:val="auto"/>
              </w:rPr>
            </w:pPr>
            <w:r>
              <w:rPr>
                <w:rFonts w:ascii="Arial" w:cs="Arial" w:eastAsia="Arial" w:hAnsi="Arial"/>
                <w:sz w:val="14"/>
                <w:szCs w:val="14"/>
                <w:color w:val="auto"/>
              </w:rPr>
              <w:t>(3)</w:t>
            </w:r>
          </w:p>
        </w:tc>
        <w:tc>
          <w:tcPr>
            <w:tcW w:w="420" w:type="dxa"/>
            <w:vAlign w:val="bottom"/>
            <w:vMerge w:val="restart"/>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88"/>
              <w:spacing w:after="0"/>
              <w:rPr>
                <w:sz w:val="20"/>
                <w:szCs w:val="20"/>
                <w:color w:val="auto"/>
              </w:rPr>
            </w:pPr>
            <w:r>
              <w:rPr>
                <w:rFonts w:ascii="Arial" w:cs="Arial" w:eastAsia="Arial" w:hAnsi="Arial"/>
                <w:sz w:val="14"/>
                <w:szCs w:val="14"/>
                <w:color w:val="auto"/>
              </w:rPr>
              <w:t>(45.5)</w:t>
            </w:r>
          </w:p>
        </w:tc>
        <w:tc>
          <w:tcPr>
            <w:tcW w:w="100" w:type="dxa"/>
            <w:vAlign w:val="bottom"/>
          </w:tcPr>
          <w:p>
            <w:pPr>
              <w:spacing w:after="0"/>
              <w:rPr>
                <w:sz w:val="11"/>
                <w:szCs w:val="11"/>
                <w:color w:val="auto"/>
              </w:rPr>
            </w:pPr>
          </w:p>
        </w:tc>
        <w:tc>
          <w:tcPr>
            <w:tcW w:w="440" w:type="dxa"/>
            <w:vAlign w:val="bottom"/>
            <w:vMerge w:val="restart"/>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vMerge w:val="restart"/>
          </w:tcPr>
          <w:p>
            <w:pPr>
              <w:jc w:val="right"/>
              <w:ind w:right="128"/>
              <w:spacing w:after="0"/>
              <w:rPr>
                <w:sz w:val="20"/>
                <w:szCs w:val="20"/>
                <w:color w:val="auto"/>
              </w:rPr>
            </w:pPr>
            <w:r>
              <w:rPr>
                <w:rFonts w:ascii="Arial" w:cs="Arial" w:eastAsia="Arial" w:hAnsi="Arial"/>
                <w:sz w:val="14"/>
                <w:szCs w:val="14"/>
                <w:color w:val="auto"/>
              </w:rPr>
              <w:t>3.5</w:t>
            </w:r>
          </w:p>
        </w:tc>
        <w:tc>
          <w:tcPr>
            <w:tcW w:w="1040" w:type="dxa"/>
            <w:vAlign w:val="bottom"/>
            <w:vMerge w:val="restart"/>
          </w:tcPr>
          <w:p>
            <w:pPr>
              <w:jc w:val="right"/>
              <w:ind w:right="48"/>
              <w:spacing w:after="0"/>
              <w:rPr>
                <w:sz w:val="20"/>
                <w:szCs w:val="20"/>
                <w:color w:val="auto"/>
              </w:rPr>
            </w:pPr>
            <w:r>
              <w:rPr>
                <w:rFonts w:ascii="Arial" w:cs="Arial" w:eastAsia="Arial" w:hAnsi="Arial"/>
                <w:sz w:val="14"/>
                <w:szCs w:val="14"/>
                <w:color w:val="auto"/>
              </w:rPr>
              <w:t>(1,400)%</w:t>
            </w:r>
          </w:p>
        </w:tc>
        <w:tc>
          <w:tcPr>
            <w:tcW w:w="400" w:type="dxa"/>
            <w:vAlign w:val="bottom"/>
            <w:vMerge w:val="restart"/>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108"/>
              <w:spacing w:after="0"/>
              <w:rPr>
                <w:sz w:val="20"/>
                <w:szCs w:val="20"/>
                <w:color w:val="auto"/>
              </w:rPr>
            </w:pPr>
            <w:r>
              <w:rPr>
                <w:rFonts w:ascii="Arial" w:cs="Arial" w:eastAsia="Arial" w:hAnsi="Arial"/>
                <w:sz w:val="14"/>
                <w:szCs w:val="14"/>
                <w:color w:val="auto"/>
              </w:rPr>
              <w:t>527.7</w:t>
            </w:r>
          </w:p>
        </w:tc>
        <w:tc>
          <w:tcPr>
            <w:tcW w:w="100" w:type="dxa"/>
            <w:vAlign w:val="bottom"/>
          </w:tcPr>
          <w:p>
            <w:pPr>
              <w:spacing w:after="0"/>
              <w:rPr>
                <w:sz w:val="11"/>
                <w:szCs w:val="11"/>
                <w:color w:val="auto"/>
              </w:rPr>
            </w:pPr>
          </w:p>
        </w:tc>
        <w:tc>
          <w:tcPr>
            <w:tcW w:w="400" w:type="dxa"/>
            <w:vAlign w:val="bottom"/>
            <w:vMerge w:val="restart"/>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vMerge w:val="restart"/>
          </w:tcPr>
          <w:p>
            <w:pPr>
              <w:jc w:val="right"/>
              <w:ind w:right="108"/>
              <w:spacing w:after="0"/>
              <w:rPr>
                <w:sz w:val="20"/>
                <w:szCs w:val="20"/>
                <w:color w:val="auto"/>
              </w:rPr>
            </w:pPr>
            <w:r>
              <w:rPr>
                <w:rFonts w:ascii="Arial" w:cs="Arial" w:eastAsia="Arial" w:hAnsi="Arial"/>
                <w:sz w:val="14"/>
                <w:szCs w:val="14"/>
                <w:color w:val="auto"/>
              </w:rPr>
              <w:t>411.7</w:t>
            </w:r>
          </w:p>
        </w:tc>
        <w:tc>
          <w:tcPr>
            <w:tcW w:w="960" w:type="dxa"/>
            <w:vAlign w:val="bottom"/>
            <w:vMerge w:val="restart"/>
          </w:tcPr>
          <w:p>
            <w:pPr>
              <w:jc w:val="right"/>
              <w:spacing w:after="0"/>
              <w:rPr>
                <w:sz w:val="20"/>
                <w:szCs w:val="20"/>
                <w:color w:val="auto"/>
              </w:rPr>
            </w:pPr>
            <w:r>
              <w:rPr>
                <w:rFonts w:ascii="Arial" w:cs="Arial" w:eastAsia="Arial" w:hAnsi="Arial"/>
                <w:sz w:val="14"/>
                <w:szCs w:val="14"/>
                <w:color w:val="auto"/>
              </w:rPr>
              <w:t>28 %</w:t>
            </w:r>
          </w:p>
        </w:tc>
        <w:tc>
          <w:tcPr>
            <w:tcW w:w="0" w:type="dxa"/>
            <w:vAlign w:val="bottom"/>
          </w:tcPr>
          <w:p>
            <w:pPr>
              <w:spacing w:after="0"/>
              <w:rPr>
                <w:sz w:val="1"/>
                <w:szCs w:val="1"/>
                <w:color w:val="auto"/>
              </w:rPr>
            </w:pPr>
          </w:p>
        </w:tc>
      </w:tr>
      <w:tr>
        <w:trPr>
          <w:trHeight w:val="167"/>
        </w:trPr>
        <w:tc>
          <w:tcPr>
            <w:tcW w:w="3360" w:type="dxa"/>
            <w:vAlign w:val="bottom"/>
          </w:tcPr>
          <w:p>
            <w:pPr>
              <w:ind w:left="20"/>
              <w:spacing w:after="0"/>
              <w:rPr>
                <w:sz w:val="20"/>
                <w:szCs w:val="20"/>
                <w:color w:val="auto"/>
              </w:rPr>
            </w:pPr>
            <w:r>
              <w:rPr>
                <w:rFonts w:ascii="Arial" w:cs="Arial" w:eastAsia="Arial" w:hAnsi="Arial"/>
                <w:sz w:val="14"/>
                <w:szCs w:val="14"/>
                <w:color w:val="auto"/>
              </w:rPr>
              <w:t>interest from continuing operations</w:t>
            </w:r>
          </w:p>
        </w:tc>
        <w:tc>
          <w:tcPr>
            <w:tcW w:w="760" w:type="dxa"/>
            <w:vAlign w:val="bottom"/>
            <w:vMerge w:val="continue"/>
          </w:tcPr>
          <w:p>
            <w:pPr>
              <w:spacing w:after="0"/>
              <w:rPr>
                <w:sz w:val="14"/>
                <w:szCs w:val="14"/>
                <w:color w:val="auto"/>
              </w:rPr>
            </w:pPr>
          </w:p>
        </w:tc>
        <w:tc>
          <w:tcPr>
            <w:tcW w:w="420" w:type="dxa"/>
            <w:vAlign w:val="bottom"/>
            <w:tcBorders>
              <w:bottom w:val="single" w:sz="8" w:color="auto"/>
            </w:tcBorders>
            <w:vMerge w:val="continue"/>
          </w:tcPr>
          <w:p>
            <w:pPr>
              <w:spacing w:after="0"/>
              <w:rPr>
                <w:sz w:val="14"/>
                <w:szCs w:val="14"/>
                <w:color w:val="auto"/>
              </w:rPr>
            </w:pPr>
          </w:p>
        </w:tc>
        <w:tc>
          <w:tcPr>
            <w:tcW w:w="82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Borders>
              <w:bottom w:val="single" w:sz="8" w:color="auto"/>
            </w:tcBorders>
            <w:vMerge w:val="continue"/>
          </w:tcPr>
          <w:p>
            <w:pPr>
              <w:spacing w:after="0"/>
              <w:rPr>
                <w:sz w:val="14"/>
                <w:szCs w:val="14"/>
                <w:color w:val="auto"/>
              </w:rPr>
            </w:pPr>
          </w:p>
        </w:tc>
        <w:tc>
          <w:tcPr>
            <w:tcW w:w="800" w:type="dxa"/>
            <w:vAlign w:val="bottom"/>
            <w:tcBorders>
              <w:bottom w:val="single" w:sz="8" w:color="auto"/>
            </w:tcBorders>
            <w:vMerge w:val="continue"/>
          </w:tcPr>
          <w:p>
            <w:pPr>
              <w:spacing w:after="0"/>
              <w:rPr>
                <w:sz w:val="14"/>
                <w:szCs w:val="14"/>
                <w:color w:val="auto"/>
              </w:rPr>
            </w:pPr>
          </w:p>
        </w:tc>
        <w:tc>
          <w:tcPr>
            <w:tcW w:w="1040" w:type="dxa"/>
            <w:vAlign w:val="bottom"/>
            <w:vMerge w:val="continue"/>
          </w:tcPr>
          <w:p>
            <w:pPr>
              <w:spacing w:after="0"/>
              <w:rPr>
                <w:sz w:val="14"/>
                <w:szCs w:val="14"/>
                <w:color w:val="auto"/>
              </w:rPr>
            </w:pPr>
          </w:p>
        </w:tc>
        <w:tc>
          <w:tcPr>
            <w:tcW w:w="400" w:type="dxa"/>
            <w:vAlign w:val="bottom"/>
            <w:tcBorders>
              <w:bottom w:val="single" w:sz="8" w:color="auto"/>
            </w:tcBorders>
            <w:vMerge w:val="continue"/>
          </w:tcPr>
          <w:p>
            <w:pPr>
              <w:spacing w:after="0"/>
              <w:rPr>
                <w:sz w:val="14"/>
                <w:szCs w:val="14"/>
                <w:color w:val="auto"/>
              </w:rPr>
            </w:pPr>
          </w:p>
        </w:tc>
        <w:tc>
          <w:tcPr>
            <w:tcW w:w="820" w:type="dxa"/>
            <w:vAlign w:val="bottom"/>
            <w:tcBorders>
              <w:bottom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Borders>
              <w:bottom w:val="single" w:sz="8" w:color="auto"/>
            </w:tcBorders>
            <w:vMerge w:val="continue"/>
          </w:tcPr>
          <w:p>
            <w:pPr>
              <w:spacing w:after="0"/>
              <w:rPr>
                <w:sz w:val="14"/>
                <w:szCs w:val="14"/>
                <w:color w:val="auto"/>
              </w:rPr>
            </w:pPr>
          </w:p>
        </w:tc>
        <w:tc>
          <w:tcPr>
            <w:tcW w:w="820" w:type="dxa"/>
            <w:vAlign w:val="bottom"/>
            <w:tcBorders>
              <w:bottom w:val="single" w:sz="8" w:color="auto"/>
            </w:tcBorders>
            <w:vMerge w:val="continue"/>
          </w:tcPr>
          <w:p>
            <w:pPr>
              <w:spacing w:after="0"/>
              <w:rPr>
                <w:sz w:val="14"/>
                <w:szCs w:val="14"/>
                <w:color w:val="auto"/>
              </w:rPr>
            </w:pPr>
          </w:p>
        </w:tc>
        <w:tc>
          <w:tcPr>
            <w:tcW w:w="96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33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3360" w:type="dxa"/>
            <w:vAlign w:val="bottom"/>
            <w:shd w:val="clear" w:color="auto" w:fill="CCEEFF"/>
          </w:tcPr>
          <w:p>
            <w:pPr>
              <w:ind w:left="20"/>
              <w:spacing w:after="0" w:line="102" w:lineRule="exact"/>
              <w:rPr>
                <w:sz w:val="20"/>
                <w:szCs w:val="20"/>
                <w:color w:val="auto"/>
              </w:rPr>
            </w:pPr>
            <w:r>
              <w:rPr>
                <w:rFonts w:ascii="Arial" w:cs="Arial" w:eastAsia="Arial" w:hAnsi="Arial"/>
                <w:sz w:val="11"/>
                <w:szCs w:val="11"/>
                <w:color w:val="auto"/>
              </w:rPr>
              <w:t>Adjusted diluted income (loss) per common share</w:t>
            </w:r>
          </w:p>
        </w:tc>
        <w:tc>
          <w:tcPr>
            <w:tcW w:w="76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(2) (3)</w:t>
            </w:r>
          </w:p>
        </w:tc>
        <w:tc>
          <w:tcPr>
            <w:tcW w:w="420" w:type="dxa"/>
            <w:vAlign w:val="bottom"/>
            <w:vMerge w:val="restart"/>
            <w:shd w:val="clear" w:color="auto" w:fill="CCEEFF"/>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(0.82)</w:t>
            </w:r>
          </w:p>
        </w:tc>
        <w:tc>
          <w:tcPr>
            <w:tcW w:w="100" w:type="dxa"/>
            <w:vAlign w:val="bottom"/>
            <w:shd w:val="clear" w:color="auto" w:fill="CCEEFF"/>
          </w:tcPr>
          <w:p>
            <w:pPr>
              <w:spacing w:after="0"/>
              <w:rPr>
                <w:sz w:val="8"/>
                <w:szCs w:val="8"/>
                <w:color w:val="auto"/>
              </w:rPr>
            </w:pPr>
          </w:p>
        </w:tc>
        <w:tc>
          <w:tcPr>
            <w:tcW w:w="440" w:type="dxa"/>
            <w:vAlign w:val="bottom"/>
            <w:vMerge w:val="restart"/>
            <w:shd w:val="clear" w:color="auto" w:fill="CCEEFF"/>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0.06</w:t>
            </w:r>
          </w:p>
        </w:tc>
        <w:tc>
          <w:tcPr>
            <w:tcW w:w="10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(1,467)%</w:t>
            </w:r>
          </w:p>
        </w:tc>
        <w:tc>
          <w:tcPr>
            <w:tcW w:w="4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9.23</w:t>
            </w:r>
          </w:p>
        </w:tc>
        <w:tc>
          <w:tcPr>
            <w:tcW w:w="100" w:type="dxa"/>
            <w:vAlign w:val="bottom"/>
            <w:shd w:val="clear" w:color="auto" w:fill="CCEEFF"/>
          </w:tcPr>
          <w:p>
            <w:pPr>
              <w:spacing w:after="0"/>
              <w:rPr>
                <w:sz w:val="8"/>
                <w:szCs w:val="8"/>
                <w:color w:val="auto"/>
              </w:rPr>
            </w:pPr>
          </w:p>
        </w:tc>
        <w:tc>
          <w:tcPr>
            <w:tcW w:w="400" w:type="dxa"/>
            <w:vAlign w:val="bottom"/>
            <w:vMerge w:val="restart"/>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108"/>
              <w:spacing w:after="0"/>
              <w:rPr>
                <w:sz w:val="20"/>
                <w:szCs w:val="20"/>
                <w:color w:val="auto"/>
              </w:rPr>
            </w:pPr>
            <w:r>
              <w:rPr>
                <w:rFonts w:ascii="Arial" w:cs="Arial" w:eastAsia="Arial" w:hAnsi="Arial"/>
                <w:sz w:val="14"/>
                <w:szCs w:val="14"/>
                <w:color w:val="auto"/>
              </w:rPr>
              <w:t>7.24</w:t>
            </w:r>
          </w:p>
        </w:tc>
        <w:tc>
          <w:tcPr>
            <w:tcW w:w="9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27 %</w:t>
            </w:r>
          </w:p>
        </w:tc>
        <w:tc>
          <w:tcPr>
            <w:tcW w:w="0" w:type="dxa"/>
            <w:vAlign w:val="bottom"/>
          </w:tcPr>
          <w:p>
            <w:pPr>
              <w:spacing w:after="0"/>
              <w:rPr>
                <w:sz w:val="1"/>
                <w:szCs w:val="1"/>
                <w:color w:val="auto"/>
              </w:rPr>
            </w:pPr>
          </w:p>
        </w:tc>
      </w:tr>
      <w:tr>
        <w:trPr>
          <w:trHeight w:val="182"/>
        </w:trPr>
        <w:tc>
          <w:tcPr>
            <w:tcW w:w="33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from continuing operations</w:t>
            </w:r>
          </w:p>
        </w:tc>
        <w:tc>
          <w:tcPr>
            <w:tcW w:w="760" w:type="dxa"/>
            <w:vAlign w:val="bottom"/>
            <w:tcBorders>
              <w:bottom w:val="single" w:sz="8" w:color="CCEEFF"/>
            </w:tcBorders>
            <w:vMerge w:val="continue"/>
            <w:shd w:val="clear" w:color="auto" w:fill="CCEEFF"/>
          </w:tcPr>
          <w:p>
            <w:pPr>
              <w:spacing w:after="0"/>
              <w:rPr>
                <w:sz w:val="15"/>
                <w:szCs w:val="15"/>
                <w:color w:val="auto"/>
              </w:rPr>
            </w:pPr>
          </w:p>
        </w:tc>
        <w:tc>
          <w:tcPr>
            <w:tcW w:w="420" w:type="dxa"/>
            <w:vAlign w:val="bottom"/>
            <w:tcBorders>
              <w:bottom w:val="single" w:sz="8" w:color="auto"/>
            </w:tcBorders>
            <w:vMerge w:val="continue"/>
            <w:shd w:val="clear" w:color="auto" w:fill="CCEEFF"/>
          </w:tcPr>
          <w:p>
            <w:pPr>
              <w:spacing w:after="0"/>
              <w:rPr>
                <w:sz w:val="15"/>
                <w:szCs w:val="15"/>
                <w:color w:val="auto"/>
              </w:rPr>
            </w:pPr>
          </w:p>
        </w:tc>
        <w:tc>
          <w:tcPr>
            <w:tcW w:w="8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440" w:type="dxa"/>
            <w:vAlign w:val="bottom"/>
            <w:tcBorders>
              <w:bottom w:val="single" w:sz="8" w:color="auto"/>
            </w:tcBorders>
            <w:vMerge w:val="continue"/>
            <w:shd w:val="clear" w:color="auto" w:fill="CCEEFF"/>
          </w:tcPr>
          <w:p>
            <w:pPr>
              <w:spacing w:after="0"/>
              <w:rPr>
                <w:sz w:val="15"/>
                <w:szCs w:val="15"/>
                <w:color w:val="auto"/>
              </w:rPr>
            </w:pPr>
          </w:p>
        </w:tc>
        <w:tc>
          <w:tcPr>
            <w:tcW w:w="800" w:type="dxa"/>
            <w:vAlign w:val="bottom"/>
            <w:tcBorders>
              <w:bottom w:val="single" w:sz="8" w:color="auto"/>
            </w:tcBorders>
            <w:vMerge w:val="continue"/>
            <w:shd w:val="clear" w:color="auto" w:fill="CCEEFF"/>
          </w:tcPr>
          <w:p>
            <w:pPr>
              <w:spacing w:after="0"/>
              <w:rPr>
                <w:sz w:val="15"/>
                <w:szCs w:val="15"/>
                <w:color w:val="auto"/>
              </w:rPr>
            </w:pPr>
          </w:p>
        </w:tc>
        <w:tc>
          <w:tcPr>
            <w:tcW w:w="1040" w:type="dxa"/>
            <w:vAlign w:val="bottom"/>
            <w:tcBorders>
              <w:bottom w:val="single" w:sz="8" w:color="CCEEFF"/>
            </w:tcBorders>
            <w:vMerge w:val="continue"/>
            <w:shd w:val="clear" w:color="auto" w:fill="CCEEFF"/>
          </w:tcPr>
          <w:p>
            <w:pPr>
              <w:spacing w:after="0"/>
              <w:rPr>
                <w:sz w:val="15"/>
                <w:szCs w:val="15"/>
                <w:color w:val="auto"/>
              </w:rPr>
            </w:pPr>
          </w:p>
        </w:tc>
        <w:tc>
          <w:tcPr>
            <w:tcW w:w="400" w:type="dxa"/>
            <w:vAlign w:val="bottom"/>
            <w:tcBorders>
              <w:bottom w:val="single" w:sz="8" w:color="auto"/>
            </w:tcBorders>
            <w:vMerge w:val="continue"/>
            <w:shd w:val="clear" w:color="auto" w:fill="CCEEFF"/>
          </w:tcPr>
          <w:p>
            <w:pPr>
              <w:spacing w:after="0"/>
              <w:rPr>
                <w:sz w:val="15"/>
                <w:szCs w:val="15"/>
                <w:color w:val="auto"/>
              </w:rPr>
            </w:pPr>
          </w:p>
        </w:tc>
        <w:tc>
          <w:tcPr>
            <w:tcW w:w="8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400" w:type="dxa"/>
            <w:vAlign w:val="bottom"/>
            <w:tcBorders>
              <w:bottom w:val="single" w:sz="8" w:color="auto"/>
            </w:tcBorders>
            <w:vMerge w:val="continue"/>
            <w:shd w:val="clear" w:color="auto" w:fill="CCEEFF"/>
          </w:tcPr>
          <w:p>
            <w:pPr>
              <w:spacing w:after="0"/>
              <w:rPr>
                <w:sz w:val="15"/>
                <w:szCs w:val="15"/>
                <w:color w:val="auto"/>
              </w:rPr>
            </w:pPr>
          </w:p>
        </w:tc>
        <w:tc>
          <w:tcPr>
            <w:tcW w:w="820" w:type="dxa"/>
            <w:vAlign w:val="bottom"/>
            <w:tcBorders>
              <w:bottom w:val="single" w:sz="8" w:color="auto"/>
            </w:tcBorders>
            <w:vMerge w:val="continue"/>
            <w:shd w:val="clear" w:color="auto" w:fill="CCEEFF"/>
          </w:tcPr>
          <w:p>
            <w:pPr>
              <w:spacing w:after="0"/>
              <w:rPr>
                <w:sz w:val="15"/>
                <w:szCs w:val="15"/>
                <w:color w:val="auto"/>
              </w:rPr>
            </w:pPr>
          </w:p>
        </w:tc>
        <w:tc>
          <w:tcPr>
            <w:tcW w:w="960" w:type="dxa"/>
            <w:vAlign w:val="bottom"/>
            <w:tcBorders>
              <w:bottom w:val="single" w:sz="8" w:color="CCEEFF"/>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360" w:type="dxa"/>
            <w:vAlign w:val="bottom"/>
          </w:tcPr>
          <w:p>
            <w:pPr>
              <w:ind w:left="20"/>
              <w:spacing w:after="0"/>
              <w:rPr>
                <w:sz w:val="20"/>
                <w:szCs w:val="20"/>
                <w:color w:val="auto"/>
              </w:rPr>
            </w:pPr>
            <w:r>
              <w:rPr>
                <w:rFonts w:ascii="Arial" w:cs="Arial" w:eastAsia="Arial" w:hAnsi="Arial"/>
                <w:sz w:val="14"/>
                <w:szCs w:val="14"/>
                <w:color w:val="auto"/>
              </w:rPr>
              <w:t>Adjusted EBITDA</w:t>
            </w:r>
          </w:p>
        </w:tc>
        <w:tc>
          <w:tcPr>
            <w:tcW w:w="760" w:type="dxa"/>
            <w:vAlign w:val="bottom"/>
          </w:tcPr>
          <w:p>
            <w:pPr>
              <w:jc w:val="right"/>
              <w:ind w:right="48"/>
              <w:spacing w:after="0"/>
              <w:rPr>
                <w:sz w:val="20"/>
                <w:szCs w:val="20"/>
                <w:color w:val="auto"/>
              </w:rPr>
            </w:pPr>
            <w:r>
              <w:rPr>
                <w:rFonts w:ascii="Arial" w:cs="Arial" w:eastAsia="Arial" w:hAnsi="Arial"/>
                <w:sz w:val="14"/>
                <w:szCs w:val="14"/>
                <w:color w:val="auto"/>
              </w:rPr>
              <w:t>(3)</w:t>
            </w:r>
          </w:p>
        </w:tc>
        <w:tc>
          <w:tcPr>
            <w:tcW w:w="42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(9.0)</w:t>
            </w:r>
          </w:p>
        </w:tc>
        <w:tc>
          <w:tcPr>
            <w:tcW w:w="100" w:type="dxa"/>
            <w:vAlign w:val="bottom"/>
          </w:tcPr>
          <w:p>
            <w:pPr>
              <w:spacing w:after="0"/>
              <w:rPr>
                <w:sz w:val="14"/>
                <w:szCs w:val="14"/>
                <w:color w:val="auto"/>
              </w:rPr>
            </w:pPr>
          </w:p>
        </w:tc>
        <w:tc>
          <w:tcPr>
            <w:tcW w:w="4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w:t>
            </w:r>
          </w:p>
        </w:tc>
        <w:tc>
          <w:tcPr>
            <w:tcW w:w="800" w:type="dxa"/>
            <w:vAlign w:val="bottom"/>
            <w:tcBorders>
              <w:bottom w:val="single" w:sz="8" w:color="auto"/>
            </w:tcBorders>
          </w:tcPr>
          <w:p>
            <w:pPr>
              <w:jc w:val="right"/>
              <w:ind w:right="128"/>
              <w:spacing w:after="0"/>
              <w:rPr>
                <w:sz w:val="20"/>
                <w:szCs w:val="20"/>
                <w:color w:val="auto"/>
              </w:rPr>
            </w:pPr>
            <w:r>
              <w:rPr>
                <w:rFonts w:ascii="Arial" w:cs="Arial" w:eastAsia="Arial" w:hAnsi="Arial"/>
                <w:sz w:val="14"/>
                <w:szCs w:val="14"/>
                <w:color w:val="auto"/>
              </w:rPr>
              <w:t>61.7</w:t>
            </w:r>
          </w:p>
        </w:tc>
        <w:tc>
          <w:tcPr>
            <w:tcW w:w="1040" w:type="dxa"/>
            <w:vAlign w:val="bottom"/>
          </w:tcPr>
          <w:p>
            <w:pPr>
              <w:jc w:val="right"/>
              <w:ind w:right="48"/>
              <w:spacing w:after="0"/>
              <w:rPr>
                <w:sz w:val="20"/>
                <w:szCs w:val="20"/>
                <w:color w:val="auto"/>
              </w:rPr>
            </w:pPr>
            <w:r>
              <w:rPr>
                <w:rFonts w:ascii="Arial" w:cs="Arial" w:eastAsia="Arial" w:hAnsi="Arial"/>
                <w:sz w:val="14"/>
                <w:szCs w:val="14"/>
                <w:color w:val="auto"/>
              </w:rPr>
              <w:t>(115)%</w:t>
            </w: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902.6</w:t>
            </w:r>
          </w:p>
        </w:tc>
        <w:tc>
          <w:tcPr>
            <w:tcW w:w="100" w:type="dxa"/>
            <w:vAlign w:val="bottom"/>
          </w:tcPr>
          <w:p>
            <w:pPr>
              <w:spacing w:after="0"/>
              <w:rPr>
                <w:sz w:val="14"/>
                <w:szCs w:val="14"/>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766.6</w:t>
            </w:r>
          </w:p>
        </w:tc>
        <w:tc>
          <w:tcPr>
            <w:tcW w:w="960" w:type="dxa"/>
            <w:vAlign w:val="bottom"/>
          </w:tcPr>
          <w:p>
            <w:pPr>
              <w:jc w:val="right"/>
              <w:spacing w:after="0"/>
              <w:rPr>
                <w:sz w:val="20"/>
                <w:szCs w:val="20"/>
                <w:color w:val="auto"/>
              </w:rPr>
            </w:pPr>
            <w:r>
              <w:rPr>
                <w:rFonts w:ascii="Arial" w:cs="Arial" w:eastAsia="Arial" w:hAnsi="Arial"/>
                <w:sz w:val="14"/>
                <w:szCs w:val="14"/>
                <w:color w:val="auto"/>
              </w:rPr>
              <w:t>18 %</w:t>
            </w:r>
          </w:p>
        </w:tc>
        <w:tc>
          <w:tcPr>
            <w:tcW w:w="0" w:type="dxa"/>
            <w:vAlign w:val="bottom"/>
          </w:tcPr>
          <w:p>
            <w:pPr>
              <w:spacing w:after="0"/>
              <w:rPr>
                <w:sz w:val="1"/>
                <w:szCs w:val="1"/>
                <w:color w:val="auto"/>
              </w:rPr>
            </w:pPr>
          </w:p>
        </w:tc>
      </w:tr>
      <w:tr>
        <w:trPr>
          <w:trHeight w:val="20"/>
        </w:trPr>
        <w:tc>
          <w:tcPr>
            <w:tcW w:w="3360" w:type="dxa"/>
            <w:vAlign w:val="bottom"/>
            <w:tcBorders>
              <w:bottom w:val="single" w:sz="8" w:color="CCEEFF"/>
            </w:tcBorders>
          </w:tcPr>
          <w:p>
            <w:pPr>
              <w:spacing w:after="0" w:line="20" w:lineRule="exact"/>
              <w:rPr>
                <w:sz w:val="1"/>
                <w:szCs w:val="1"/>
                <w:color w:val="auto"/>
              </w:rPr>
            </w:pPr>
          </w:p>
        </w:tc>
        <w:tc>
          <w:tcPr>
            <w:tcW w:w="76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3360" w:type="dxa"/>
            <w:vAlign w:val="bottom"/>
            <w:shd w:val="clear" w:color="auto" w:fill="CCEEFF"/>
          </w:tcPr>
          <w:p>
            <w:pPr>
              <w:ind w:left="20"/>
              <w:spacing w:after="0" w:line="156" w:lineRule="exact"/>
              <w:rPr>
                <w:sz w:val="20"/>
                <w:szCs w:val="20"/>
                <w:color w:val="auto"/>
              </w:rPr>
            </w:pPr>
            <w:r>
              <w:rPr>
                <w:rFonts w:ascii="Arial" w:cs="Arial" w:eastAsia="Arial" w:hAnsi="Arial"/>
                <w:sz w:val="14"/>
                <w:szCs w:val="14"/>
                <w:color w:val="auto"/>
              </w:rPr>
              <w:t>Note: See accompanying footnotes on page 11.</w:t>
            </w:r>
          </w:p>
        </w:tc>
        <w:tc>
          <w:tcPr>
            <w:tcW w:w="760" w:type="dxa"/>
            <w:vAlign w:val="bottom"/>
            <w:shd w:val="clear" w:color="auto" w:fill="CCEEFF"/>
          </w:tcPr>
          <w:p>
            <w:pPr>
              <w:spacing w:after="0"/>
              <w:rPr>
                <w:sz w:val="13"/>
                <w:szCs w:val="13"/>
                <w:color w:val="auto"/>
              </w:rPr>
            </w:pPr>
          </w:p>
        </w:tc>
        <w:tc>
          <w:tcPr>
            <w:tcW w:w="42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40" w:type="dxa"/>
            <w:vAlign w:val="bottom"/>
            <w:shd w:val="clear" w:color="auto" w:fill="CCEEFF"/>
          </w:tcPr>
          <w:p>
            <w:pPr>
              <w:spacing w:after="0"/>
              <w:rPr>
                <w:sz w:val="13"/>
                <w:szCs w:val="13"/>
                <w:color w:val="auto"/>
              </w:rPr>
            </w:pPr>
          </w:p>
        </w:tc>
        <w:tc>
          <w:tcPr>
            <w:tcW w:w="800" w:type="dxa"/>
            <w:vAlign w:val="bottom"/>
            <w:shd w:val="clear" w:color="auto" w:fill="CCEEFF"/>
          </w:tcPr>
          <w:p>
            <w:pPr>
              <w:spacing w:after="0"/>
              <w:rPr>
                <w:sz w:val="13"/>
                <w:szCs w:val="13"/>
                <w:color w:val="auto"/>
              </w:rPr>
            </w:pPr>
          </w:p>
        </w:tc>
        <w:tc>
          <w:tcPr>
            <w:tcW w:w="104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100" w:type="dxa"/>
            <w:vAlign w:val="bottom"/>
            <w:shd w:val="clear" w:color="auto" w:fill="CCEEFF"/>
          </w:tcPr>
          <w:p>
            <w:pPr>
              <w:spacing w:after="0"/>
              <w:rPr>
                <w:sz w:val="13"/>
                <w:szCs w:val="13"/>
                <w:color w:val="auto"/>
              </w:rPr>
            </w:pPr>
          </w:p>
        </w:tc>
        <w:tc>
          <w:tcPr>
            <w:tcW w:w="400" w:type="dxa"/>
            <w:vAlign w:val="bottom"/>
            <w:shd w:val="clear" w:color="auto" w:fill="CCEEFF"/>
          </w:tcPr>
          <w:p>
            <w:pPr>
              <w:spacing w:after="0"/>
              <w:rPr>
                <w:sz w:val="13"/>
                <w:szCs w:val="13"/>
                <w:color w:val="auto"/>
              </w:rPr>
            </w:pPr>
          </w:p>
        </w:tc>
        <w:tc>
          <w:tcPr>
            <w:tcW w:w="820" w:type="dxa"/>
            <w:vAlign w:val="bottom"/>
            <w:shd w:val="clear" w:color="auto" w:fill="CCEEFF"/>
          </w:tcPr>
          <w:p>
            <w:pPr>
              <w:spacing w:after="0"/>
              <w:rPr>
                <w:sz w:val="13"/>
                <w:szCs w:val="13"/>
                <w:color w:val="auto"/>
              </w:rPr>
            </w:pPr>
          </w:p>
        </w:tc>
        <w:tc>
          <w:tcPr>
            <w:tcW w:w="96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40"/>
          </w:cols>
          <w:pgMar w:left="320" w:top="117" w:right="339" w:bottom="1440" w:gutter="0" w:footer="0" w:header="0"/>
          <w:type w:val="continuous"/>
        </w:sectPr>
      </w:pPr>
    </w:p>
    <w:bookmarkStart w:id="8" w:name="page9"/>
    <w:bookmarkEnd w:id="8"/>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Segment Results</w:t>
      </w:r>
    </w:p>
    <w:p>
      <w:pPr>
        <w:spacing w:after="0" w:line="7"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(In millions)</w:t>
      </w:r>
    </w:p>
    <w:p>
      <w:pPr>
        <w:spacing w:after="0" w:line="9"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(Unaudited)</w:t>
      </w:r>
    </w:p>
    <w:p>
      <w:pPr>
        <w:spacing w:after="0" w:line="346"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Company divides its operations into three reportable segments: U.S. Consumer, Hawthorne and Other. U.S. Consumer consists of the Company’s consumer lawn and garden business located in the geographic United States. Hawthorne consists of the Company’s indoor and hydroponic gardening business. Other primarily consists of the Company’s consumer lawn and garden business in geographies other than the United States. In addition, Corporate consists of general and administrative expenses and certain other income and expense items not allocated to the business segments. This identification of reportable segments is consistent with how the segments report to and are managed by the chief operating decision maker of the Company.</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first quarter of fiscal 2021, the Company changed its internal organization structure such that AeroGrow International, Inc. (“AeroGrow”) is now managed by and reported within the U.S. Consumer segment. Within the U.S. Consumer segment, AeroGrow is integrated into the Company’s overall direct to consumer focus and strategy. AeroGrow was previously managed by and reported within the Hawthorne segment. The prior period amounts have been reclassified to conform with the new organization structure.</w:t>
      </w:r>
    </w:p>
    <w:p>
      <w:pPr>
        <w:spacing w:after="0" w:line="21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performance of each reportable segment is evaluated based on several factors, including income (loss) from continuing operations before income taxes, amortization, impairment, restructuring and other charges (“Segment Profit (Loss)”), which is a non-GAAP financial measure. Senior management uses Segment Profit (Loss) to evaluate segment performance because they believe this measure is indicative of performance trends and the overall earnings potential of each segment.</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present financial information for the Company’s reportable segments for the periods indicated:</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6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gridSpan w:val="4"/>
          </w:tcPr>
          <w:p>
            <w:pPr>
              <w:jc w:val="right"/>
              <w:ind w:right="108"/>
              <w:spacing w:after="0"/>
              <w:rPr>
                <w:sz w:val="20"/>
                <w:szCs w:val="20"/>
                <w:color w:val="auto"/>
              </w:rPr>
            </w:pPr>
            <w:r>
              <w:rPr>
                <w:rFonts w:ascii="Arial" w:cs="Arial" w:eastAsia="Arial" w:hAnsi="Arial"/>
                <w:sz w:val="14"/>
                <w:szCs w:val="14"/>
                <w:color w:val="auto"/>
                <w:w w:val="93"/>
              </w:rPr>
              <w:t>Three Months Ended</w:t>
            </w: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4"/>
          </w:tcPr>
          <w:p>
            <w:pPr>
              <w:jc w:val="right"/>
              <w:ind w:right="68"/>
              <w:spacing w:after="0"/>
              <w:rPr>
                <w:sz w:val="20"/>
                <w:szCs w:val="20"/>
                <w:color w:val="auto"/>
              </w:rPr>
            </w:pPr>
            <w:r>
              <w:rPr>
                <w:rFonts w:ascii="Arial" w:cs="Arial" w:eastAsia="Arial" w:hAnsi="Arial"/>
                <w:sz w:val="14"/>
                <w:szCs w:val="14"/>
                <w:color w:val="auto"/>
                <w:w w:val="92"/>
              </w:rPr>
              <w:t>Twelve Months Ended</w:t>
            </w:r>
          </w:p>
        </w:tc>
        <w:tc>
          <w:tcPr>
            <w:tcW w:w="1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0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jc w:val="right"/>
              <w:ind w:right="108"/>
              <w:spacing w:after="0" w:line="135" w:lineRule="exact"/>
              <w:rPr>
                <w:sz w:val="20"/>
                <w:szCs w:val="20"/>
                <w:color w:val="auto"/>
              </w:rPr>
            </w:pPr>
            <w:r>
              <w:rPr>
                <w:rFonts w:ascii="Arial" w:cs="Arial" w:eastAsia="Arial" w:hAnsi="Arial"/>
                <w:sz w:val="14"/>
                <w:szCs w:val="14"/>
                <w:color w:val="auto"/>
                <w:w w:val="95"/>
              </w:rPr>
              <w:t>September 30,</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jc w:val="right"/>
              <w:ind w:right="148"/>
              <w:spacing w:after="0" w:line="135" w:lineRule="exact"/>
              <w:rPr>
                <w:sz w:val="20"/>
                <w:szCs w:val="20"/>
                <w:color w:val="auto"/>
              </w:rPr>
            </w:pPr>
            <w:r>
              <w:rPr>
                <w:rFonts w:ascii="Arial" w:cs="Arial" w:eastAsia="Arial" w:hAnsi="Arial"/>
                <w:sz w:val="14"/>
                <w:szCs w:val="14"/>
                <w:color w:val="auto"/>
                <w:w w:val="95"/>
              </w:rPr>
              <w:t>September 30,</w:t>
            </w:r>
          </w:p>
        </w:tc>
        <w:tc>
          <w:tcPr>
            <w:tcW w:w="100" w:type="dxa"/>
            <w:vAlign w:val="bottom"/>
          </w:tcPr>
          <w:p>
            <w:pPr>
              <w:spacing w:after="0"/>
              <w:rPr>
                <w:sz w:val="11"/>
                <w:szCs w:val="11"/>
                <w:color w:val="auto"/>
              </w:rPr>
            </w:pPr>
          </w:p>
        </w:tc>
        <w:tc>
          <w:tcPr>
            <w:tcW w:w="1060" w:type="dxa"/>
            <w:vAlign w:val="bottom"/>
            <w:gridSpan w:val="2"/>
            <w:vMerge w:val="restart"/>
          </w:tcPr>
          <w:p>
            <w:pPr>
              <w:ind w:left="180"/>
              <w:spacing w:after="0"/>
              <w:rPr>
                <w:sz w:val="20"/>
                <w:szCs w:val="20"/>
                <w:color w:val="auto"/>
              </w:rPr>
            </w:pPr>
            <w:r>
              <w:rPr>
                <w:rFonts w:ascii="Arial" w:cs="Arial" w:eastAsia="Arial" w:hAnsi="Arial"/>
                <w:sz w:val="14"/>
                <w:szCs w:val="14"/>
                <w:color w:val="auto"/>
              </w:rPr>
              <w:t>% Change</w:t>
            </w:r>
          </w:p>
        </w:tc>
        <w:tc>
          <w:tcPr>
            <w:tcW w:w="160" w:type="dxa"/>
            <w:vAlign w:val="bottom"/>
          </w:tcPr>
          <w:p>
            <w:pPr>
              <w:spacing w:after="0"/>
              <w:rPr>
                <w:sz w:val="11"/>
                <w:szCs w:val="11"/>
                <w:color w:val="auto"/>
              </w:rPr>
            </w:pPr>
          </w:p>
        </w:tc>
        <w:tc>
          <w:tcPr>
            <w:tcW w:w="1060" w:type="dxa"/>
            <w:vAlign w:val="bottom"/>
          </w:tcPr>
          <w:p>
            <w:pPr>
              <w:jc w:val="right"/>
              <w:ind w:right="88"/>
              <w:spacing w:after="0" w:line="135" w:lineRule="exact"/>
              <w:rPr>
                <w:sz w:val="20"/>
                <w:szCs w:val="20"/>
                <w:color w:val="auto"/>
              </w:rPr>
            </w:pPr>
            <w:r>
              <w:rPr>
                <w:rFonts w:ascii="Arial" w:cs="Arial" w:eastAsia="Arial" w:hAnsi="Arial"/>
                <w:sz w:val="14"/>
                <w:szCs w:val="14"/>
                <w:color w:val="auto"/>
                <w:w w:val="95"/>
              </w:rPr>
              <w:t>September 30,</w:t>
            </w: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20" w:type="dxa"/>
            <w:vAlign w:val="bottom"/>
          </w:tcPr>
          <w:p>
            <w:pPr>
              <w:jc w:val="right"/>
              <w:ind w:right="148"/>
              <w:spacing w:after="0" w:line="135" w:lineRule="exact"/>
              <w:rPr>
                <w:sz w:val="20"/>
                <w:szCs w:val="20"/>
                <w:color w:val="auto"/>
              </w:rPr>
            </w:pPr>
            <w:r>
              <w:rPr>
                <w:rFonts w:ascii="Arial" w:cs="Arial" w:eastAsia="Arial" w:hAnsi="Arial"/>
                <w:sz w:val="14"/>
                <w:szCs w:val="14"/>
                <w:color w:val="auto"/>
                <w:w w:val="95"/>
              </w:rPr>
              <w:t>September 30,</w:t>
            </w:r>
          </w:p>
        </w:tc>
        <w:tc>
          <w:tcPr>
            <w:tcW w:w="100" w:type="dxa"/>
            <w:vAlign w:val="bottom"/>
          </w:tcPr>
          <w:p>
            <w:pPr>
              <w:spacing w:after="0"/>
              <w:rPr>
                <w:sz w:val="11"/>
                <w:szCs w:val="11"/>
                <w:color w:val="auto"/>
              </w:rPr>
            </w:pPr>
          </w:p>
        </w:tc>
        <w:tc>
          <w:tcPr>
            <w:tcW w:w="960" w:type="dxa"/>
            <w:vAlign w:val="bottom"/>
            <w:vMerge w:val="restart"/>
          </w:tcPr>
          <w:p>
            <w:pPr>
              <w:jc w:val="right"/>
              <w:ind w:right="108"/>
              <w:spacing w:after="0"/>
              <w:rPr>
                <w:sz w:val="20"/>
                <w:szCs w:val="20"/>
                <w:color w:val="auto"/>
              </w:rPr>
            </w:pPr>
            <w:r>
              <w:rPr>
                <w:rFonts w:ascii="Arial" w:cs="Arial" w:eastAsia="Arial" w:hAnsi="Arial"/>
                <w:sz w:val="14"/>
                <w:szCs w:val="14"/>
                <w:color w:val="auto"/>
              </w:rPr>
              <w:t>% Change</w:t>
            </w: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30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tcPr>
          <w:p>
            <w:pPr>
              <w:jc w:val="right"/>
              <w:ind w:right="388"/>
              <w:spacing w:after="0"/>
              <w:rPr>
                <w:sz w:val="20"/>
                <w:szCs w:val="20"/>
                <w:color w:val="auto"/>
              </w:rPr>
            </w:pPr>
            <w:r>
              <w:rPr>
                <w:rFonts w:ascii="Arial" w:cs="Arial" w:eastAsia="Arial" w:hAnsi="Arial"/>
                <w:sz w:val="14"/>
                <w:szCs w:val="14"/>
                <w:color w:val="auto"/>
              </w:rPr>
              <w:t>2021</w:t>
            </w: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20" w:type="dxa"/>
            <w:vAlign w:val="bottom"/>
          </w:tcPr>
          <w:p>
            <w:pPr>
              <w:jc w:val="right"/>
              <w:ind w:right="428"/>
              <w:spacing w:after="0"/>
              <w:rPr>
                <w:sz w:val="20"/>
                <w:szCs w:val="20"/>
                <w:color w:val="auto"/>
              </w:rPr>
            </w:pPr>
            <w:r>
              <w:rPr>
                <w:rFonts w:ascii="Arial" w:cs="Arial" w:eastAsia="Arial" w:hAnsi="Arial"/>
                <w:sz w:val="14"/>
                <w:szCs w:val="14"/>
                <w:color w:val="auto"/>
              </w:rPr>
              <w:t>2020</w:t>
            </w:r>
          </w:p>
        </w:tc>
        <w:tc>
          <w:tcPr>
            <w:tcW w:w="10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ind w:right="368"/>
              <w:spacing w:after="0"/>
              <w:rPr>
                <w:sz w:val="20"/>
                <w:szCs w:val="20"/>
                <w:color w:val="auto"/>
              </w:rPr>
            </w:pPr>
            <w:r>
              <w:rPr>
                <w:rFonts w:ascii="Arial" w:cs="Arial" w:eastAsia="Arial" w:hAnsi="Arial"/>
                <w:sz w:val="14"/>
                <w:szCs w:val="14"/>
                <w:color w:val="auto"/>
              </w:rPr>
              <w:t>2021</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20" w:type="dxa"/>
            <w:vAlign w:val="bottom"/>
          </w:tcPr>
          <w:p>
            <w:pPr>
              <w:jc w:val="right"/>
              <w:ind w:right="428"/>
              <w:spacing w:after="0"/>
              <w:rPr>
                <w:sz w:val="20"/>
                <w:szCs w:val="20"/>
                <w:color w:val="auto"/>
              </w:rPr>
            </w:pPr>
            <w:r>
              <w:rPr>
                <w:rFonts w:ascii="Arial" w:cs="Arial" w:eastAsia="Arial" w:hAnsi="Arial"/>
                <w:sz w:val="14"/>
                <w:szCs w:val="14"/>
                <w:color w:val="auto"/>
              </w:rPr>
              <w:t>2020</w:t>
            </w:r>
          </w:p>
        </w:tc>
        <w:tc>
          <w:tcPr>
            <w:tcW w:w="10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0" w:type="dxa"/>
            <w:vAlign w:val="bottom"/>
            <w:tcBorders>
              <w:top w:val="single" w:sz="8" w:color="CCEEFF"/>
              <w:bottom w:val="single" w:sz="8" w:color="CCEEFF"/>
            </w:tcBorders>
            <w:shd w:val="clear" w:color="auto" w:fill="CCEEFF"/>
          </w:tcPr>
          <w:p>
            <w:pPr>
              <w:spacing w:after="0"/>
              <w:rPr>
                <w:sz w:val="13"/>
                <w:szCs w:val="13"/>
                <w:color w:val="auto"/>
              </w:rPr>
            </w:pPr>
          </w:p>
        </w:tc>
        <w:tc>
          <w:tcPr>
            <w:tcW w:w="620" w:type="dxa"/>
            <w:vAlign w:val="bottom"/>
            <w:tcBorders>
              <w:top w:val="single" w:sz="8" w:color="CCEEFF"/>
              <w:bottom w:val="single" w:sz="8" w:color="auto"/>
            </w:tcBorders>
            <w:shd w:val="clear" w:color="auto" w:fill="CCEEFF"/>
          </w:tcPr>
          <w:p>
            <w:pPr>
              <w:spacing w:after="0" w:line="132" w:lineRule="exact"/>
              <w:rPr>
                <w:sz w:val="20"/>
                <w:szCs w:val="20"/>
                <w:color w:val="auto"/>
              </w:rPr>
            </w:pPr>
            <w:r>
              <w:rPr>
                <w:rFonts w:ascii="Arial" w:cs="Arial" w:eastAsia="Arial" w:hAnsi="Arial"/>
                <w:sz w:val="14"/>
                <w:szCs w:val="14"/>
                <w:b w:val="1"/>
                <w:bCs w:val="1"/>
                <w:color w:val="auto"/>
                <w:w w:val="88"/>
              </w:rPr>
              <w:t>Net Sales:</w:t>
            </w:r>
          </w:p>
        </w:tc>
        <w:tc>
          <w:tcPr>
            <w:tcW w:w="3060" w:type="dxa"/>
            <w:vAlign w:val="bottom"/>
            <w:tcBorders>
              <w:top w:val="single" w:sz="8" w:color="CCEEFF"/>
              <w:bottom w:val="single" w:sz="8" w:color="CCEEFF"/>
            </w:tcBorders>
            <w:shd w:val="clear" w:color="auto" w:fill="CCEEFF"/>
          </w:tcPr>
          <w:p>
            <w:pPr>
              <w:spacing w:after="0"/>
              <w:rPr>
                <w:sz w:val="13"/>
                <w:szCs w:val="13"/>
                <w:color w:val="auto"/>
              </w:rPr>
            </w:pPr>
          </w:p>
        </w:tc>
        <w:tc>
          <w:tcPr>
            <w:tcW w:w="160" w:type="dxa"/>
            <w:vAlign w:val="bottom"/>
            <w:tcBorders>
              <w:top w:val="single" w:sz="8" w:color="auto"/>
              <w:bottom w:val="single" w:sz="8" w:color="CCEEFF"/>
            </w:tcBorders>
            <w:shd w:val="clear" w:color="auto" w:fill="CCEEFF"/>
          </w:tcPr>
          <w:p>
            <w:pPr>
              <w:spacing w:after="0"/>
              <w:rPr>
                <w:sz w:val="13"/>
                <w:szCs w:val="13"/>
                <w:color w:val="auto"/>
              </w:rPr>
            </w:pPr>
          </w:p>
        </w:tc>
        <w:tc>
          <w:tcPr>
            <w:tcW w:w="1080" w:type="dxa"/>
            <w:vAlign w:val="bottom"/>
            <w:tcBorders>
              <w:top w:val="single" w:sz="8" w:color="auto"/>
              <w:bottom w:val="single" w:sz="8" w:color="CCEEFF"/>
            </w:tcBorders>
            <w:shd w:val="clear" w:color="auto" w:fill="CCEEFF"/>
          </w:tcPr>
          <w:p>
            <w:pPr>
              <w:spacing w:after="0"/>
              <w:rPr>
                <w:sz w:val="13"/>
                <w:szCs w:val="13"/>
                <w:color w:val="auto"/>
              </w:rPr>
            </w:pPr>
          </w:p>
        </w:tc>
        <w:tc>
          <w:tcPr>
            <w:tcW w:w="40" w:type="dxa"/>
            <w:vAlign w:val="bottom"/>
            <w:tcBorders>
              <w:top w:val="single" w:sz="8" w:color="auto"/>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160" w:type="dxa"/>
            <w:vAlign w:val="bottom"/>
            <w:tcBorders>
              <w:top w:val="single" w:sz="8" w:color="auto"/>
              <w:bottom w:val="single" w:sz="8" w:color="CCEEFF"/>
            </w:tcBorders>
            <w:shd w:val="clear" w:color="auto" w:fill="CCEEFF"/>
          </w:tcPr>
          <w:p>
            <w:pPr>
              <w:spacing w:after="0"/>
              <w:rPr>
                <w:sz w:val="13"/>
                <w:szCs w:val="13"/>
                <w:color w:val="auto"/>
              </w:rPr>
            </w:pPr>
          </w:p>
        </w:tc>
        <w:tc>
          <w:tcPr>
            <w:tcW w:w="1120" w:type="dxa"/>
            <w:vAlign w:val="bottom"/>
            <w:tcBorders>
              <w:top w:val="single" w:sz="8" w:color="auto"/>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960" w:type="dxa"/>
            <w:vAlign w:val="bottom"/>
            <w:tcBorders>
              <w:top w:val="single" w:sz="8" w:color="auto"/>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160" w:type="dxa"/>
            <w:vAlign w:val="bottom"/>
            <w:tcBorders>
              <w:top w:val="single" w:sz="8" w:color="auto"/>
              <w:bottom w:val="single" w:sz="8" w:color="CCEEFF"/>
            </w:tcBorders>
            <w:shd w:val="clear" w:color="auto" w:fill="CCEEFF"/>
          </w:tcPr>
          <w:p>
            <w:pPr>
              <w:spacing w:after="0"/>
              <w:rPr>
                <w:sz w:val="13"/>
                <w:szCs w:val="13"/>
                <w:color w:val="auto"/>
              </w:rPr>
            </w:pPr>
          </w:p>
        </w:tc>
        <w:tc>
          <w:tcPr>
            <w:tcW w:w="1060" w:type="dxa"/>
            <w:vAlign w:val="bottom"/>
            <w:tcBorders>
              <w:top w:val="single" w:sz="8" w:color="auto"/>
              <w:bottom w:val="single" w:sz="8" w:color="CCEEFF"/>
            </w:tcBorders>
            <w:shd w:val="clear" w:color="auto" w:fill="CCEEFF"/>
          </w:tcPr>
          <w:p>
            <w:pPr>
              <w:spacing w:after="0"/>
              <w:rPr>
                <w:sz w:val="13"/>
                <w:szCs w:val="13"/>
                <w:color w:val="auto"/>
              </w:rPr>
            </w:pPr>
          </w:p>
        </w:tc>
        <w:tc>
          <w:tcPr>
            <w:tcW w:w="60" w:type="dxa"/>
            <w:vAlign w:val="bottom"/>
            <w:tcBorders>
              <w:top w:val="single" w:sz="8" w:color="auto"/>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160" w:type="dxa"/>
            <w:vAlign w:val="bottom"/>
            <w:tcBorders>
              <w:top w:val="single" w:sz="8" w:color="auto"/>
              <w:bottom w:val="single" w:sz="8" w:color="CCEEFF"/>
            </w:tcBorders>
            <w:shd w:val="clear" w:color="auto" w:fill="CCEEFF"/>
          </w:tcPr>
          <w:p>
            <w:pPr>
              <w:spacing w:after="0"/>
              <w:rPr>
                <w:sz w:val="13"/>
                <w:szCs w:val="13"/>
                <w:color w:val="auto"/>
              </w:rPr>
            </w:pPr>
          </w:p>
        </w:tc>
        <w:tc>
          <w:tcPr>
            <w:tcW w:w="1120" w:type="dxa"/>
            <w:vAlign w:val="bottom"/>
            <w:tcBorders>
              <w:top w:val="single" w:sz="8" w:color="auto"/>
              <w:bottom w:val="single" w:sz="8" w:color="CCEEFF"/>
            </w:tcBorders>
            <w:shd w:val="clear" w:color="auto" w:fill="CCEEFF"/>
          </w:tcPr>
          <w:p>
            <w:pPr>
              <w:spacing w:after="0"/>
              <w:rPr>
                <w:sz w:val="13"/>
                <w:szCs w:val="13"/>
                <w:color w:val="auto"/>
              </w:rPr>
            </w:pPr>
          </w:p>
        </w:tc>
        <w:tc>
          <w:tcPr>
            <w:tcW w:w="100" w:type="dxa"/>
            <w:vAlign w:val="bottom"/>
            <w:tcBorders>
              <w:top w:val="single" w:sz="8" w:color="CCEEFF"/>
              <w:bottom w:val="single" w:sz="8" w:color="CCEEFF"/>
            </w:tcBorders>
            <w:shd w:val="clear" w:color="auto" w:fill="CCEEFF"/>
          </w:tcPr>
          <w:p>
            <w:pPr>
              <w:spacing w:after="0"/>
              <w:rPr>
                <w:sz w:val="13"/>
                <w:szCs w:val="13"/>
                <w:color w:val="auto"/>
              </w:rPr>
            </w:pPr>
          </w:p>
        </w:tc>
        <w:tc>
          <w:tcPr>
            <w:tcW w:w="960" w:type="dxa"/>
            <w:vAlign w:val="bottom"/>
            <w:tcBorders>
              <w:top w:val="single" w:sz="8" w:color="auto"/>
              <w:bottom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3680" w:type="dxa"/>
            <w:vAlign w:val="bottom"/>
            <w:gridSpan w:val="2"/>
          </w:tcPr>
          <w:p>
            <w:pPr>
              <w:spacing w:after="0"/>
              <w:rPr>
                <w:sz w:val="20"/>
                <w:szCs w:val="20"/>
                <w:color w:val="auto"/>
              </w:rPr>
            </w:pPr>
            <w:r>
              <w:rPr>
                <w:rFonts w:ascii="Arial" w:cs="Arial" w:eastAsia="Arial" w:hAnsi="Arial"/>
                <w:sz w:val="14"/>
                <w:szCs w:val="14"/>
                <w:color w:val="auto"/>
              </w:rPr>
              <w:t>U.S. Consumer</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369.4</w:t>
            </w:r>
          </w:p>
        </w:tc>
        <w:tc>
          <w:tcPr>
            <w:tcW w:w="30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511.8</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(28)%</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3,197.7</w:t>
            </w:r>
          </w:p>
        </w:tc>
        <w:tc>
          <w:tcPr>
            <w:tcW w:w="320" w:type="dxa"/>
            <w:vAlign w:val="bottom"/>
            <w:gridSpan w:val="3"/>
          </w:tcPr>
          <w:p>
            <w:pPr>
              <w:jc w:val="right"/>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2,883.5</w:t>
            </w:r>
          </w:p>
        </w:tc>
        <w:tc>
          <w:tcPr>
            <w:tcW w:w="1060" w:type="dxa"/>
            <w:vAlign w:val="bottom"/>
            <w:gridSpan w:val="2"/>
          </w:tcPr>
          <w:p>
            <w:pPr>
              <w:jc w:val="right"/>
              <w:spacing w:after="0"/>
              <w:rPr>
                <w:sz w:val="20"/>
                <w:szCs w:val="20"/>
                <w:color w:val="auto"/>
              </w:rPr>
            </w:pPr>
            <w:r>
              <w:rPr>
                <w:rFonts w:ascii="Arial" w:cs="Arial" w:eastAsia="Arial" w:hAnsi="Arial"/>
                <w:sz w:val="14"/>
                <w:szCs w:val="14"/>
                <w:color w:val="auto"/>
              </w:rPr>
              <w:t>11 %</w:t>
            </w:r>
          </w:p>
        </w:tc>
        <w:tc>
          <w:tcPr>
            <w:tcW w:w="0" w:type="dxa"/>
            <w:vAlign w:val="bottom"/>
          </w:tcPr>
          <w:p>
            <w:pPr>
              <w:spacing w:after="0"/>
              <w:rPr>
                <w:sz w:val="1"/>
                <w:szCs w:val="1"/>
                <w:color w:val="auto"/>
              </w:rPr>
            </w:pPr>
          </w:p>
        </w:tc>
      </w:tr>
      <w:tr>
        <w:trPr>
          <w:trHeight w:val="192"/>
        </w:trPr>
        <w:tc>
          <w:tcPr>
            <w:tcW w:w="20" w:type="dxa"/>
            <w:vAlign w:val="bottom"/>
            <w:shd w:val="clear" w:color="auto" w:fill="CCEEFF"/>
          </w:tcPr>
          <w:p>
            <w:pPr>
              <w:spacing w:after="0"/>
              <w:rPr>
                <w:sz w:val="16"/>
                <w:szCs w:val="16"/>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4"/>
                <w:szCs w:val="14"/>
                <w:color w:val="auto"/>
              </w:rPr>
              <w:t>Hawthorne</w:t>
            </w:r>
          </w:p>
        </w:tc>
        <w:tc>
          <w:tcPr>
            <w:tcW w:w="160" w:type="dxa"/>
            <w:vAlign w:val="bottom"/>
            <w:shd w:val="clear" w:color="auto" w:fill="CCEEFF"/>
          </w:tcPr>
          <w:p>
            <w:pPr>
              <w:spacing w:after="0"/>
              <w:rPr>
                <w:sz w:val="16"/>
                <w:szCs w:val="16"/>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329.1</w:t>
            </w:r>
          </w:p>
        </w:tc>
        <w:tc>
          <w:tcPr>
            <w:tcW w:w="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337.3</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1,424.2</w:t>
            </w:r>
          </w:p>
        </w:tc>
        <w:tc>
          <w:tcPr>
            <w:tcW w:w="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1,023.1</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39 %</w:t>
            </w:r>
          </w:p>
        </w:tc>
        <w:tc>
          <w:tcPr>
            <w:tcW w:w="0" w:type="dxa"/>
            <w:vAlign w:val="bottom"/>
          </w:tcPr>
          <w:p>
            <w:pPr>
              <w:spacing w:after="0"/>
              <w:rPr>
                <w:sz w:val="1"/>
                <w:szCs w:val="1"/>
                <w:color w:val="auto"/>
              </w:rPr>
            </w:pPr>
          </w:p>
        </w:tc>
      </w:tr>
      <w:tr>
        <w:trPr>
          <w:trHeight w:val="186"/>
        </w:trPr>
        <w:tc>
          <w:tcPr>
            <w:tcW w:w="20" w:type="dxa"/>
            <w:vAlign w:val="bottom"/>
            <w:tcBorders>
              <w:bottom w:val="single" w:sz="8" w:color="CCEEFF"/>
            </w:tcBorders>
          </w:tcPr>
          <w:p>
            <w:pPr>
              <w:spacing w:after="0"/>
              <w:rPr>
                <w:sz w:val="16"/>
                <w:szCs w:val="16"/>
                <w:color w:val="auto"/>
              </w:rPr>
            </w:pPr>
          </w:p>
        </w:tc>
        <w:tc>
          <w:tcPr>
            <w:tcW w:w="3680" w:type="dxa"/>
            <w:vAlign w:val="bottom"/>
            <w:tcBorders>
              <w:bottom w:val="single" w:sz="8" w:color="CCEEFF"/>
            </w:tcBorders>
            <w:gridSpan w:val="2"/>
          </w:tcPr>
          <w:p>
            <w:pPr>
              <w:spacing w:after="0"/>
              <w:rPr>
                <w:sz w:val="20"/>
                <w:szCs w:val="20"/>
                <w:color w:val="auto"/>
              </w:rPr>
            </w:pPr>
            <w:r>
              <w:rPr>
                <w:rFonts w:ascii="Arial" w:cs="Arial" w:eastAsia="Arial" w:hAnsi="Arial"/>
                <w:sz w:val="14"/>
                <w:szCs w:val="14"/>
                <w:color w:val="auto"/>
              </w:rPr>
              <w:t>Other</w:t>
            </w: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39.3</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41.2</w:t>
            </w:r>
          </w:p>
        </w:tc>
        <w:tc>
          <w:tcPr>
            <w:tcW w:w="106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(5)%</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303.1</w:t>
            </w:r>
          </w:p>
        </w:tc>
        <w:tc>
          <w:tcPr>
            <w:tcW w:w="6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225.0</w:t>
            </w:r>
          </w:p>
        </w:tc>
        <w:tc>
          <w:tcPr>
            <w:tcW w:w="1060" w:type="dxa"/>
            <w:vAlign w:val="bottom"/>
            <w:tcBorders>
              <w:bottom w:val="single" w:sz="8" w:color="CCEEFF"/>
            </w:tcBorders>
            <w:gridSpan w:val="2"/>
          </w:tcPr>
          <w:p>
            <w:pPr>
              <w:jc w:val="right"/>
              <w:spacing w:after="0"/>
              <w:rPr>
                <w:sz w:val="20"/>
                <w:szCs w:val="20"/>
                <w:color w:val="auto"/>
              </w:rPr>
            </w:pPr>
            <w:r>
              <w:rPr>
                <w:rFonts w:ascii="Arial" w:cs="Arial" w:eastAsia="Arial" w:hAnsi="Arial"/>
                <w:sz w:val="14"/>
                <w:szCs w:val="14"/>
                <w:color w:val="auto"/>
              </w:rPr>
              <w:t>35 %</w:t>
            </w:r>
          </w:p>
        </w:tc>
        <w:tc>
          <w:tcPr>
            <w:tcW w:w="0" w:type="dxa"/>
            <w:vAlign w:val="bottom"/>
          </w:tcPr>
          <w:p>
            <w:pPr>
              <w:spacing w:after="0"/>
              <w:rPr>
                <w:sz w:val="1"/>
                <w:szCs w:val="1"/>
                <w:color w:val="auto"/>
              </w:rPr>
            </w:pPr>
          </w:p>
        </w:tc>
      </w:tr>
      <w:tr>
        <w:trPr>
          <w:trHeight w:val="184"/>
        </w:trPr>
        <w:tc>
          <w:tcPr>
            <w:tcW w:w="20" w:type="dxa"/>
            <w:vAlign w:val="bottom"/>
            <w:tcBorders>
              <w:bottom w:val="single" w:sz="8" w:color="CCEEFF"/>
            </w:tcBorders>
            <w:shd w:val="clear" w:color="auto" w:fill="CCEEFF"/>
          </w:tcPr>
          <w:p>
            <w:pPr>
              <w:spacing w:after="0"/>
              <w:rPr>
                <w:sz w:val="15"/>
                <w:szCs w:val="15"/>
                <w:color w:val="auto"/>
              </w:rPr>
            </w:pPr>
          </w:p>
        </w:tc>
        <w:tc>
          <w:tcPr>
            <w:tcW w:w="3680" w:type="dxa"/>
            <w:vAlign w:val="bottom"/>
            <w:tcBorders>
              <w:bottom w:val="single" w:sz="8" w:color="CCEEFF"/>
            </w:tcBorders>
            <w:gridSpan w:val="2"/>
            <w:shd w:val="clear" w:color="auto" w:fill="CCEEFF"/>
          </w:tcPr>
          <w:p>
            <w:pPr>
              <w:ind w:left="460"/>
              <w:spacing w:after="0" w:line="159" w:lineRule="exact"/>
              <w:rPr>
                <w:sz w:val="20"/>
                <w:szCs w:val="20"/>
                <w:color w:val="auto"/>
              </w:rPr>
            </w:pPr>
            <w:r>
              <w:rPr>
                <w:rFonts w:ascii="Arial" w:cs="Arial" w:eastAsia="Arial" w:hAnsi="Arial"/>
                <w:sz w:val="14"/>
                <w:szCs w:val="14"/>
                <w:color w:val="auto"/>
              </w:rPr>
              <w:t>Consolidated</w:t>
            </w:r>
          </w:p>
        </w:tc>
        <w:tc>
          <w:tcPr>
            <w:tcW w:w="1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8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737.8</w:t>
            </w:r>
          </w:p>
        </w:tc>
        <w:tc>
          <w:tcPr>
            <w:tcW w:w="40" w:type="dxa"/>
            <w:vAlign w:val="bottom"/>
            <w:tcBorders>
              <w:bottom w:val="single" w:sz="8" w:color="auto"/>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890.3</w:t>
            </w:r>
          </w:p>
        </w:tc>
        <w:tc>
          <w:tcPr>
            <w:tcW w:w="1060" w:type="dxa"/>
            <w:vAlign w:val="bottom"/>
            <w:tcBorders>
              <w:bottom w:val="single" w:sz="8" w:color="CCEEFF"/>
            </w:tcBorders>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(17)%</w:t>
            </w: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0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4,925.0</w:t>
            </w:r>
          </w:p>
        </w:tc>
        <w:tc>
          <w:tcPr>
            <w:tcW w:w="60" w:type="dxa"/>
            <w:vAlign w:val="bottom"/>
            <w:tcBorders>
              <w:bottom w:val="single" w:sz="8" w:color="auto"/>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w:t>
            </w:r>
          </w:p>
        </w:tc>
        <w:tc>
          <w:tcPr>
            <w:tcW w:w="1120" w:type="dxa"/>
            <w:vAlign w:val="bottom"/>
            <w:tcBorders>
              <w:bottom w:val="single" w:sz="8" w:color="auto"/>
            </w:tcBorders>
            <w:shd w:val="clear" w:color="auto" w:fill="CCEEFF"/>
          </w:tcPr>
          <w:p>
            <w:pPr>
              <w:jc w:val="right"/>
              <w:spacing w:after="0" w:line="159" w:lineRule="exact"/>
              <w:rPr>
                <w:sz w:val="20"/>
                <w:szCs w:val="20"/>
                <w:color w:val="auto"/>
              </w:rPr>
            </w:pPr>
            <w:r>
              <w:rPr>
                <w:rFonts w:ascii="Arial" w:cs="Arial" w:eastAsia="Arial" w:hAnsi="Arial"/>
                <w:sz w:val="14"/>
                <w:szCs w:val="14"/>
                <w:color w:val="auto"/>
              </w:rPr>
              <w:t>4,131.6</w:t>
            </w:r>
          </w:p>
        </w:tc>
        <w:tc>
          <w:tcPr>
            <w:tcW w:w="1060" w:type="dxa"/>
            <w:vAlign w:val="bottom"/>
            <w:tcBorders>
              <w:bottom w:val="single" w:sz="8" w:color="CCEEFF"/>
            </w:tcBorders>
            <w:gridSpan w:val="2"/>
            <w:shd w:val="clear" w:color="auto" w:fill="CCEEFF"/>
          </w:tcPr>
          <w:p>
            <w:pPr>
              <w:jc w:val="right"/>
              <w:spacing w:after="0" w:line="159" w:lineRule="exact"/>
              <w:rPr>
                <w:sz w:val="20"/>
                <w:szCs w:val="20"/>
                <w:color w:val="auto"/>
              </w:rPr>
            </w:pPr>
            <w:r>
              <w:rPr>
                <w:rFonts w:ascii="Arial" w:cs="Arial" w:eastAsia="Arial" w:hAnsi="Arial"/>
                <w:sz w:val="14"/>
                <w:szCs w:val="14"/>
                <w:color w:val="auto"/>
              </w:rPr>
              <w:t>19 %</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CCEEFF"/>
            </w:tcBorders>
          </w:tcPr>
          <w:p>
            <w:pPr>
              <w:spacing w:after="0" w:line="20" w:lineRule="exact"/>
              <w:rPr>
                <w:sz w:val="1"/>
                <w:szCs w:val="1"/>
                <w:color w:val="auto"/>
              </w:rPr>
            </w:pPr>
          </w:p>
        </w:tc>
        <w:tc>
          <w:tcPr>
            <w:tcW w:w="30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117" w:right="339" w:bottom="1440" w:gutter="0" w:footer="0" w:header="0"/>
        </w:sectPr>
      </w:pPr>
    </w:p>
    <w:p>
      <w:pPr>
        <w:spacing w:after="0" w:line="34" w:lineRule="exact"/>
        <w:rPr>
          <w:sz w:val="20"/>
          <w:szCs w:val="20"/>
          <w:color w:val="auto"/>
        </w:rPr>
      </w:pPr>
    </w:p>
    <w:p>
      <w:pPr>
        <w:ind w:left="20"/>
        <w:spacing w:after="0"/>
        <w:rPr>
          <w:sz w:val="20"/>
          <w:szCs w:val="20"/>
          <w:color w:val="auto"/>
        </w:rPr>
      </w:pPr>
      <w:r>
        <w:rPr>
          <w:rFonts w:ascii="Arial" w:cs="Arial" w:eastAsia="Arial" w:hAnsi="Arial"/>
          <w:sz w:val="14"/>
          <w:szCs w:val="14"/>
          <w:b w:val="1"/>
          <w:bCs w:val="1"/>
          <w:u w:val="single" w:color="auto"/>
          <w:color w:val="auto"/>
        </w:rPr>
        <w:t>Segment Profit (Loss) (Non-GAAP):</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4"/>
          <w:szCs w:val="14"/>
          <w:color w:val="auto"/>
        </w:rPr>
        <w:t>U.S. Consumer</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Hawthorne</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Other</w:t>
      </w:r>
    </w:p>
    <w:p>
      <w:pPr>
        <w:spacing w:after="0" w:line="42" w:lineRule="exact"/>
        <w:rPr>
          <w:sz w:val="20"/>
          <w:szCs w:val="20"/>
          <w:color w:val="auto"/>
        </w:rPr>
      </w:pPr>
    </w:p>
    <w:p>
      <w:pPr>
        <w:ind w:left="480"/>
        <w:spacing w:after="0"/>
        <w:rPr>
          <w:sz w:val="20"/>
          <w:szCs w:val="20"/>
          <w:color w:val="auto"/>
        </w:rPr>
      </w:pPr>
      <w:r>
        <w:rPr>
          <w:rFonts w:ascii="Arial" w:cs="Arial" w:eastAsia="Arial" w:hAnsi="Arial"/>
          <w:sz w:val="14"/>
          <w:szCs w:val="14"/>
          <w:color w:val="auto"/>
        </w:rPr>
        <w:t>Total Segment Profit (Loss) (Non-GAAP)</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Corporate</w:t>
      </w:r>
    </w:p>
    <w:p>
      <w:pPr>
        <w:spacing w:after="0" w:line="28" w:lineRule="exact"/>
        <w:rPr>
          <w:sz w:val="20"/>
          <w:szCs w:val="20"/>
          <w:color w:val="auto"/>
        </w:rPr>
      </w:pPr>
    </w:p>
    <w:p>
      <w:pPr>
        <w:ind w:left="20" w:right="1180"/>
        <w:spacing w:after="0" w:line="303" w:lineRule="auto"/>
        <w:rPr>
          <w:sz w:val="20"/>
          <w:szCs w:val="20"/>
          <w:color w:val="auto"/>
        </w:rPr>
      </w:pPr>
      <w:r>
        <w:rPr>
          <w:rFonts w:ascii="Arial" w:cs="Arial" w:eastAsia="Arial" w:hAnsi="Arial"/>
          <w:sz w:val="13"/>
          <w:szCs w:val="13"/>
          <w:color w:val="auto"/>
        </w:rPr>
        <w:t>Intangible asset amortization Impairment, restructuring and other</w:t>
      </w:r>
    </w:p>
    <w:p>
      <w:pPr>
        <w:spacing w:after="0" w:line="1" w:lineRule="exact"/>
        <w:rPr>
          <w:sz w:val="20"/>
          <w:szCs w:val="20"/>
          <w:color w:val="auto"/>
        </w:rPr>
      </w:pPr>
    </w:p>
    <w:p>
      <w:pPr>
        <w:ind w:left="20"/>
        <w:spacing w:after="0"/>
        <w:rPr>
          <w:sz w:val="20"/>
          <w:szCs w:val="20"/>
          <w:color w:val="auto"/>
        </w:rPr>
      </w:pPr>
      <w:r>
        <w:rPr>
          <w:rFonts w:ascii="Arial" w:cs="Arial" w:eastAsia="Arial" w:hAnsi="Arial"/>
          <w:sz w:val="14"/>
          <w:szCs w:val="14"/>
          <w:color w:val="auto"/>
        </w:rPr>
        <w:t>Equity in income (loss) of unconsolidated affiliates</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Costs related to refinancing</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Interest expense</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4"/>
          <w:szCs w:val="14"/>
          <w:color w:val="auto"/>
        </w:rPr>
        <w:t>Other non-operating income, net</w:t>
      </w:r>
    </w:p>
    <w:p>
      <w:pPr>
        <w:spacing w:after="0" w:line="28" w:lineRule="exact"/>
        <w:rPr>
          <w:sz w:val="20"/>
          <w:szCs w:val="20"/>
          <w:color w:val="auto"/>
        </w:rPr>
      </w:pPr>
    </w:p>
    <w:p>
      <w:pPr>
        <w:ind w:left="480"/>
        <w:spacing w:after="0" w:line="236" w:lineRule="auto"/>
        <w:rPr>
          <w:sz w:val="20"/>
          <w:szCs w:val="20"/>
          <w:color w:val="auto"/>
        </w:rPr>
      </w:pPr>
      <w:r>
        <w:rPr>
          <w:rFonts w:ascii="Arial" w:cs="Arial" w:eastAsia="Arial" w:hAnsi="Arial"/>
          <w:sz w:val="14"/>
          <w:szCs w:val="14"/>
          <w:color w:val="auto"/>
        </w:rPr>
        <w:t>Income (loss) from continuing operations before income taxes (GAAP)</w:t>
      </w:r>
    </w:p>
    <w:p>
      <w:pPr>
        <w:spacing w:after="0" w:line="20" w:lineRule="exact"/>
        <w:rPr>
          <w:sz w:val="20"/>
          <w:szCs w:val="20"/>
          <w:color w:val="auto"/>
        </w:rPr>
      </w:pPr>
      <w:r>
        <w:rPr>
          <w:sz w:val="20"/>
          <w:szCs w:val="20"/>
          <w:color w:val="auto"/>
        </w:rPr>
        <w:br w:type="column"/>
      </w:r>
    </w:p>
    <w:p>
      <w:pPr>
        <w:spacing w:after="0" w:line="20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2"/>
        </w:trPr>
        <w:tc>
          <w:tcPr>
            <w:tcW w:w="50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(18.9)</w:t>
            </w:r>
          </w:p>
        </w:tc>
        <w:tc>
          <w:tcPr>
            <w:tcW w:w="100" w:type="dxa"/>
            <w:vAlign w:val="bottom"/>
          </w:tcPr>
          <w:p>
            <w:pPr>
              <w:spacing w:after="0"/>
              <w:rPr>
                <w:sz w:val="15"/>
                <w:szCs w:val="15"/>
                <w:color w:val="auto"/>
              </w:rPr>
            </w:pPr>
          </w:p>
        </w:tc>
        <w:tc>
          <w:tcPr>
            <w:tcW w:w="500" w:type="dxa"/>
            <w:vAlign w:val="bottom"/>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Pr>
          <w:p>
            <w:pPr>
              <w:jc w:val="right"/>
              <w:spacing w:after="0"/>
              <w:rPr>
                <w:sz w:val="20"/>
                <w:szCs w:val="20"/>
                <w:color w:val="auto"/>
              </w:rPr>
            </w:pPr>
            <w:r>
              <w:rPr>
                <w:rFonts w:ascii="Arial" w:cs="Arial" w:eastAsia="Arial" w:hAnsi="Arial"/>
                <w:sz w:val="14"/>
                <w:szCs w:val="14"/>
                <w:color w:val="auto"/>
              </w:rPr>
              <w:t>46.0</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(141)%</w:t>
            </w: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726.7</w:t>
            </w:r>
          </w:p>
        </w:tc>
        <w:tc>
          <w:tcPr>
            <w:tcW w:w="100" w:type="dxa"/>
            <w:vAlign w:val="bottom"/>
          </w:tcPr>
          <w:p>
            <w:pPr>
              <w:spacing w:after="0"/>
              <w:rPr>
                <w:sz w:val="15"/>
                <w:szCs w:val="15"/>
                <w:color w:val="auto"/>
              </w:rPr>
            </w:pPr>
          </w:p>
        </w:tc>
        <w:tc>
          <w:tcPr>
            <w:tcW w:w="460" w:type="dxa"/>
            <w:vAlign w:val="bottom"/>
          </w:tcPr>
          <w:p>
            <w:pPr>
              <w:jc w:val="right"/>
              <w:ind w:right="288"/>
              <w:spacing w:after="0"/>
              <w:rPr>
                <w:sz w:val="20"/>
                <w:szCs w:val="20"/>
                <w:color w:val="auto"/>
              </w:rPr>
            </w:pPr>
            <w:r>
              <w:rPr>
                <w:rFonts w:ascii="Arial" w:cs="Arial" w:eastAsia="Arial" w:hAnsi="Arial"/>
                <w:sz w:val="14"/>
                <w:szCs w:val="14"/>
                <w:color w:val="auto"/>
              </w:rPr>
              <w:t>$</w:t>
            </w:r>
          </w:p>
        </w:tc>
        <w:tc>
          <w:tcPr>
            <w:tcW w:w="820" w:type="dxa"/>
            <w:vAlign w:val="bottom"/>
          </w:tcPr>
          <w:p>
            <w:pPr>
              <w:jc w:val="right"/>
              <w:spacing w:after="0"/>
              <w:rPr>
                <w:sz w:val="20"/>
                <w:szCs w:val="20"/>
                <w:color w:val="auto"/>
              </w:rPr>
            </w:pPr>
            <w:r>
              <w:rPr>
                <w:rFonts w:ascii="Arial" w:cs="Arial" w:eastAsia="Arial" w:hAnsi="Arial"/>
                <w:sz w:val="14"/>
                <w:szCs w:val="14"/>
                <w:color w:val="auto"/>
              </w:rPr>
              <w:t>694.3</w:t>
            </w:r>
          </w:p>
        </w:tc>
        <w:tc>
          <w:tcPr>
            <w:tcW w:w="1040" w:type="dxa"/>
            <w:vAlign w:val="bottom"/>
          </w:tcPr>
          <w:p>
            <w:pPr>
              <w:jc w:val="right"/>
              <w:spacing w:after="0"/>
              <w:rPr>
                <w:sz w:val="20"/>
                <w:szCs w:val="20"/>
                <w:color w:val="auto"/>
              </w:rPr>
            </w:pPr>
            <w:r>
              <w:rPr>
                <w:rFonts w:ascii="Arial" w:cs="Arial" w:eastAsia="Arial" w:hAnsi="Arial"/>
                <w:sz w:val="14"/>
                <w:szCs w:val="14"/>
                <w:color w:val="auto"/>
              </w:rPr>
              <w:t>5 %</w:t>
            </w:r>
          </w:p>
        </w:tc>
      </w:tr>
      <w:tr>
        <w:trPr>
          <w:trHeight w:val="189"/>
        </w:trPr>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30.1</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37.7</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(20)%</w:t>
            </w: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163.8</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111.9</w:t>
            </w:r>
          </w:p>
        </w:tc>
        <w:tc>
          <w:tcPr>
            <w:tcW w:w="1040" w:type="dxa"/>
            <w:vAlign w:val="bottom"/>
          </w:tcPr>
          <w:p>
            <w:pPr>
              <w:jc w:val="right"/>
              <w:spacing w:after="0"/>
              <w:rPr>
                <w:sz w:val="20"/>
                <w:szCs w:val="20"/>
                <w:color w:val="auto"/>
              </w:rPr>
            </w:pPr>
            <w:r>
              <w:rPr>
                <w:rFonts w:ascii="Arial" w:cs="Arial" w:eastAsia="Arial" w:hAnsi="Arial"/>
                <w:sz w:val="14"/>
                <w:szCs w:val="14"/>
                <w:color w:val="auto"/>
              </w:rPr>
              <w:t>46 %</w:t>
            </w:r>
          </w:p>
        </w:tc>
      </w:tr>
      <w:tr>
        <w:trPr>
          <w:trHeight w:val="195"/>
        </w:trPr>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w:t>
            </w:r>
          </w:p>
        </w:tc>
        <w:tc>
          <w:tcPr>
            <w:tcW w:w="100" w:type="dxa"/>
            <w:vAlign w:val="bottom"/>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25 %</w:t>
            </w:r>
          </w:p>
        </w:tc>
        <w:tc>
          <w:tcPr>
            <w:tcW w:w="4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42.1</w:t>
            </w:r>
          </w:p>
        </w:tc>
        <w:tc>
          <w:tcPr>
            <w:tcW w:w="100" w:type="dxa"/>
            <w:vAlign w:val="bottom"/>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11.7</w:t>
            </w:r>
          </w:p>
        </w:tc>
        <w:tc>
          <w:tcPr>
            <w:tcW w:w="1040" w:type="dxa"/>
            <w:vAlign w:val="bottom"/>
          </w:tcPr>
          <w:p>
            <w:pPr>
              <w:jc w:val="right"/>
              <w:spacing w:after="0"/>
              <w:rPr>
                <w:sz w:val="20"/>
                <w:szCs w:val="20"/>
                <w:color w:val="auto"/>
              </w:rPr>
            </w:pPr>
            <w:r>
              <w:rPr>
                <w:rFonts w:ascii="Arial" w:cs="Arial" w:eastAsia="Arial" w:hAnsi="Arial"/>
                <w:sz w:val="14"/>
                <w:szCs w:val="14"/>
                <w:color w:val="auto"/>
              </w:rPr>
              <w:t>260 %</w:t>
            </w:r>
          </w:p>
        </w:tc>
      </w:tr>
      <w:tr>
        <w:trPr>
          <w:trHeight w:val="182"/>
        </w:trPr>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8.8</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80.5</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(89)%</w:t>
            </w: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932.6</w:t>
            </w: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817.9</w:t>
            </w:r>
          </w:p>
        </w:tc>
        <w:tc>
          <w:tcPr>
            <w:tcW w:w="1040" w:type="dxa"/>
            <w:vAlign w:val="bottom"/>
          </w:tcPr>
          <w:p>
            <w:pPr>
              <w:jc w:val="right"/>
              <w:spacing w:after="0"/>
              <w:rPr>
                <w:sz w:val="20"/>
                <w:szCs w:val="20"/>
                <w:color w:val="auto"/>
              </w:rPr>
            </w:pPr>
            <w:r>
              <w:rPr>
                <w:rFonts w:ascii="Arial" w:cs="Arial" w:eastAsia="Arial" w:hAnsi="Arial"/>
                <w:sz w:val="14"/>
                <w:szCs w:val="14"/>
                <w:color w:val="auto"/>
              </w:rPr>
              <w:t>14 %</w:t>
            </w:r>
          </w:p>
        </w:tc>
      </w:tr>
      <w:tr>
        <w:trPr>
          <w:trHeight w:val="184"/>
        </w:trPr>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(34.9)</w:t>
            </w:r>
          </w:p>
        </w:tc>
        <w:tc>
          <w:tcPr>
            <w:tcW w:w="10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(62.5)</w:t>
            </w:r>
          </w:p>
        </w:tc>
        <w:tc>
          <w:tcPr>
            <w:tcW w:w="116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(149.7)</w:t>
            </w:r>
          </w:p>
        </w:tc>
        <w:tc>
          <w:tcPr>
            <w:tcW w:w="10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(183.4)</w:t>
            </w:r>
          </w:p>
        </w:tc>
        <w:tc>
          <w:tcPr>
            <w:tcW w:w="1040" w:type="dxa"/>
            <w:vAlign w:val="bottom"/>
          </w:tcPr>
          <w:p>
            <w:pPr>
              <w:spacing w:after="0"/>
              <w:rPr>
                <w:sz w:val="15"/>
                <w:szCs w:val="15"/>
                <w:color w:val="auto"/>
              </w:rPr>
            </w:pPr>
          </w:p>
        </w:tc>
      </w:tr>
      <w:tr>
        <w:trPr>
          <w:trHeight w:val="189"/>
        </w:trPr>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(7.9)</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(8.9)</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(30.9)</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(32.5)</w:t>
            </w:r>
          </w:p>
        </w:tc>
        <w:tc>
          <w:tcPr>
            <w:tcW w:w="1040" w:type="dxa"/>
            <w:vAlign w:val="bottom"/>
          </w:tcPr>
          <w:p>
            <w:pPr>
              <w:spacing w:after="0"/>
              <w:rPr>
                <w:sz w:val="16"/>
                <w:szCs w:val="16"/>
                <w:color w:val="auto"/>
              </w:rPr>
            </w:pPr>
          </w:p>
        </w:tc>
      </w:tr>
      <w:tr>
        <w:trPr>
          <w:trHeight w:val="189"/>
        </w:trPr>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(3.1)</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0.5</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(29.0)</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(16.8)</w:t>
            </w:r>
          </w:p>
        </w:tc>
        <w:tc>
          <w:tcPr>
            <w:tcW w:w="1040" w:type="dxa"/>
            <w:vAlign w:val="bottom"/>
          </w:tcPr>
          <w:p>
            <w:pPr>
              <w:spacing w:after="0"/>
              <w:rPr>
                <w:sz w:val="16"/>
                <w:szCs w:val="16"/>
                <w:color w:val="auto"/>
              </w:rPr>
            </w:pPr>
          </w:p>
        </w:tc>
      </w:tr>
      <w:tr>
        <w:trPr>
          <w:trHeight w:val="189"/>
        </w:trPr>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(5.6)</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14.4</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w:t>
            </w:r>
          </w:p>
        </w:tc>
        <w:tc>
          <w:tcPr>
            <w:tcW w:w="1040" w:type="dxa"/>
            <w:vAlign w:val="bottom"/>
          </w:tcPr>
          <w:p>
            <w:pPr>
              <w:spacing w:after="0"/>
              <w:rPr>
                <w:sz w:val="16"/>
                <w:szCs w:val="16"/>
                <w:color w:val="auto"/>
              </w:rPr>
            </w:pPr>
          </w:p>
        </w:tc>
      </w:tr>
      <w:tr>
        <w:trPr>
          <w:trHeight w:val="189"/>
        </w:trPr>
        <w:tc>
          <w:tcPr>
            <w:tcW w:w="50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(15.1)</w:t>
            </w:r>
          </w:p>
        </w:tc>
        <w:tc>
          <w:tcPr>
            <w:tcW w:w="1040" w:type="dxa"/>
            <w:vAlign w:val="bottom"/>
          </w:tcPr>
          <w:p>
            <w:pPr>
              <w:spacing w:after="0"/>
              <w:rPr>
                <w:sz w:val="16"/>
                <w:szCs w:val="16"/>
                <w:color w:val="auto"/>
              </w:rPr>
            </w:pPr>
          </w:p>
        </w:tc>
      </w:tr>
      <w:tr>
        <w:trPr>
          <w:trHeight w:val="189"/>
        </w:trPr>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(21.6)</w:t>
            </w:r>
          </w:p>
        </w:tc>
        <w:tc>
          <w:tcPr>
            <w:tcW w:w="1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Arial" w:cs="Arial" w:eastAsia="Arial" w:hAnsi="Arial"/>
                <w:sz w:val="14"/>
                <w:szCs w:val="14"/>
                <w:color w:val="auto"/>
              </w:rPr>
              <w:t>(16.7)</w:t>
            </w:r>
          </w:p>
        </w:tc>
        <w:tc>
          <w:tcPr>
            <w:tcW w:w="116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(78.9)</w:t>
            </w:r>
          </w:p>
        </w:tc>
        <w:tc>
          <w:tcPr>
            <w:tcW w:w="1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820" w:type="dxa"/>
            <w:vAlign w:val="bottom"/>
          </w:tcPr>
          <w:p>
            <w:pPr>
              <w:jc w:val="right"/>
              <w:spacing w:after="0"/>
              <w:rPr>
                <w:sz w:val="20"/>
                <w:szCs w:val="20"/>
                <w:color w:val="auto"/>
              </w:rPr>
            </w:pPr>
            <w:r>
              <w:rPr>
                <w:rFonts w:ascii="Arial" w:cs="Arial" w:eastAsia="Arial" w:hAnsi="Arial"/>
                <w:sz w:val="14"/>
                <w:szCs w:val="14"/>
                <w:color w:val="auto"/>
              </w:rPr>
              <w:t>(79.6)</w:t>
            </w:r>
          </w:p>
        </w:tc>
        <w:tc>
          <w:tcPr>
            <w:tcW w:w="1040" w:type="dxa"/>
            <w:vAlign w:val="bottom"/>
          </w:tcPr>
          <w:p>
            <w:pPr>
              <w:spacing w:after="0"/>
              <w:rPr>
                <w:sz w:val="16"/>
                <w:szCs w:val="16"/>
                <w:color w:val="auto"/>
              </w:rPr>
            </w:pPr>
          </w:p>
        </w:tc>
      </w:tr>
      <w:tr>
        <w:trPr>
          <w:trHeight w:val="195"/>
        </w:trPr>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w:t>
            </w:r>
          </w:p>
        </w:tc>
        <w:tc>
          <w:tcPr>
            <w:tcW w:w="100" w:type="dxa"/>
            <w:vAlign w:val="bottom"/>
          </w:tcPr>
          <w:p>
            <w:pPr>
              <w:spacing w:after="0"/>
              <w:rPr>
                <w:sz w:val="16"/>
                <w:szCs w:val="16"/>
                <w:color w:val="auto"/>
              </w:rPr>
            </w:pPr>
          </w:p>
        </w:tc>
        <w:tc>
          <w:tcPr>
            <w:tcW w:w="50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12.8</w:t>
            </w:r>
          </w:p>
        </w:tc>
        <w:tc>
          <w:tcPr>
            <w:tcW w:w="1160" w:type="dxa"/>
            <w:vAlign w:val="bottom"/>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18.6</w:t>
            </w:r>
          </w:p>
        </w:tc>
        <w:tc>
          <w:tcPr>
            <w:tcW w:w="100" w:type="dxa"/>
            <w:vAlign w:val="bottom"/>
          </w:tcPr>
          <w:p>
            <w:pPr>
              <w:spacing w:after="0"/>
              <w:rPr>
                <w:sz w:val="16"/>
                <w:szCs w:val="16"/>
                <w:color w:val="auto"/>
              </w:rPr>
            </w:pPr>
          </w:p>
        </w:tc>
        <w:tc>
          <w:tcPr>
            <w:tcW w:w="46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20.1</w:t>
            </w:r>
          </w:p>
        </w:tc>
        <w:tc>
          <w:tcPr>
            <w:tcW w:w="1040" w:type="dxa"/>
            <w:vAlign w:val="bottom"/>
          </w:tcPr>
          <w:p>
            <w:pPr>
              <w:spacing w:after="0"/>
              <w:rPr>
                <w:sz w:val="16"/>
                <w:szCs w:val="16"/>
                <w:color w:val="auto"/>
              </w:rPr>
            </w:pPr>
          </w:p>
        </w:tc>
      </w:tr>
      <w:tr>
        <w:trPr>
          <w:trHeight w:val="283"/>
        </w:trPr>
        <w:tc>
          <w:tcPr>
            <w:tcW w:w="5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(63.1)</w:t>
            </w:r>
          </w:p>
        </w:tc>
        <w:tc>
          <w:tcPr>
            <w:tcW w:w="100" w:type="dxa"/>
            <w:vAlign w:val="bottom"/>
          </w:tcPr>
          <w:p>
            <w:pPr>
              <w:spacing w:after="0"/>
              <w:rPr>
                <w:sz w:val="24"/>
                <w:szCs w:val="24"/>
                <w:color w:val="auto"/>
              </w:rPr>
            </w:pPr>
          </w:p>
        </w:tc>
        <w:tc>
          <w:tcPr>
            <w:tcW w:w="50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5.7</w:t>
            </w:r>
          </w:p>
        </w:tc>
        <w:tc>
          <w:tcPr>
            <w:tcW w:w="1160" w:type="dxa"/>
            <w:vAlign w:val="bottom"/>
          </w:tcPr>
          <w:p>
            <w:pPr>
              <w:jc w:val="right"/>
              <w:ind w:right="48"/>
              <w:spacing w:after="0"/>
              <w:rPr>
                <w:sz w:val="20"/>
                <w:szCs w:val="20"/>
                <w:color w:val="auto"/>
              </w:rPr>
            </w:pPr>
            <w:r>
              <w:rPr>
                <w:rFonts w:ascii="Arial" w:cs="Arial" w:eastAsia="Arial" w:hAnsi="Arial"/>
                <w:sz w:val="14"/>
                <w:szCs w:val="14"/>
                <w:color w:val="auto"/>
              </w:rPr>
              <w:t>(1,207)%</w:t>
            </w:r>
          </w:p>
        </w:tc>
        <w:tc>
          <w:tcPr>
            <w:tcW w:w="4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677.1</w:t>
            </w:r>
          </w:p>
        </w:tc>
        <w:tc>
          <w:tcPr>
            <w:tcW w:w="100" w:type="dxa"/>
            <w:vAlign w:val="bottom"/>
          </w:tcPr>
          <w:p>
            <w:pPr>
              <w:spacing w:after="0"/>
              <w:rPr>
                <w:sz w:val="24"/>
                <w:szCs w:val="24"/>
                <w:color w:val="auto"/>
              </w:rPr>
            </w:pPr>
          </w:p>
        </w:tc>
        <w:tc>
          <w:tcPr>
            <w:tcW w:w="4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510.6</w:t>
            </w:r>
          </w:p>
        </w:tc>
        <w:tc>
          <w:tcPr>
            <w:tcW w:w="1040" w:type="dxa"/>
            <w:vAlign w:val="bottom"/>
          </w:tcPr>
          <w:p>
            <w:pPr>
              <w:jc w:val="right"/>
              <w:spacing w:after="0"/>
              <w:rPr>
                <w:sz w:val="20"/>
                <w:szCs w:val="20"/>
                <w:color w:val="auto"/>
              </w:rPr>
            </w:pPr>
            <w:r>
              <w:rPr>
                <w:rFonts w:ascii="Arial" w:cs="Arial" w:eastAsia="Arial" w:hAnsi="Arial"/>
                <w:sz w:val="14"/>
                <w:szCs w:val="14"/>
                <w:color w:val="auto"/>
              </w:rPr>
              <w:t>33 %</w:t>
            </w: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-2343785</wp:posOffset>
            </wp:positionH>
            <wp:positionV relativeFrom="paragraph">
              <wp:posOffset>-1671320</wp:posOffset>
            </wp:positionV>
            <wp:extent cx="7132320" cy="1200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-1431290</wp:posOffset>
            </wp:positionV>
            <wp:extent cx="7132320" cy="1200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-1190625</wp:posOffset>
            </wp:positionV>
            <wp:extent cx="7132320" cy="128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28270"/>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-942340</wp:posOffset>
            </wp:positionV>
            <wp:extent cx="7132320" cy="1200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-702310</wp:posOffset>
            </wp:positionV>
            <wp:extent cx="7132320" cy="1200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-462280</wp:posOffset>
            </wp:positionV>
            <wp:extent cx="7132320" cy="1200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20015"/>
                    </a:xfrm>
                    <a:prstGeom prst="rect">
                      <a:avLst/>
                    </a:prstGeom>
                    <a:noFill/>
                  </pic:spPr>
                </pic:pic>
              </a:graphicData>
            </a:graphic>
          </wp:anchor>
        </w:drawing>
        <w:drawing>
          <wp:anchor simplePos="0" relativeHeight="251657728" behindDoc="1" locked="0" layoutInCell="0" allowOverlap="1">
            <wp:simplePos x="0" y="0"/>
            <wp:positionH relativeFrom="column">
              <wp:posOffset>-2343785</wp:posOffset>
            </wp:positionH>
            <wp:positionV relativeFrom="paragraph">
              <wp:posOffset>-222250</wp:posOffset>
            </wp:positionV>
            <wp:extent cx="7132320" cy="2057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20574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260" w:space="440"/>
            <w:col w:w="7540"/>
          </w:cols>
          <w:pgMar w:left="320" w:top="117"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5</w:t>
      </w:r>
    </w:p>
    <w:p>
      <w:pPr>
        <w:sectPr>
          <w:pgSz w:w="11900" w:h="16838" w:orient="portrait"/>
          <w:cols w:equalWidth="0" w:num="1">
            <w:col w:w="11240"/>
          </w:cols>
          <w:pgMar w:left="320" w:top="117" w:right="339" w:bottom="1440" w:gutter="0" w:footer="0" w:header="0"/>
          <w:type w:val="continuous"/>
        </w:sectPr>
      </w:pPr>
    </w:p>
    <w:bookmarkStart w:id="9" w:name="page10"/>
    <w:bookmarkEnd w:id="9"/>
    <w:p>
      <w:pPr>
        <w:jc w:val="center"/>
        <w:spacing w:after="0"/>
        <w:rPr>
          <w:sz w:val="20"/>
          <w:szCs w:val="20"/>
          <w:color w:val="auto"/>
        </w:rPr>
      </w:pPr>
      <w:r>
        <w:rPr>
          <w:rFonts w:ascii="Arial" w:cs="Arial" w:eastAsia="Arial" w:hAnsi="Arial"/>
          <w:sz w:val="25"/>
          <w:szCs w:val="25"/>
          <w:b w:val="1"/>
          <w:bCs w:val="1"/>
          <w:color w:val="auto"/>
        </w:rPr>
        <w:t>THE SCOTTS MIRACLE-GRO COMPANY</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ASSETS</w:t>
      </w:r>
    </w:p>
    <w:p>
      <w:pPr>
        <w:spacing w:after="0" w:line="36" w:lineRule="exact"/>
        <w:rPr>
          <w:sz w:val="20"/>
          <w:szCs w:val="20"/>
          <w:color w:val="auto"/>
        </w:rPr>
      </w:pPr>
    </w:p>
    <w:p>
      <w:pPr>
        <w:ind w:left="480"/>
        <w:spacing w:after="0"/>
        <w:rPr>
          <w:sz w:val="20"/>
          <w:szCs w:val="20"/>
          <w:color w:val="auto"/>
        </w:rPr>
      </w:pPr>
      <w:r>
        <w:rPr>
          <w:rFonts w:ascii="Arial" w:cs="Arial" w:eastAsia="Arial" w:hAnsi="Arial"/>
          <w:sz w:val="16"/>
          <w:szCs w:val="16"/>
          <w:color w:val="auto"/>
        </w:rPr>
        <w:t>Current assets:</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Cash and cash equivalents</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Accounts receivable, net</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Inventories</w:t>
      </w:r>
    </w:p>
    <w:p>
      <w:pPr>
        <w:spacing w:after="0" w:line="32" w:lineRule="exact"/>
        <w:rPr>
          <w:sz w:val="20"/>
          <w:szCs w:val="20"/>
          <w:color w:val="auto"/>
        </w:rPr>
      </w:pPr>
    </w:p>
    <w:p>
      <w:pPr>
        <w:jc w:val="center"/>
        <w:ind w:left="280"/>
        <w:spacing w:after="0"/>
        <w:rPr>
          <w:sz w:val="20"/>
          <w:szCs w:val="20"/>
          <w:color w:val="auto"/>
        </w:rPr>
      </w:pPr>
      <w:r>
        <w:rPr>
          <w:rFonts w:ascii="Arial" w:cs="Arial" w:eastAsia="Arial" w:hAnsi="Arial"/>
          <w:sz w:val="15"/>
          <w:szCs w:val="15"/>
          <w:color w:val="auto"/>
        </w:rPr>
        <w:t>Prepaid and other current assets</w:t>
      </w:r>
    </w:p>
    <w:p>
      <w:pPr>
        <w:spacing w:after="0" w:line="57" w:lineRule="exact"/>
        <w:rPr>
          <w:sz w:val="20"/>
          <w:szCs w:val="20"/>
          <w:color w:val="auto"/>
        </w:rPr>
      </w:pPr>
    </w:p>
    <w:p>
      <w:pPr>
        <w:ind w:left="1200"/>
        <w:spacing w:after="0"/>
        <w:rPr>
          <w:sz w:val="20"/>
          <w:szCs w:val="20"/>
          <w:color w:val="auto"/>
        </w:rPr>
      </w:pPr>
      <w:r>
        <w:rPr>
          <w:rFonts w:ascii="Arial" w:cs="Arial" w:eastAsia="Arial" w:hAnsi="Arial"/>
          <w:sz w:val="16"/>
          <w:szCs w:val="16"/>
          <w:color w:val="auto"/>
        </w:rPr>
        <w:t>Total current assets</w:t>
      </w:r>
    </w:p>
    <w:p>
      <w:pPr>
        <w:spacing w:after="0" w:line="32" w:lineRule="exact"/>
        <w:rPr>
          <w:sz w:val="20"/>
          <w:szCs w:val="20"/>
          <w:color w:val="auto"/>
        </w:rPr>
      </w:pPr>
    </w:p>
    <w:p>
      <w:pPr>
        <w:ind w:left="480"/>
        <w:spacing w:after="0"/>
        <w:rPr>
          <w:sz w:val="20"/>
          <w:szCs w:val="20"/>
          <w:color w:val="auto"/>
        </w:rPr>
      </w:pPr>
      <w:r>
        <w:rPr>
          <w:rFonts w:ascii="Arial" w:cs="Arial" w:eastAsia="Arial" w:hAnsi="Arial"/>
          <w:sz w:val="14"/>
          <w:szCs w:val="14"/>
          <w:color w:val="auto"/>
        </w:rPr>
        <w:t>Investment in unconsolidated affiliates</w:t>
      </w:r>
    </w:p>
    <w:p>
      <w:pPr>
        <w:spacing w:after="0" w:line="55" w:lineRule="exact"/>
        <w:rPr>
          <w:sz w:val="20"/>
          <w:szCs w:val="20"/>
          <w:color w:val="auto"/>
        </w:rPr>
      </w:pPr>
    </w:p>
    <w:p>
      <w:pPr>
        <w:ind w:left="480"/>
        <w:spacing w:after="0"/>
        <w:rPr>
          <w:sz w:val="20"/>
          <w:szCs w:val="20"/>
          <w:color w:val="auto"/>
        </w:rPr>
      </w:pPr>
      <w:r>
        <w:rPr>
          <w:rFonts w:ascii="Arial" w:cs="Arial" w:eastAsia="Arial" w:hAnsi="Arial"/>
          <w:sz w:val="16"/>
          <w:szCs w:val="16"/>
          <w:color w:val="auto"/>
        </w:rPr>
        <w:t>Property, plant and equipment, net</w:t>
      </w:r>
    </w:p>
    <w:p>
      <w:pPr>
        <w:spacing w:after="0" w:line="32" w:lineRule="exact"/>
        <w:rPr>
          <w:sz w:val="20"/>
          <w:szCs w:val="20"/>
          <w:color w:val="auto"/>
        </w:rPr>
      </w:pPr>
    </w:p>
    <w:p>
      <w:pPr>
        <w:ind w:left="480"/>
        <w:spacing w:after="0"/>
        <w:rPr>
          <w:sz w:val="20"/>
          <w:szCs w:val="20"/>
          <w:color w:val="auto"/>
        </w:rPr>
      </w:pPr>
      <w:r>
        <w:rPr>
          <w:rFonts w:ascii="Arial" w:cs="Arial" w:eastAsia="Arial" w:hAnsi="Arial"/>
          <w:sz w:val="16"/>
          <w:szCs w:val="16"/>
          <w:color w:val="auto"/>
        </w:rPr>
        <w:t>Goodwill</w:t>
      </w:r>
    </w:p>
    <w:p>
      <w:pPr>
        <w:spacing w:after="0" w:line="32" w:lineRule="exact"/>
        <w:rPr>
          <w:sz w:val="20"/>
          <w:szCs w:val="20"/>
          <w:color w:val="auto"/>
        </w:rPr>
      </w:pPr>
    </w:p>
    <w:p>
      <w:pPr>
        <w:ind w:left="480"/>
        <w:spacing w:after="0"/>
        <w:rPr>
          <w:sz w:val="20"/>
          <w:szCs w:val="20"/>
          <w:color w:val="auto"/>
        </w:rPr>
      </w:pPr>
      <w:r>
        <w:rPr>
          <w:rFonts w:ascii="Arial" w:cs="Arial" w:eastAsia="Arial" w:hAnsi="Arial"/>
          <w:sz w:val="16"/>
          <w:szCs w:val="16"/>
          <w:color w:val="auto"/>
        </w:rPr>
        <w:t>Intangible assets, net</w:t>
      </w:r>
    </w:p>
    <w:p>
      <w:pPr>
        <w:spacing w:after="0" w:line="32" w:lineRule="exact"/>
        <w:rPr>
          <w:sz w:val="20"/>
          <w:szCs w:val="20"/>
          <w:color w:val="auto"/>
        </w:rPr>
      </w:pPr>
    </w:p>
    <w:p>
      <w:pPr>
        <w:ind w:left="480"/>
        <w:spacing w:after="0"/>
        <w:rPr>
          <w:sz w:val="20"/>
          <w:szCs w:val="20"/>
          <w:color w:val="auto"/>
        </w:rPr>
      </w:pPr>
      <w:r>
        <w:rPr>
          <w:rFonts w:ascii="Arial" w:cs="Arial" w:eastAsia="Arial" w:hAnsi="Arial"/>
          <w:sz w:val="16"/>
          <w:szCs w:val="16"/>
          <w:color w:val="auto"/>
        </w:rPr>
        <w:t>Other assets</w:t>
      </w:r>
    </w:p>
    <w:p>
      <w:pPr>
        <w:spacing w:after="0" w:line="73" w:lineRule="exact"/>
        <w:rPr>
          <w:sz w:val="20"/>
          <w:szCs w:val="20"/>
          <w:color w:val="auto"/>
        </w:rPr>
      </w:pPr>
    </w:p>
    <w:p>
      <w:pPr>
        <w:ind w:left="1200"/>
        <w:spacing w:after="0"/>
        <w:rPr>
          <w:sz w:val="20"/>
          <w:szCs w:val="20"/>
          <w:color w:val="auto"/>
        </w:rPr>
      </w:pPr>
      <w:r>
        <w:rPr>
          <w:rFonts w:ascii="Arial" w:cs="Arial" w:eastAsia="Arial" w:hAnsi="Arial"/>
          <w:sz w:val="16"/>
          <w:szCs w:val="16"/>
          <w:color w:val="auto"/>
        </w:rPr>
        <w:t>Total assets</w:t>
      </w:r>
    </w:p>
    <w:p>
      <w:pPr>
        <w:spacing w:after="0" w:line="28"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LIABILITIES AND EQUITY</w:t>
      </w:r>
    </w:p>
    <w:p>
      <w:pPr>
        <w:spacing w:after="0" w:line="36" w:lineRule="exact"/>
        <w:rPr>
          <w:sz w:val="20"/>
          <w:szCs w:val="20"/>
          <w:color w:val="auto"/>
        </w:rPr>
      </w:pPr>
    </w:p>
    <w:p>
      <w:pPr>
        <w:ind w:left="480"/>
        <w:spacing w:after="0"/>
        <w:rPr>
          <w:sz w:val="20"/>
          <w:szCs w:val="20"/>
          <w:color w:val="auto"/>
        </w:rPr>
      </w:pPr>
      <w:r>
        <w:rPr>
          <w:rFonts w:ascii="Arial" w:cs="Arial" w:eastAsia="Arial" w:hAnsi="Arial"/>
          <w:sz w:val="16"/>
          <w:szCs w:val="16"/>
          <w:color w:val="auto"/>
        </w:rPr>
        <w:t>Current liabilities:</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Current portion of debt</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Accounts payable</w:t>
      </w:r>
    </w:p>
    <w:p>
      <w:pPr>
        <w:spacing w:after="0" w:line="32" w:lineRule="exact"/>
        <w:rPr>
          <w:sz w:val="20"/>
          <w:szCs w:val="20"/>
          <w:color w:val="auto"/>
        </w:rPr>
      </w:pPr>
    </w:p>
    <w:p>
      <w:pPr>
        <w:ind w:left="800"/>
        <w:spacing w:after="0"/>
        <w:rPr>
          <w:sz w:val="20"/>
          <w:szCs w:val="20"/>
          <w:color w:val="auto"/>
        </w:rPr>
      </w:pPr>
      <w:r>
        <w:rPr>
          <w:rFonts w:ascii="Arial" w:cs="Arial" w:eastAsia="Arial" w:hAnsi="Arial"/>
          <w:sz w:val="16"/>
          <w:szCs w:val="16"/>
          <w:color w:val="auto"/>
        </w:rPr>
        <w:t>Other current liabilities</w:t>
      </w:r>
    </w:p>
    <w:p>
      <w:pPr>
        <w:spacing w:after="0" w:line="46" w:lineRule="exact"/>
        <w:rPr>
          <w:sz w:val="20"/>
          <w:szCs w:val="20"/>
          <w:color w:val="auto"/>
        </w:rPr>
      </w:pPr>
    </w:p>
    <w:p>
      <w:pPr>
        <w:ind w:left="480" w:right="680" w:firstLine="729"/>
        <w:spacing w:after="0" w:line="281" w:lineRule="auto"/>
        <w:rPr>
          <w:sz w:val="20"/>
          <w:szCs w:val="20"/>
          <w:color w:val="auto"/>
        </w:rPr>
      </w:pPr>
      <w:r>
        <w:rPr>
          <w:rFonts w:ascii="Arial" w:cs="Arial" w:eastAsia="Arial" w:hAnsi="Arial"/>
          <w:sz w:val="16"/>
          <w:szCs w:val="16"/>
          <w:color w:val="auto"/>
        </w:rPr>
        <w:t>Total current liabilities Long-term debt</w:t>
      </w:r>
    </w:p>
    <w:p>
      <w:pPr>
        <w:spacing w:after="0" w:line="1" w:lineRule="exact"/>
        <w:rPr>
          <w:sz w:val="20"/>
          <w:szCs w:val="20"/>
          <w:color w:val="auto"/>
        </w:rPr>
      </w:pPr>
    </w:p>
    <w:p>
      <w:pPr>
        <w:ind w:left="480"/>
        <w:spacing w:after="0"/>
        <w:rPr>
          <w:sz w:val="20"/>
          <w:szCs w:val="20"/>
          <w:color w:val="auto"/>
        </w:rPr>
      </w:pPr>
      <w:r>
        <w:rPr>
          <w:rFonts w:ascii="Arial" w:cs="Arial" w:eastAsia="Arial" w:hAnsi="Arial"/>
          <w:sz w:val="16"/>
          <w:szCs w:val="16"/>
          <w:color w:val="auto"/>
        </w:rPr>
        <w:t>Other liabilities</w:t>
      </w:r>
    </w:p>
    <w:p>
      <w:pPr>
        <w:spacing w:after="0" w:line="20" w:lineRule="exact"/>
        <w:rPr>
          <w:sz w:val="20"/>
          <w:szCs w:val="20"/>
          <w:color w:val="auto"/>
        </w:rPr>
      </w:pPr>
      <w:r>
        <w:rPr>
          <w:sz w:val="20"/>
          <w:szCs w:val="20"/>
          <w:color w:val="auto"/>
        </w:rPr>
        <w:br w:type="column"/>
      </w:r>
    </w:p>
    <w:p>
      <w:pPr>
        <w:spacing w:after="0" w:line="14" w:lineRule="exact"/>
        <w:rPr>
          <w:sz w:val="20"/>
          <w:szCs w:val="20"/>
          <w:color w:val="auto"/>
        </w:rPr>
      </w:pPr>
    </w:p>
    <w:p>
      <w:pPr>
        <w:jc w:val="center"/>
        <w:ind w:right="4060"/>
        <w:spacing w:after="0"/>
        <w:rPr>
          <w:sz w:val="20"/>
          <w:szCs w:val="20"/>
          <w:color w:val="auto"/>
        </w:rPr>
      </w:pPr>
      <w:r>
        <w:rPr>
          <w:rFonts w:ascii="Arial" w:cs="Arial" w:eastAsia="Arial" w:hAnsi="Arial"/>
          <w:sz w:val="15"/>
          <w:szCs w:val="15"/>
          <w:b w:val="1"/>
          <w:bCs w:val="1"/>
          <w:color w:val="auto"/>
        </w:rPr>
        <w:t>Condensed Consolidated Balance Sheets</w:t>
      </w:r>
    </w:p>
    <w:p>
      <w:pPr>
        <w:spacing w:after="0" w:line="42" w:lineRule="exact"/>
        <w:rPr>
          <w:sz w:val="20"/>
          <w:szCs w:val="20"/>
          <w:color w:val="auto"/>
        </w:rPr>
      </w:pPr>
    </w:p>
    <w:p>
      <w:pPr>
        <w:ind w:left="1100"/>
        <w:spacing w:after="0"/>
        <w:rPr>
          <w:sz w:val="20"/>
          <w:szCs w:val="20"/>
          <w:color w:val="auto"/>
        </w:rPr>
      </w:pPr>
      <w:r>
        <w:rPr>
          <w:rFonts w:ascii="Arial" w:cs="Arial" w:eastAsia="Arial" w:hAnsi="Arial"/>
          <w:sz w:val="18"/>
          <w:szCs w:val="18"/>
          <w:color w:val="auto"/>
        </w:rPr>
        <w:t>(In millions)</w:t>
      </w:r>
    </w:p>
    <w:p>
      <w:pPr>
        <w:spacing w:after="0" w:line="9" w:lineRule="exact"/>
        <w:rPr>
          <w:sz w:val="20"/>
          <w:szCs w:val="20"/>
          <w:color w:val="auto"/>
        </w:rPr>
      </w:pPr>
    </w:p>
    <w:p>
      <w:pPr>
        <w:ind w:left="1100"/>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209" w:lineRule="exact"/>
        <w:rPr>
          <w:sz w:val="20"/>
          <w:szCs w:val="20"/>
          <w:color w:val="auto"/>
        </w:rPr>
      </w:pPr>
    </w:p>
    <w:tbl>
      <w:tblPr>
        <w:tblLayout w:type="fixed"/>
        <w:tblInd w:w="4380" w:type="dxa"/>
        <w:tblCellMar>
          <w:top w:w="0" w:type="dxa"/>
          <w:left w:w="0" w:type="dxa"/>
          <w:bottom w:w="0" w:type="dxa"/>
          <w:right w:w="0" w:type="dxa"/>
        </w:tblCellMar>
      </w:tblPr>
      <w:tr>
        <w:trPr>
          <w:trHeight w:val="184"/>
        </w:trPr>
        <w:tc>
          <w:tcPr>
            <w:tcW w:w="140" w:type="dxa"/>
            <w:vAlign w:val="bottom"/>
          </w:tcPr>
          <w:p>
            <w:pPr>
              <w:spacing w:after="0"/>
              <w:rPr>
                <w:sz w:val="16"/>
                <w:szCs w:val="16"/>
                <w:color w:val="auto"/>
              </w:rPr>
            </w:pPr>
          </w:p>
        </w:tc>
        <w:tc>
          <w:tcPr>
            <w:tcW w:w="1300" w:type="dxa"/>
            <w:vAlign w:val="bottom"/>
            <w:gridSpan w:val="2"/>
          </w:tcPr>
          <w:p>
            <w:pPr>
              <w:ind w:left="60"/>
              <w:spacing w:after="0"/>
              <w:rPr>
                <w:sz w:val="20"/>
                <w:szCs w:val="20"/>
                <w:color w:val="auto"/>
              </w:rPr>
            </w:pPr>
            <w:r>
              <w:rPr>
                <w:rFonts w:ascii="Arial" w:cs="Arial" w:eastAsia="Arial" w:hAnsi="Arial"/>
                <w:sz w:val="16"/>
                <w:szCs w:val="16"/>
                <w:color w:val="auto"/>
              </w:rPr>
              <w:t>September 30,</w:t>
            </w:r>
          </w:p>
        </w:tc>
        <w:tc>
          <w:tcPr>
            <w:tcW w:w="160" w:type="dxa"/>
            <w:vAlign w:val="bottom"/>
          </w:tcPr>
          <w:p>
            <w:pPr>
              <w:spacing w:after="0"/>
              <w:rPr>
                <w:sz w:val="16"/>
                <w:szCs w:val="16"/>
                <w:color w:val="auto"/>
              </w:rPr>
            </w:pPr>
          </w:p>
        </w:tc>
        <w:tc>
          <w:tcPr>
            <w:tcW w:w="1180" w:type="dxa"/>
            <w:vAlign w:val="bottom"/>
          </w:tcPr>
          <w:p>
            <w:pPr>
              <w:jc w:val="right"/>
              <w:ind w:right="119"/>
              <w:spacing w:after="0"/>
              <w:rPr>
                <w:sz w:val="20"/>
                <w:szCs w:val="20"/>
                <w:color w:val="auto"/>
              </w:rPr>
            </w:pPr>
            <w:r>
              <w:rPr>
                <w:rFonts w:ascii="Arial" w:cs="Arial" w:eastAsia="Arial" w:hAnsi="Arial"/>
                <w:sz w:val="16"/>
                <w:szCs w:val="16"/>
                <w:color w:val="auto"/>
                <w:w w:val="91"/>
              </w:rPr>
              <w:t>September 30,</w:t>
            </w:r>
          </w:p>
        </w:tc>
      </w:tr>
      <w:tr>
        <w:trPr>
          <w:trHeight w:val="209"/>
        </w:trPr>
        <w:tc>
          <w:tcPr>
            <w:tcW w:w="1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439"/>
              <w:spacing w:after="0"/>
              <w:rPr>
                <w:sz w:val="20"/>
                <w:szCs w:val="20"/>
                <w:color w:val="auto"/>
              </w:rPr>
            </w:pPr>
            <w:r>
              <w:rPr>
                <w:rFonts w:ascii="Arial" w:cs="Arial" w:eastAsia="Arial" w:hAnsi="Arial"/>
                <w:sz w:val="16"/>
                <w:szCs w:val="16"/>
                <w:color w:val="auto"/>
              </w:rPr>
              <w:t>2021</w:t>
            </w: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419"/>
              <w:spacing w:after="0"/>
              <w:rPr>
                <w:sz w:val="20"/>
                <w:szCs w:val="20"/>
                <w:color w:val="auto"/>
              </w:rPr>
            </w:pPr>
            <w:r>
              <w:rPr>
                <w:rFonts w:ascii="Arial" w:cs="Arial" w:eastAsia="Arial" w:hAnsi="Arial"/>
                <w:sz w:val="16"/>
                <w:szCs w:val="16"/>
                <w:color w:val="auto"/>
              </w:rPr>
              <w:t>2020</w:t>
            </w:r>
          </w:p>
        </w:tc>
      </w:tr>
      <w:tr>
        <w:trPr>
          <w:trHeight w:val="625"/>
        </w:trPr>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244.1</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16.6</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483.4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497.1</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1,126.6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621.9</w:t>
            </w:r>
          </w:p>
        </w:tc>
      </w:tr>
      <w:tr>
        <w:trPr>
          <w:trHeight w:val="219"/>
        </w:trPr>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169.9</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81.0</w:t>
            </w:r>
          </w:p>
        </w:tc>
      </w:tr>
      <w:tr>
        <w:trPr>
          <w:trHeight w:val="207"/>
        </w:trPr>
        <w:tc>
          <w:tcPr>
            <w:tcW w:w="14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2,024.0</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1,216.6</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207.0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622.2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560.0</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605.2</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544.1</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709.6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679.2</w:t>
            </w:r>
          </w:p>
        </w:tc>
      </w:tr>
      <w:tr>
        <w:trPr>
          <w:trHeight w:val="219"/>
        </w:trPr>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632.0</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380.6</w:t>
            </w:r>
          </w:p>
        </w:tc>
      </w:tr>
      <w:tr>
        <w:trPr>
          <w:trHeight w:val="209"/>
        </w:trPr>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4,800.0</w:t>
            </w: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3,380.5</w:t>
            </w:r>
          </w:p>
        </w:tc>
      </w:tr>
      <w:tr>
        <w:trPr>
          <w:trHeight w:val="24"/>
        </w:trPr>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r>
      <w:tr>
        <w:trPr>
          <w:trHeight w:val="608"/>
        </w:trPr>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57.8</w:t>
            </w:r>
          </w:p>
        </w:tc>
        <w:tc>
          <w:tcPr>
            <w:tcW w:w="100" w:type="dxa"/>
            <w:vAlign w:val="bottom"/>
          </w:tcPr>
          <w:p>
            <w:pPr>
              <w:spacing w:after="0"/>
              <w:rPr>
                <w:sz w:val="24"/>
                <w:szCs w:val="24"/>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66.4</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609.4</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391.0</w:t>
            </w:r>
          </w:p>
        </w:tc>
      </w:tr>
      <w:tr>
        <w:trPr>
          <w:trHeight w:val="219"/>
        </w:trPr>
        <w:tc>
          <w:tcPr>
            <w:tcW w:w="1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473.2</w:t>
            </w:r>
          </w:p>
        </w:tc>
        <w:tc>
          <w:tcPr>
            <w:tcW w:w="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493.0</w:t>
            </w:r>
          </w:p>
        </w:tc>
      </w:tr>
      <w:tr>
        <w:trPr>
          <w:trHeight w:val="207"/>
        </w:trPr>
        <w:tc>
          <w:tcPr>
            <w:tcW w:w="14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1,140.4</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950.4</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2,236.7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1,455.1</w:t>
            </w:r>
          </w:p>
        </w:tc>
      </w:tr>
      <w:tr>
        <w:trPr>
          <w:trHeight w:val="216"/>
        </w:trPr>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409.6</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tcPr>
          <w:p>
            <w:pPr>
              <w:jc w:val="right"/>
              <w:spacing w:after="0"/>
              <w:rPr>
                <w:sz w:val="20"/>
                <w:szCs w:val="20"/>
                <w:color w:val="auto"/>
              </w:rPr>
            </w:pPr>
            <w:r>
              <w:rPr>
                <w:rFonts w:ascii="Arial" w:cs="Arial" w:eastAsia="Arial" w:hAnsi="Arial"/>
                <w:sz w:val="16"/>
                <w:szCs w:val="16"/>
                <w:color w:val="auto"/>
              </w:rPr>
              <w:t>272.1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-2585085</wp:posOffset>
            </wp:positionH>
            <wp:positionV relativeFrom="paragraph">
              <wp:posOffset>-2919095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-2644140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-2369820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-2096135</wp:posOffset>
            </wp:positionV>
            <wp:extent cx="7132320" cy="1460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-1812925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-1538605</wp:posOffset>
            </wp:positionV>
            <wp:extent cx="7132320" cy="1371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-1264285</wp:posOffset>
            </wp:positionV>
            <wp:extent cx="7132320" cy="1625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-963930</wp:posOffset>
            </wp:positionV>
            <wp:extent cx="7132320" cy="137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-690245</wp:posOffset>
            </wp:positionV>
            <wp:extent cx="7132320" cy="13716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-415925</wp:posOffset>
            </wp:positionV>
            <wp:extent cx="7132320" cy="146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-2585085</wp:posOffset>
            </wp:positionH>
            <wp:positionV relativeFrom="paragraph">
              <wp:posOffset>-132715</wp:posOffset>
            </wp:positionV>
            <wp:extent cx="7132320" cy="137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 w:lineRule="exact"/>
        <w:rPr>
          <w:sz w:val="20"/>
          <w:szCs w:val="20"/>
          <w:color w:val="auto"/>
        </w:rPr>
      </w:pPr>
    </w:p>
    <w:p>
      <w:pPr>
        <w:sectPr>
          <w:pgSz w:w="11900" w:h="16838" w:orient="portrait"/>
          <w:cols w:equalWidth="0" w:num="2">
            <w:col w:w="3360" w:space="720"/>
            <w:col w:w="7160"/>
          </w:cols>
          <w:pgMar w:left="320" w:top="117" w:right="339" w:bottom="1440" w:gutter="0" w:footer="0" w:header="0"/>
          <w:type w:val="continuous"/>
        </w:sectPr>
      </w:pPr>
    </w:p>
    <w:tbl>
      <w:tblPr>
        <w:tblLayout w:type="fixed"/>
        <w:tblInd w:w="0" w:type="dxa"/>
        <w:tblCellMar>
          <w:top w:w="0" w:type="dxa"/>
          <w:left w:w="0" w:type="dxa"/>
          <w:bottom w:w="0" w:type="dxa"/>
          <w:right w:w="0" w:type="dxa"/>
        </w:tblCellMar>
      </w:tblPr>
      <w:tr>
        <w:trPr>
          <w:trHeight w:val="213"/>
        </w:trPr>
        <w:tc>
          <w:tcPr>
            <w:tcW w:w="8460" w:type="dxa"/>
            <w:vAlign w:val="bottom"/>
          </w:tcPr>
          <w:p>
            <w:pPr>
              <w:ind w:left="1200"/>
              <w:spacing w:after="0"/>
              <w:rPr>
                <w:sz w:val="20"/>
                <w:szCs w:val="20"/>
                <w:color w:val="auto"/>
              </w:rPr>
            </w:pPr>
            <w:r>
              <w:rPr>
                <w:rFonts w:ascii="Arial" w:cs="Arial" w:eastAsia="Arial" w:hAnsi="Arial"/>
                <w:sz w:val="16"/>
                <w:szCs w:val="16"/>
                <w:color w:val="auto"/>
              </w:rPr>
              <w:t>Total liabilities</w:t>
            </w: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3,786.7</w:t>
            </w:r>
          </w:p>
        </w:tc>
        <w:tc>
          <w:tcPr>
            <w:tcW w:w="10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2,677.6</w:t>
            </w:r>
          </w:p>
        </w:tc>
      </w:tr>
      <w:tr>
        <w:trPr>
          <w:trHeight w:val="216"/>
        </w:trPr>
        <w:tc>
          <w:tcPr>
            <w:tcW w:w="8460" w:type="dxa"/>
            <w:vAlign w:val="bottom"/>
            <w:shd w:val="clear" w:color="auto" w:fill="CCEEFF"/>
          </w:tcPr>
          <w:p>
            <w:pPr>
              <w:ind w:left="480"/>
              <w:spacing w:after="0"/>
              <w:rPr>
                <w:sz w:val="20"/>
                <w:szCs w:val="20"/>
                <w:color w:val="auto"/>
              </w:rPr>
            </w:pPr>
            <w:r>
              <w:rPr>
                <w:rFonts w:ascii="Arial" w:cs="Arial" w:eastAsia="Arial" w:hAnsi="Arial"/>
                <w:sz w:val="16"/>
                <w:szCs w:val="16"/>
                <w:color w:val="auto"/>
              </w:rPr>
              <w:t>Equity</w:t>
            </w:r>
          </w:p>
        </w:tc>
        <w:tc>
          <w:tcPr>
            <w:tcW w:w="4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1,013.3</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702.9</w:t>
            </w:r>
          </w:p>
        </w:tc>
      </w:tr>
      <w:tr>
        <w:trPr>
          <w:trHeight w:val="213"/>
        </w:trPr>
        <w:tc>
          <w:tcPr>
            <w:tcW w:w="8460" w:type="dxa"/>
            <w:vAlign w:val="bottom"/>
          </w:tcPr>
          <w:p>
            <w:pPr>
              <w:ind w:left="1200"/>
              <w:spacing w:after="0"/>
              <w:rPr>
                <w:sz w:val="20"/>
                <w:szCs w:val="20"/>
                <w:color w:val="auto"/>
              </w:rPr>
            </w:pPr>
            <w:r>
              <w:rPr>
                <w:rFonts w:ascii="Arial" w:cs="Arial" w:eastAsia="Arial" w:hAnsi="Arial"/>
                <w:sz w:val="16"/>
                <w:szCs w:val="16"/>
                <w:color w:val="auto"/>
              </w:rPr>
              <w:t>Total liabilities and equity</w:t>
            </w:r>
          </w:p>
        </w:tc>
        <w:tc>
          <w:tcPr>
            <w:tcW w:w="44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4,800.0</w:t>
            </w:r>
          </w:p>
        </w:tc>
        <w:tc>
          <w:tcPr>
            <w:tcW w:w="100" w:type="dxa"/>
            <w:vAlign w:val="bottom"/>
          </w:tcPr>
          <w:p>
            <w:pPr>
              <w:spacing w:after="0"/>
              <w:rPr>
                <w:sz w:val="18"/>
                <w:szCs w:val="18"/>
                <w:color w:val="auto"/>
              </w:rPr>
            </w:pPr>
          </w:p>
        </w:tc>
        <w:tc>
          <w:tcPr>
            <w:tcW w:w="44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3,380.5</w:t>
            </w:r>
          </w:p>
        </w:tc>
      </w:tr>
      <w:tr>
        <w:trPr>
          <w:trHeight w:val="20"/>
        </w:trPr>
        <w:tc>
          <w:tcPr>
            <w:tcW w:w="84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320" w:top="117" w:right="339" w:bottom="1440" w:gutter="0" w:footer="0" w:header="0"/>
          <w:type w:val="continuous"/>
        </w:sectPr>
      </w:pPr>
    </w:p>
    <w:bookmarkStart w:id="10" w:name="page11"/>
    <w:bookmarkEnd w:id="10"/>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7"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(In millions)</w:t>
      </w:r>
    </w:p>
    <w:p>
      <w:pPr>
        <w:spacing w:after="0" w:line="9" w:lineRule="exact"/>
        <w:rPr>
          <w:sz w:val="20"/>
          <w:szCs w:val="20"/>
          <w:color w:val="auto"/>
        </w:rPr>
      </w:pPr>
    </w:p>
    <w:p>
      <w:pPr>
        <w:ind w:left="5180"/>
        <w:spacing w:after="0"/>
        <w:rPr>
          <w:sz w:val="20"/>
          <w:szCs w:val="20"/>
          <w:color w:val="auto"/>
        </w:rPr>
      </w:pPr>
      <w:r>
        <w:rPr>
          <w:rFonts w:ascii="Arial" w:cs="Arial" w:eastAsia="Arial" w:hAnsi="Arial"/>
          <w:sz w:val="18"/>
          <w:szCs w:val="18"/>
          <w:color w:val="auto"/>
        </w:rPr>
        <w:t>(Unaudited)</w:t>
      </w: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868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2300" w:type="dxa"/>
            <w:vAlign w:val="bottom"/>
            <w:tcBorders>
              <w:bottom w:val="single" w:sz="8" w:color="auto"/>
            </w:tcBorders>
            <w:gridSpan w:val="4"/>
          </w:tcPr>
          <w:p>
            <w:pPr>
              <w:jc w:val="right"/>
              <w:ind w:right="348"/>
              <w:spacing w:after="0"/>
              <w:rPr>
                <w:sz w:val="20"/>
                <w:szCs w:val="20"/>
                <w:color w:val="auto"/>
              </w:rPr>
            </w:pPr>
            <w:r>
              <w:rPr>
                <w:rFonts w:ascii="Arial" w:cs="Arial" w:eastAsia="Arial" w:hAnsi="Arial"/>
                <w:sz w:val="16"/>
                <w:szCs w:val="16"/>
                <w:color w:val="auto"/>
                <w:w w:val="95"/>
              </w:rPr>
              <w:t>Year Ended September 30,</w:t>
            </w:r>
          </w:p>
        </w:tc>
      </w:tr>
      <w:tr>
        <w:trPr>
          <w:trHeight w:val="209"/>
        </w:trPr>
        <w:tc>
          <w:tcPr>
            <w:tcW w:w="86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68"/>
              <w:spacing w:after="0"/>
              <w:rPr>
                <w:sz w:val="20"/>
                <w:szCs w:val="20"/>
                <w:color w:val="auto"/>
              </w:rPr>
            </w:pPr>
            <w:r>
              <w:rPr>
                <w:rFonts w:ascii="Arial" w:cs="Arial" w:eastAsia="Arial" w:hAnsi="Arial"/>
                <w:sz w:val="16"/>
                <w:szCs w:val="16"/>
                <w:color w:val="auto"/>
              </w:rPr>
              <w:t>2021</w:t>
            </w:r>
          </w:p>
        </w:tc>
        <w:tc>
          <w:tcPr>
            <w:tcW w:w="1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ind w:right="388"/>
              <w:spacing w:after="0"/>
              <w:rPr>
                <w:sz w:val="20"/>
                <w:szCs w:val="20"/>
                <w:color w:val="auto"/>
              </w:rPr>
            </w:pPr>
            <w:r>
              <w:rPr>
                <w:rFonts w:ascii="Arial" w:cs="Arial" w:eastAsia="Arial" w:hAnsi="Arial"/>
                <w:sz w:val="16"/>
                <w:szCs w:val="16"/>
                <w:color w:val="auto"/>
              </w:rPr>
              <w:t>2020</w:t>
            </w:r>
          </w:p>
        </w:tc>
      </w:tr>
      <w:tr>
        <w:trPr>
          <w:trHeight w:val="172"/>
        </w:trPr>
        <w:tc>
          <w:tcPr>
            <w:tcW w:w="868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OPERATING ACTIVITIES</w:t>
            </w:r>
          </w:p>
        </w:tc>
        <w:tc>
          <w:tcPr>
            <w:tcW w:w="2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Net income</w:t>
            </w:r>
          </w:p>
        </w:tc>
        <w:tc>
          <w:tcPr>
            <w:tcW w:w="26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513.4</w:t>
            </w:r>
          </w:p>
        </w:tc>
        <w:tc>
          <w:tcPr>
            <w:tcW w:w="120" w:type="dxa"/>
            <w:vAlign w:val="bottom"/>
          </w:tcPr>
          <w:p>
            <w:pPr>
              <w:spacing w:after="0"/>
              <w:rPr>
                <w:sz w:val="16"/>
                <w:szCs w:val="16"/>
                <w:color w:val="auto"/>
              </w:rPr>
            </w:pPr>
          </w:p>
        </w:tc>
        <w:tc>
          <w:tcPr>
            <w:tcW w:w="260" w:type="dxa"/>
            <w:vAlign w:val="bottom"/>
          </w:tcPr>
          <w:p>
            <w:pPr>
              <w:jc w:val="right"/>
              <w:ind w:right="108"/>
              <w:spacing w:after="0"/>
              <w:rPr>
                <w:sz w:val="20"/>
                <w:szCs w:val="20"/>
                <w:color w:val="auto"/>
              </w:rPr>
            </w:pPr>
            <w:r>
              <w:rPr>
                <w:rFonts w:ascii="Arial" w:cs="Arial" w:eastAsia="Arial" w:hAnsi="Arial"/>
                <w:sz w:val="14"/>
                <w:szCs w:val="14"/>
                <w:color w:val="auto"/>
                <w:w w:val="76"/>
              </w:rPr>
              <w:t>$</w:t>
            </w:r>
          </w:p>
        </w:tc>
        <w:tc>
          <w:tcPr>
            <w:tcW w:w="960" w:type="dxa"/>
            <w:vAlign w:val="bottom"/>
          </w:tcPr>
          <w:p>
            <w:pPr>
              <w:jc w:val="right"/>
              <w:spacing w:after="0"/>
              <w:rPr>
                <w:sz w:val="20"/>
                <w:szCs w:val="20"/>
                <w:color w:val="auto"/>
              </w:rPr>
            </w:pPr>
            <w:r>
              <w:rPr>
                <w:rFonts w:ascii="Arial" w:cs="Arial" w:eastAsia="Arial" w:hAnsi="Arial"/>
                <w:sz w:val="14"/>
                <w:szCs w:val="14"/>
                <w:color w:val="auto"/>
              </w:rPr>
              <w:t>388.6</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Adjustments to reconcile net income to net cash provided by operating activities: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r>
      <w:tr>
        <w:trPr>
          <w:trHeight w:val="186"/>
        </w:trPr>
        <w:tc>
          <w:tcPr>
            <w:tcW w:w="8680" w:type="dxa"/>
            <w:vAlign w:val="bottom"/>
          </w:tcPr>
          <w:p>
            <w:pPr>
              <w:ind w:left="680"/>
              <w:spacing w:after="0"/>
              <w:rPr>
                <w:sz w:val="20"/>
                <w:szCs w:val="20"/>
                <w:color w:val="auto"/>
              </w:rPr>
            </w:pPr>
            <w:r>
              <w:rPr>
                <w:rFonts w:ascii="Arial" w:cs="Arial" w:eastAsia="Arial" w:hAnsi="Arial"/>
                <w:sz w:val="14"/>
                <w:szCs w:val="14"/>
                <w:color w:val="auto"/>
              </w:rPr>
              <w:t>Costs related to refinancing</w:t>
            </w:r>
          </w:p>
        </w:tc>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15.1</w:t>
            </w:r>
          </w:p>
        </w:tc>
      </w:tr>
      <w:tr>
        <w:trPr>
          <w:trHeight w:val="192"/>
        </w:trPr>
        <w:tc>
          <w:tcPr>
            <w:tcW w:w="8680" w:type="dxa"/>
            <w:vAlign w:val="bottom"/>
            <w:shd w:val="clear" w:color="auto" w:fill="CCEEFF"/>
          </w:tcPr>
          <w:p>
            <w:pPr>
              <w:ind w:left="680"/>
              <w:spacing w:after="0"/>
              <w:rPr>
                <w:sz w:val="20"/>
                <w:szCs w:val="20"/>
                <w:color w:val="auto"/>
              </w:rPr>
            </w:pPr>
            <w:r>
              <w:rPr>
                <w:rFonts w:ascii="Arial" w:cs="Arial" w:eastAsia="Arial" w:hAnsi="Arial"/>
                <w:sz w:val="14"/>
                <w:szCs w:val="14"/>
                <w:color w:val="auto"/>
              </w:rPr>
              <w:t>Share-based compensation expense</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40.6</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57.9</w:t>
            </w:r>
          </w:p>
        </w:tc>
      </w:tr>
      <w:tr>
        <w:trPr>
          <w:trHeight w:val="186"/>
        </w:trPr>
        <w:tc>
          <w:tcPr>
            <w:tcW w:w="8680" w:type="dxa"/>
            <w:vAlign w:val="bottom"/>
          </w:tcPr>
          <w:p>
            <w:pPr>
              <w:ind w:left="680"/>
              <w:spacing w:after="0"/>
              <w:rPr>
                <w:sz w:val="20"/>
                <w:szCs w:val="20"/>
                <w:color w:val="auto"/>
              </w:rPr>
            </w:pPr>
            <w:r>
              <w:rPr>
                <w:rFonts w:ascii="Arial" w:cs="Arial" w:eastAsia="Arial" w:hAnsi="Arial"/>
                <w:sz w:val="14"/>
                <w:szCs w:val="14"/>
                <w:color w:val="auto"/>
              </w:rPr>
              <w:t>Depreciation</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62.9</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62.2</w:t>
            </w:r>
          </w:p>
        </w:tc>
      </w:tr>
      <w:tr>
        <w:trPr>
          <w:trHeight w:val="192"/>
        </w:trPr>
        <w:tc>
          <w:tcPr>
            <w:tcW w:w="8680" w:type="dxa"/>
            <w:vAlign w:val="bottom"/>
            <w:shd w:val="clear" w:color="auto" w:fill="CCEEFF"/>
          </w:tcPr>
          <w:p>
            <w:pPr>
              <w:ind w:left="680"/>
              <w:spacing w:after="0"/>
              <w:rPr>
                <w:sz w:val="20"/>
                <w:szCs w:val="20"/>
                <w:color w:val="auto"/>
              </w:rPr>
            </w:pPr>
            <w:r>
              <w:rPr>
                <w:rFonts w:ascii="Arial" w:cs="Arial" w:eastAsia="Arial" w:hAnsi="Arial"/>
                <w:sz w:val="14"/>
                <w:szCs w:val="14"/>
                <w:color w:val="auto"/>
              </w:rPr>
              <w:t>Amortization</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30.9</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32.5</w:t>
            </w:r>
          </w:p>
        </w:tc>
      </w:tr>
      <w:tr>
        <w:trPr>
          <w:trHeight w:val="186"/>
        </w:trPr>
        <w:tc>
          <w:tcPr>
            <w:tcW w:w="8680" w:type="dxa"/>
            <w:vAlign w:val="bottom"/>
          </w:tcPr>
          <w:p>
            <w:pPr>
              <w:ind w:left="680"/>
              <w:spacing w:after="0"/>
              <w:rPr>
                <w:sz w:val="20"/>
                <w:szCs w:val="20"/>
                <w:color w:val="auto"/>
              </w:rPr>
            </w:pPr>
            <w:r>
              <w:rPr>
                <w:rFonts w:ascii="Arial" w:cs="Arial" w:eastAsia="Arial" w:hAnsi="Arial"/>
                <w:sz w:val="14"/>
                <w:szCs w:val="14"/>
                <w:color w:val="auto"/>
              </w:rPr>
              <w:t>Deferred taxes</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22.5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(11.1)</w:t>
            </w:r>
          </w:p>
        </w:tc>
      </w:tr>
      <w:tr>
        <w:trPr>
          <w:trHeight w:val="192"/>
        </w:trPr>
        <w:tc>
          <w:tcPr>
            <w:tcW w:w="8680" w:type="dxa"/>
            <w:vAlign w:val="bottom"/>
            <w:shd w:val="clear" w:color="auto" w:fill="CCEEFF"/>
          </w:tcPr>
          <w:p>
            <w:pPr>
              <w:ind w:left="680"/>
              <w:spacing w:after="0"/>
              <w:rPr>
                <w:sz w:val="20"/>
                <w:szCs w:val="20"/>
                <w:color w:val="auto"/>
              </w:rPr>
            </w:pPr>
            <w:r>
              <w:rPr>
                <w:rFonts w:ascii="Arial" w:cs="Arial" w:eastAsia="Arial" w:hAnsi="Arial"/>
                <w:sz w:val="14"/>
                <w:szCs w:val="14"/>
                <w:color w:val="auto"/>
              </w:rPr>
              <w:t>Other, net</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(13.4)</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4.2</w:t>
            </w:r>
          </w:p>
        </w:tc>
      </w:tr>
      <w:tr>
        <w:trPr>
          <w:trHeight w:val="186"/>
        </w:trPr>
        <w:tc>
          <w:tcPr>
            <w:tcW w:w="8680" w:type="dxa"/>
            <w:vAlign w:val="bottom"/>
          </w:tcPr>
          <w:p>
            <w:pPr>
              <w:ind w:left="680"/>
              <w:spacing w:after="0"/>
              <w:rPr>
                <w:sz w:val="20"/>
                <w:szCs w:val="20"/>
                <w:color w:val="auto"/>
              </w:rPr>
            </w:pPr>
            <w:r>
              <w:rPr>
                <w:rFonts w:ascii="Arial" w:cs="Arial" w:eastAsia="Arial" w:hAnsi="Arial"/>
                <w:sz w:val="14"/>
                <w:szCs w:val="14"/>
                <w:color w:val="auto"/>
              </w:rPr>
              <w:t>Changes in assets and liabilities, net of acquisitions:</w:t>
            </w: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spacing w:after="0"/>
              <w:rPr>
                <w:sz w:val="16"/>
                <w:szCs w:val="16"/>
                <w:color w:val="auto"/>
              </w:rPr>
            </w:pPr>
          </w:p>
        </w:tc>
      </w:tr>
      <w:tr>
        <w:trPr>
          <w:trHeight w:val="192"/>
        </w:trPr>
        <w:tc>
          <w:tcPr>
            <w:tcW w:w="86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Accounts receivable</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15.5</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(188.1)</w:t>
            </w:r>
          </w:p>
        </w:tc>
      </w:tr>
      <w:tr>
        <w:trPr>
          <w:trHeight w:val="186"/>
        </w:trPr>
        <w:tc>
          <w:tcPr>
            <w:tcW w:w="8680" w:type="dxa"/>
            <w:vAlign w:val="bottom"/>
          </w:tcPr>
          <w:p>
            <w:pPr>
              <w:ind w:left="1120"/>
              <w:spacing w:after="0"/>
              <w:rPr>
                <w:sz w:val="20"/>
                <w:szCs w:val="20"/>
                <w:color w:val="auto"/>
              </w:rPr>
            </w:pPr>
            <w:r>
              <w:rPr>
                <w:rFonts w:ascii="Arial" w:cs="Arial" w:eastAsia="Arial" w:hAnsi="Arial"/>
                <w:sz w:val="14"/>
                <w:szCs w:val="14"/>
                <w:color w:val="auto"/>
              </w:rPr>
              <w:t>Inventories</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(496.5)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(80.6)</w:t>
            </w:r>
          </w:p>
        </w:tc>
      </w:tr>
      <w:tr>
        <w:trPr>
          <w:trHeight w:val="192"/>
        </w:trPr>
        <w:tc>
          <w:tcPr>
            <w:tcW w:w="86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Prepaid and other assets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(76.5)</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(19.4)</w:t>
            </w:r>
          </w:p>
        </w:tc>
      </w:tr>
      <w:tr>
        <w:trPr>
          <w:trHeight w:val="186"/>
        </w:trPr>
        <w:tc>
          <w:tcPr>
            <w:tcW w:w="8680" w:type="dxa"/>
            <w:vAlign w:val="bottom"/>
          </w:tcPr>
          <w:p>
            <w:pPr>
              <w:ind w:left="1120"/>
              <w:spacing w:after="0"/>
              <w:rPr>
                <w:sz w:val="20"/>
                <w:szCs w:val="20"/>
                <w:color w:val="auto"/>
              </w:rPr>
            </w:pPr>
            <w:r>
              <w:rPr>
                <w:rFonts w:ascii="Arial" w:cs="Arial" w:eastAsia="Arial" w:hAnsi="Arial"/>
                <w:sz w:val="14"/>
                <w:szCs w:val="14"/>
                <w:color w:val="auto"/>
              </w:rPr>
              <w:t>Accounts payable</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202.5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172.2</w:t>
            </w:r>
          </w:p>
        </w:tc>
      </w:tr>
      <w:tr>
        <w:trPr>
          <w:trHeight w:val="192"/>
        </w:trPr>
        <w:tc>
          <w:tcPr>
            <w:tcW w:w="86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Other current liabilities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(19.6)</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154.6</w:t>
            </w:r>
          </w:p>
        </w:tc>
      </w:tr>
      <w:tr>
        <w:trPr>
          <w:trHeight w:val="186"/>
        </w:trPr>
        <w:tc>
          <w:tcPr>
            <w:tcW w:w="8680" w:type="dxa"/>
            <w:vAlign w:val="bottom"/>
          </w:tcPr>
          <w:p>
            <w:pPr>
              <w:ind w:left="1120"/>
              <w:spacing w:after="0"/>
              <w:rPr>
                <w:sz w:val="20"/>
                <w:szCs w:val="20"/>
                <w:color w:val="auto"/>
              </w:rPr>
            </w:pPr>
            <w:r>
              <w:rPr>
                <w:rFonts w:ascii="Arial" w:cs="Arial" w:eastAsia="Arial" w:hAnsi="Arial"/>
                <w:sz w:val="14"/>
                <w:szCs w:val="14"/>
                <w:color w:val="auto"/>
              </w:rPr>
              <w:t>Restructuring and other</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(2.0)</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(6.0)</w:t>
            </w:r>
          </w:p>
        </w:tc>
      </w:tr>
      <w:tr>
        <w:trPr>
          <w:trHeight w:val="192"/>
        </w:trPr>
        <w:tc>
          <w:tcPr>
            <w:tcW w:w="8680" w:type="dxa"/>
            <w:vAlign w:val="bottom"/>
            <w:shd w:val="clear" w:color="auto" w:fill="CCEEFF"/>
          </w:tcPr>
          <w:p>
            <w:pPr>
              <w:ind w:left="1120"/>
              <w:spacing w:after="0"/>
              <w:rPr>
                <w:sz w:val="20"/>
                <w:szCs w:val="20"/>
                <w:color w:val="auto"/>
              </w:rPr>
            </w:pPr>
            <w:r>
              <w:rPr>
                <w:rFonts w:ascii="Arial" w:cs="Arial" w:eastAsia="Arial" w:hAnsi="Arial"/>
                <w:sz w:val="14"/>
                <w:szCs w:val="14"/>
                <w:color w:val="auto"/>
              </w:rPr>
              <w:t>Other non-current items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(10.1)</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(24.8)</w:t>
            </w:r>
          </w:p>
        </w:tc>
      </w:tr>
      <w:tr>
        <w:trPr>
          <w:trHeight w:val="186"/>
        </w:trPr>
        <w:tc>
          <w:tcPr>
            <w:tcW w:w="8680" w:type="dxa"/>
            <w:vAlign w:val="bottom"/>
            <w:tcBorders>
              <w:bottom w:val="single" w:sz="8" w:color="CCEEFF"/>
            </w:tcBorders>
          </w:tcPr>
          <w:p>
            <w:pPr>
              <w:ind w:left="1120"/>
              <w:spacing w:after="0"/>
              <w:rPr>
                <w:sz w:val="20"/>
                <w:szCs w:val="20"/>
                <w:color w:val="auto"/>
              </w:rPr>
            </w:pPr>
            <w:r>
              <w:rPr>
                <w:rFonts w:ascii="Arial" w:cs="Arial" w:eastAsia="Arial" w:hAnsi="Arial"/>
                <w:sz w:val="14"/>
                <w:szCs w:val="14"/>
                <w:color w:val="auto"/>
              </w:rPr>
              <w:t>Other, net</w:t>
            </w: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1.3</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0.7</w:t>
            </w:r>
          </w:p>
        </w:tc>
      </w:tr>
      <w:tr>
        <w:trPr>
          <w:trHeight w:val="186"/>
        </w:trPr>
        <w:tc>
          <w:tcPr>
            <w:tcW w:w="8680" w:type="dxa"/>
            <w:vAlign w:val="bottom"/>
            <w:shd w:val="clear" w:color="auto" w:fill="CCEEFF"/>
          </w:tcPr>
          <w:p>
            <w:pPr>
              <w:ind w:left="1440"/>
              <w:spacing w:after="0"/>
              <w:rPr>
                <w:sz w:val="20"/>
                <w:szCs w:val="20"/>
                <w:color w:val="auto"/>
              </w:rPr>
            </w:pPr>
            <w:r>
              <w:rPr>
                <w:rFonts w:ascii="Arial" w:cs="Arial" w:eastAsia="Arial" w:hAnsi="Arial"/>
                <w:sz w:val="14"/>
                <w:szCs w:val="14"/>
                <w:color w:val="auto"/>
              </w:rPr>
              <w:t>Net cash provided by operating activities</w:t>
            </w: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271.5</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558.0</w:t>
            </w:r>
          </w:p>
        </w:tc>
      </w:tr>
      <w:tr>
        <w:trPr>
          <w:trHeight w:val="168"/>
        </w:trPr>
        <w:tc>
          <w:tcPr>
            <w:tcW w:w="8680" w:type="dxa"/>
            <w:vAlign w:val="bottom"/>
          </w:tcPr>
          <w:p>
            <w:pPr>
              <w:ind w:left="20"/>
              <w:spacing w:after="0"/>
              <w:rPr>
                <w:sz w:val="20"/>
                <w:szCs w:val="20"/>
                <w:color w:val="auto"/>
              </w:rPr>
            </w:pPr>
            <w:r>
              <w:rPr>
                <w:rFonts w:ascii="Arial" w:cs="Arial" w:eastAsia="Arial" w:hAnsi="Arial"/>
                <w:sz w:val="14"/>
                <w:szCs w:val="14"/>
                <w:b w:val="1"/>
                <w:bCs w:val="1"/>
                <w:color w:val="auto"/>
              </w:rPr>
              <w:t>INVESTING ACTIVITIES</w:t>
            </w: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90"/>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sale of long-lived assets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0.2</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0.4</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Investments in property, plant and equipment</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(106.9)</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(62.7)</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Investments in loans receivable</w:t>
            </w:r>
          </w:p>
        </w:tc>
        <w:tc>
          <w:tcPr>
            <w:tcW w:w="26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(3.4)</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Proceeds from sale of brand extension assets</w:t>
            </w:r>
          </w:p>
        </w:tc>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115.5</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Investments in unconsolidated affiliates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(102.3)</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Payment for acquisitions, net of cash acquired</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(127.8)</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Purchase of convertible debt investments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(193.1)</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68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Other investing, net</w:t>
            </w: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(8.7)</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w:t>
            </w:r>
          </w:p>
        </w:tc>
      </w:tr>
      <w:tr>
        <w:trPr>
          <w:trHeight w:val="186"/>
        </w:trPr>
        <w:tc>
          <w:tcPr>
            <w:tcW w:w="8680" w:type="dxa"/>
            <w:vAlign w:val="bottom"/>
            <w:shd w:val="clear" w:color="auto" w:fill="CCEEFF"/>
          </w:tcPr>
          <w:p>
            <w:pPr>
              <w:ind w:left="1440"/>
              <w:spacing w:after="0"/>
              <w:rPr>
                <w:sz w:val="20"/>
                <w:szCs w:val="20"/>
                <w:color w:val="auto"/>
              </w:rPr>
            </w:pPr>
            <w:r>
              <w:rPr>
                <w:rFonts w:ascii="Arial" w:cs="Arial" w:eastAsia="Arial" w:hAnsi="Arial"/>
                <w:sz w:val="14"/>
                <w:szCs w:val="14"/>
                <w:color w:val="auto"/>
              </w:rPr>
              <w:t>Net cash (used in) provided by investing activities</w:t>
            </w: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(538.6)</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46.9</w:t>
            </w:r>
          </w:p>
        </w:tc>
      </w:tr>
      <w:tr>
        <w:trPr>
          <w:trHeight w:val="168"/>
        </w:trPr>
        <w:tc>
          <w:tcPr>
            <w:tcW w:w="8680" w:type="dxa"/>
            <w:vAlign w:val="bottom"/>
          </w:tcPr>
          <w:p>
            <w:pPr>
              <w:ind w:left="20"/>
              <w:spacing w:after="0"/>
              <w:rPr>
                <w:sz w:val="20"/>
                <w:szCs w:val="20"/>
                <w:color w:val="auto"/>
              </w:rPr>
            </w:pPr>
            <w:r>
              <w:rPr>
                <w:rFonts w:ascii="Arial" w:cs="Arial" w:eastAsia="Arial" w:hAnsi="Arial"/>
                <w:sz w:val="14"/>
                <w:szCs w:val="14"/>
                <w:b w:val="1"/>
                <w:bCs w:val="1"/>
                <w:color w:val="auto"/>
              </w:rPr>
              <w:t>FINANCING ACTIVITIES</w:t>
            </w: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60" w:type="dxa"/>
            <w:vAlign w:val="bottom"/>
          </w:tcPr>
          <w:p>
            <w:pPr>
              <w:spacing w:after="0"/>
              <w:rPr>
                <w:sz w:val="14"/>
                <w:szCs w:val="14"/>
                <w:color w:val="auto"/>
              </w:rPr>
            </w:pPr>
          </w:p>
        </w:tc>
      </w:tr>
      <w:tr>
        <w:trPr>
          <w:trHeight w:val="190"/>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Borrowings under revolving and bank lines of credit and term loans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1,243.2</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1,222.7</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Repayments under revolving and bank lines of credit and term loans</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(1,361.5)</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(1,413.8)</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issuance of 4.000% Senior Notes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500.0</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Proceeds from issuance of 4.375% Senior Notes</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400.0</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Proceeds from issuance of 4.500% Senior Notes</w:t>
            </w:r>
          </w:p>
        </w:tc>
        <w:tc>
          <w:tcPr>
            <w:tcW w:w="260" w:type="dxa"/>
            <w:vAlign w:val="bottom"/>
            <w:shd w:val="clear" w:color="auto" w:fill="CCEEFF"/>
          </w:tcPr>
          <w:p>
            <w:pPr>
              <w:spacing w:after="0"/>
              <w:rPr>
                <w:sz w:val="16"/>
                <w:szCs w:val="16"/>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450.0</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Repayment of 6.000% Senior Notes</w:t>
            </w:r>
          </w:p>
        </w:tc>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(400.0)</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Financing and issuance fees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(13.1)</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(18.7)</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Dividends paid</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(143.0)</w:t>
            </w:r>
          </w:p>
        </w:tc>
        <w:tc>
          <w:tcPr>
            <w:tcW w:w="1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(411.2)</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Purchase of Common Shares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(129.3)</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(53.2)</w:t>
            </w:r>
          </w:p>
        </w:tc>
      </w:tr>
      <w:tr>
        <w:trPr>
          <w:trHeight w:val="186"/>
        </w:trPr>
        <w:tc>
          <w:tcPr>
            <w:tcW w:w="8680" w:type="dxa"/>
            <w:vAlign w:val="bottom"/>
          </w:tcPr>
          <w:p>
            <w:pPr>
              <w:ind w:left="360"/>
              <w:spacing w:after="0"/>
              <w:rPr>
                <w:sz w:val="20"/>
                <w:szCs w:val="20"/>
                <w:color w:val="auto"/>
              </w:rPr>
            </w:pPr>
            <w:r>
              <w:rPr>
                <w:rFonts w:ascii="Arial" w:cs="Arial" w:eastAsia="Arial" w:hAnsi="Arial"/>
                <w:sz w:val="14"/>
                <w:szCs w:val="14"/>
                <w:color w:val="auto"/>
              </w:rPr>
              <w:t>Payments on seller notes</w:t>
            </w:r>
          </w:p>
        </w:tc>
        <w:tc>
          <w:tcPr>
            <w:tcW w:w="260" w:type="dxa"/>
            <w:vAlign w:val="bottom"/>
          </w:tcPr>
          <w:p>
            <w:pPr>
              <w:spacing w:after="0"/>
              <w:rPr>
                <w:sz w:val="16"/>
                <w:szCs w:val="16"/>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4"/>
                <w:szCs w:val="14"/>
                <w:color w:val="auto"/>
              </w:rPr>
              <w:t>(0.5)</w:t>
            </w:r>
          </w:p>
        </w:tc>
      </w:tr>
      <w:tr>
        <w:trPr>
          <w:trHeight w:val="192"/>
        </w:trPr>
        <w:tc>
          <w:tcPr>
            <w:tcW w:w="8680" w:type="dxa"/>
            <w:vAlign w:val="bottom"/>
            <w:shd w:val="clear" w:color="auto" w:fill="CCEEFF"/>
          </w:tcPr>
          <w:p>
            <w:pPr>
              <w:ind w:left="360"/>
              <w:spacing w:after="0"/>
              <w:rPr>
                <w:sz w:val="20"/>
                <w:szCs w:val="20"/>
                <w:color w:val="auto"/>
              </w:rPr>
            </w:pPr>
            <w:r>
              <w:rPr>
                <w:rFonts w:ascii="Arial" w:cs="Arial" w:eastAsia="Arial" w:hAnsi="Arial"/>
                <w:sz w:val="14"/>
                <w:szCs w:val="14"/>
                <w:color w:val="auto"/>
              </w:rPr>
              <w:t>Cash received from exercise of stock options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15.2</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17.6</w:t>
            </w:r>
          </w:p>
        </w:tc>
      </w:tr>
      <w:tr>
        <w:trPr>
          <w:trHeight w:val="186"/>
        </w:trPr>
        <w:tc>
          <w:tcPr>
            <w:tcW w:w="8680" w:type="dxa"/>
            <w:vAlign w:val="bottom"/>
            <w:tcBorders>
              <w:bottom w:val="single" w:sz="8" w:color="CCEEFF"/>
            </w:tcBorders>
          </w:tcPr>
          <w:p>
            <w:pPr>
              <w:ind w:left="360"/>
              <w:spacing w:after="0"/>
              <w:rPr>
                <w:sz w:val="20"/>
                <w:szCs w:val="20"/>
                <w:color w:val="auto"/>
              </w:rPr>
            </w:pPr>
            <w:r>
              <w:rPr>
                <w:rFonts w:ascii="Arial" w:cs="Arial" w:eastAsia="Arial" w:hAnsi="Arial"/>
                <w:sz w:val="14"/>
                <w:szCs w:val="14"/>
                <w:color w:val="auto"/>
              </w:rPr>
              <w:t>Acquisition of noncontrolling interests</w:t>
            </w: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(17.5)</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680" w:type="dxa"/>
            <w:vAlign w:val="bottom"/>
            <w:shd w:val="clear" w:color="auto" w:fill="CCEEFF"/>
          </w:tcPr>
          <w:p>
            <w:pPr>
              <w:ind w:left="1440"/>
              <w:spacing w:after="0"/>
              <w:rPr>
                <w:sz w:val="20"/>
                <w:szCs w:val="20"/>
                <w:color w:val="auto"/>
              </w:rPr>
            </w:pPr>
            <w:r>
              <w:rPr>
                <w:rFonts w:ascii="Arial" w:cs="Arial" w:eastAsia="Arial" w:hAnsi="Arial"/>
                <w:sz w:val="14"/>
                <w:szCs w:val="14"/>
                <w:color w:val="auto"/>
              </w:rPr>
              <w:t>Net cash provided by (used in) financing activities</w:t>
            </w: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494.0</w:t>
            </w:r>
          </w:p>
        </w:tc>
        <w:tc>
          <w:tcPr>
            <w:tcW w:w="120" w:type="dxa"/>
            <w:vAlign w:val="bottom"/>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(607.1)</w:t>
            </w:r>
          </w:p>
        </w:tc>
      </w:tr>
      <w:tr>
        <w:trPr>
          <w:trHeight w:val="179"/>
        </w:trPr>
        <w:tc>
          <w:tcPr>
            <w:tcW w:w="86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Effect of exchange rate changes on cash</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0.6</w:t>
            </w:r>
          </w:p>
        </w:tc>
        <w:tc>
          <w:tcPr>
            <w:tcW w:w="120" w:type="dxa"/>
            <w:vAlign w:val="bottom"/>
            <w:tcBorders>
              <w:bottom w:val="single" w:sz="8" w:color="CCEEFF"/>
            </w:tcBorders>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r>
      <w:tr>
        <w:trPr>
          <w:trHeight w:val="186"/>
        </w:trPr>
        <w:tc>
          <w:tcPr>
            <w:tcW w:w="8680" w:type="dxa"/>
            <w:vAlign w:val="bottom"/>
            <w:shd w:val="clear" w:color="auto" w:fill="CCEEFF"/>
          </w:tcPr>
          <w:p>
            <w:pPr>
              <w:ind w:left="20"/>
              <w:spacing w:after="0"/>
              <w:rPr>
                <w:sz w:val="20"/>
                <w:szCs w:val="20"/>
                <w:color w:val="auto"/>
              </w:rPr>
            </w:pPr>
            <w:r>
              <w:rPr>
                <w:rFonts w:ascii="Arial" w:cs="Arial" w:eastAsia="Arial" w:hAnsi="Arial"/>
                <w:sz w:val="14"/>
                <w:szCs w:val="14"/>
                <w:color w:val="auto"/>
              </w:rPr>
              <w:t>Net increase (decrease) in cash and cash equivalents</w:t>
            </w: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227.5</w:t>
            </w:r>
          </w:p>
        </w:tc>
        <w:tc>
          <w:tcPr>
            <w:tcW w:w="12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w:t>
            </w:r>
          </w:p>
        </w:tc>
      </w:tr>
      <w:tr>
        <w:trPr>
          <w:trHeight w:val="186"/>
        </w:trPr>
        <w:tc>
          <w:tcPr>
            <w:tcW w:w="8680" w:type="dxa"/>
            <w:vAlign w:val="bottom"/>
            <w:tcBorders>
              <w:bottom w:val="single" w:sz="8" w:color="CCEEFF"/>
            </w:tcBorders>
          </w:tcPr>
          <w:p>
            <w:pPr>
              <w:ind w:left="20"/>
              <w:spacing w:after="0"/>
              <w:rPr>
                <w:sz w:val="20"/>
                <w:szCs w:val="20"/>
                <w:color w:val="auto"/>
              </w:rPr>
            </w:pPr>
            <w:r>
              <w:rPr>
                <w:rFonts w:ascii="Arial" w:cs="Arial" w:eastAsia="Arial" w:hAnsi="Arial"/>
                <w:sz w:val="14"/>
                <w:szCs w:val="14"/>
                <w:color w:val="auto"/>
              </w:rPr>
              <w:t>Cash and cash equivalents at beginning of year</w:t>
            </w: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16.6</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18.8</w:t>
            </w:r>
          </w:p>
        </w:tc>
      </w:tr>
      <w:tr>
        <w:trPr>
          <w:trHeight w:val="208"/>
        </w:trPr>
        <w:tc>
          <w:tcPr>
            <w:tcW w:w="86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4"/>
                <w:szCs w:val="14"/>
                <w:color w:val="auto"/>
              </w:rPr>
              <w:t>Cash and cash equivalents at end of year</w:t>
            </w:r>
          </w:p>
        </w:tc>
        <w:tc>
          <w:tcPr>
            <w:tcW w:w="2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244.1</w:t>
            </w:r>
          </w:p>
        </w:tc>
        <w:tc>
          <w:tcPr>
            <w:tcW w:w="12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w w:val="76"/>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16.6</w:t>
            </w:r>
          </w:p>
        </w:tc>
      </w:tr>
      <w:tr>
        <w:trPr>
          <w:trHeight w:val="20"/>
        </w:trPr>
        <w:tc>
          <w:tcPr>
            <w:tcW w:w="86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40"/>
          </w:cols>
          <w:pgMar w:left="320" w:top="117" w:right="339" w:bottom="1440" w:gutter="0" w:footer="0" w:header="0"/>
        </w:sectPr>
      </w:pPr>
    </w:p>
    <w:bookmarkStart w:id="11" w:name="page12"/>
    <w:bookmarkEnd w:id="11"/>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Non-GAAP Disclosure Items (3)</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40" w:type="dxa"/>
            <w:vAlign w:val="bottom"/>
          </w:tcPr>
          <w:p>
            <w:pPr>
              <w:spacing w:after="0"/>
              <w:rPr>
                <w:sz w:val="18"/>
                <w:szCs w:val="18"/>
                <w:color w:val="auto"/>
              </w:rPr>
            </w:pPr>
          </w:p>
        </w:tc>
        <w:tc>
          <w:tcPr>
            <w:tcW w:w="36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3760" w:type="dxa"/>
            <w:vAlign w:val="bottom"/>
            <w:tcBorders>
              <w:bottom w:val="single" w:sz="8" w:color="auto"/>
            </w:tcBorders>
            <w:gridSpan w:val="7"/>
          </w:tcPr>
          <w:p>
            <w:pPr>
              <w:jc w:val="right"/>
              <w:ind w:right="519"/>
              <w:spacing w:after="0"/>
              <w:rPr>
                <w:sz w:val="20"/>
                <w:szCs w:val="20"/>
                <w:color w:val="auto"/>
              </w:rPr>
            </w:pPr>
            <w:r>
              <w:rPr>
                <w:rFonts w:ascii="Arial" w:cs="Arial" w:eastAsia="Arial" w:hAnsi="Arial"/>
                <w:sz w:val="16"/>
                <w:szCs w:val="16"/>
                <w:color w:val="auto"/>
              </w:rPr>
              <w:t>Three Months Ended September 30, 2021</w:t>
            </w:r>
          </w:p>
        </w:tc>
        <w:tc>
          <w:tcPr>
            <w:tcW w:w="1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3340" w:type="dxa"/>
            <w:vAlign w:val="bottom"/>
            <w:tcBorders>
              <w:bottom w:val="single" w:sz="8" w:color="auto"/>
            </w:tcBorders>
            <w:gridSpan w:val="6"/>
          </w:tcPr>
          <w:p>
            <w:pPr>
              <w:jc w:val="center"/>
              <w:ind w:right="80"/>
              <w:spacing w:after="0"/>
              <w:rPr>
                <w:sz w:val="20"/>
                <w:szCs w:val="20"/>
                <w:color w:val="auto"/>
              </w:rPr>
            </w:pPr>
            <w:r>
              <w:rPr>
                <w:rFonts w:ascii="Arial" w:cs="Arial" w:eastAsia="Arial" w:hAnsi="Arial"/>
                <w:sz w:val="16"/>
                <w:szCs w:val="16"/>
                <w:color w:val="auto"/>
                <w:w w:val="90"/>
              </w:rPr>
              <w:t>Three Months Ended September 30, 2020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40" w:type="dxa"/>
            <w:vAlign w:val="bottom"/>
          </w:tcPr>
          <w:p>
            <w:pPr>
              <w:spacing w:after="0"/>
              <w:rPr>
                <w:sz w:val="11"/>
                <w:szCs w:val="11"/>
                <w:color w:val="auto"/>
              </w:rPr>
            </w:pPr>
          </w:p>
        </w:tc>
        <w:tc>
          <w:tcPr>
            <w:tcW w:w="3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vMerge w:val="restart"/>
          </w:tcPr>
          <w:p>
            <w:pPr>
              <w:jc w:val="right"/>
              <w:ind w:right="101"/>
              <w:spacing w:after="0"/>
              <w:rPr>
                <w:sz w:val="20"/>
                <w:szCs w:val="20"/>
                <w:color w:val="auto"/>
              </w:rPr>
            </w:pPr>
            <w:r>
              <w:rPr>
                <w:rFonts w:ascii="Arial" w:cs="Arial" w:eastAsia="Arial" w:hAnsi="Arial"/>
                <w:sz w:val="14"/>
                <w:szCs w:val="14"/>
                <w:color w:val="auto"/>
                <w:w w:val="92"/>
              </w:rPr>
              <w:t>As Reported</w:t>
            </w:r>
          </w:p>
        </w:tc>
        <w:tc>
          <w:tcPr>
            <w:tcW w:w="140" w:type="dxa"/>
            <w:vAlign w:val="bottom"/>
          </w:tcPr>
          <w:p>
            <w:pPr>
              <w:spacing w:after="0"/>
              <w:rPr>
                <w:sz w:val="11"/>
                <w:szCs w:val="11"/>
                <w:color w:val="auto"/>
              </w:rPr>
            </w:pPr>
          </w:p>
        </w:tc>
        <w:tc>
          <w:tcPr>
            <w:tcW w:w="600" w:type="dxa"/>
            <w:vAlign w:val="bottom"/>
            <w:vMerge w:val="restart"/>
          </w:tcPr>
          <w:p>
            <w:pPr>
              <w:jc w:val="right"/>
              <w:ind w:right="221"/>
              <w:spacing w:after="0"/>
              <w:rPr>
                <w:sz w:val="20"/>
                <w:szCs w:val="20"/>
                <w:color w:val="auto"/>
              </w:rPr>
            </w:pPr>
            <w:r>
              <w:rPr>
                <w:rFonts w:ascii="Arial" w:cs="Arial" w:eastAsia="Arial" w:hAnsi="Arial"/>
                <w:sz w:val="14"/>
                <w:szCs w:val="14"/>
                <w:color w:val="auto"/>
              </w:rPr>
              <w:t>Disc</w:t>
            </w:r>
          </w:p>
        </w:tc>
        <w:tc>
          <w:tcPr>
            <w:tcW w:w="900" w:type="dxa"/>
            <w:vAlign w:val="bottom"/>
          </w:tcPr>
          <w:p>
            <w:pPr>
              <w:jc w:val="center"/>
              <w:ind w:right="2"/>
              <w:spacing w:after="0" w:line="132" w:lineRule="exact"/>
              <w:rPr>
                <w:sz w:val="20"/>
                <w:szCs w:val="20"/>
                <w:color w:val="auto"/>
              </w:rPr>
            </w:pPr>
            <w:r>
              <w:rPr>
                <w:rFonts w:ascii="Arial" w:cs="Arial" w:eastAsia="Arial" w:hAnsi="Arial"/>
                <w:sz w:val="14"/>
                <w:szCs w:val="14"/>
                <w:color w:val="auto"/>
                <w:w w:val="94"/>
              </w:rPr>
              <w:t>Impairment,</w:t>
            </w:r>
          </w:p>
        </w:tc>
        <w:tc>
          <w:tcPr>
            <w:tcW w:w="220" w:type="dxa"/>
            <w:vAlign w:val="bottom"/>
          </w:tcPr>
          <w:p>
            <w:pPr>
              <w:spacing w:after="0"/>
              <w:rPr>
                <w:sz w:val="11"/>
                <w:szCs w:val="11"/>
                <w:color w:val="auto"/>
              </w:rPr>
            </w:pPr>
          </w:p>
        </w:tc>
        <w:tc>
          <w:tcPr>
            <w:tcW w:w="980" w:type="dxa"/>
            <w:vAlign w:val="bottom"/>
            <w:gridSpan w:val="2"/>
          </w:tcPr>
          <w:p>
            <w:pPr>
              <w:jc w:val="center"/>
              <w:ind w:right="159"/>
              <w:spacing w:after="0" w:line="132" w:lineRule="exact"/>
              <w:rPr>
                <w:sz w:val="20"/>
                <w:szCs w:val="20"/>
                <w:color w:val="auto"/>
              </w:rPr>
            </w:pPr>
            <w:r>
              <w:rPr>
                <w:rFonts w:ascii="Arial" w:cs="Arial" w:eastAsia="Arial" w:hAnsi="Arial"/>
                <w:sz w:val="14"/>
                <w:szCs w:val="14"/>
                <w:color w:val="auto"/>
                <w:w w:val="91"/>
              </w:rPr>
              <w:t>Adjusted</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vMerge w:val="restart"/>
          </w:tcPr>
          <w:p>
            <w:pPr>
              <w:jc w:val="center"/>
              <w:spacing w:after="0"/>
              <w:rPr>
                <w:sz w:val="20"/>
                <w:szCs w:val="20"/>
                <w:color w:val="auto"/>
              </w:rPr>
            </w:pPr>
            <w:r>
              <w:rPr>
                <w:rFonts w:ascii="Arial" w:cs="Arial" w:eastAsia="Arial" w:hAnsi="Arial"/>
                <w:sz w:val="14"/>
                <w:szCs w:val="14"/>
                <w:color w:val="auto"/>
                <w:w w:val="95"/>
              </w:rPr>
              <w:t>As Reported</w:t>
            </w:r>
          </w:p>
        </w:tc>
        <w:tc>
          <w:tcPr>
            <w:tcW w:w="1260" w:type="dxa"/>
            <w:vAlign w:val="bottom"/>
            <w:gridSpan w:val="3"/>
          </w:tcPr>
          <w:p>
            <w:pPr>
              <w:jc w:val="center"/>
              <w:ind w:left="81"/>
              <w:spacing w:after="0" w:line="132" w:lineRule="exact"/>
              <w:rPr>
                <w:sz w:val="20"/>
                <w:szCs w:val="20"/>
                <w:color w:val="auto"/>
              </w:rPr>
            </w:pPr>
            <w:r>
              <w:rPr>
                <w:rFonts w:ascii="Arial" w:cs="Arial" w:eastAsia="Arial" w:hAnsi="Arial"/>
                <w:sz w:val="14"/>
                <w:szCs w:val="14"/>
                <w:color w:val="auto"/>
                <w:w w:val="94"/>
              </w:rPr>
              <w:t>Impairment,</w:t>
            </w:r>
          </w:p>
        </w:tc>
        <w:tc>
          <w:tcPr>
            <w:tcW w:w="220" w:type="dxa"/>
            <w:vAlign w:val="bottom"/>
          </w:tcPr>
          <w:p>
            <w:pPr>
              <w:spacing w:after="0"/>
              <w:rPr>
                <w:sz w:val="11"/>
                <w:szCs w:val="11"/>
                <w:color w:val="auto"/>
              </w:rPr>
            </w:pPr>
          </w:p>
        </w:tc>
        <w:tc>
          <w:tcPr>
            <w:tcW w:w="980" w:type="dxa"/>
            <w:vAlign w:val="bottom"/>
          </w:tcPr>
          <w:p>
            <w:pPr>
              <w:jc w:val="center"/>
              <w:ind w:right="140"/>
              <w:spacing w:after="0" w:line="132" w:lineRule="exact"/>
              <w:rPr>
                <w:sz w:val="20"/>
                <w:szCs w:val="20"/>
                <w:color w:val="auto"/>
              </w:rPr>
            </w:pPr>
            <w:r>
              <w:rPr>
                <w:rFonts w:ascii="Arial" w:cs="Arial" w:eastAsia="Arial" w:hAnsi="Arial"/>
                <w:sz w:val="14"/>
                <w:szCs w:val="14"/>
                <w:color w:val="auto"/>
                <w:w w:val="95"/>
              </w:rPr>
              <w:t>Adjusted</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36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20" w:type="dxa"/>
            <w:vAlign w:val="bottom"/>
            <w:vMerge w:val="continue"/>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vMerge w:val="continue"/>
          </w:tcPr>
          <w:p>
            <w:pPr>
              <w:spacing w:after="0"/>
              <w:rPr>
                <w:sz w:val="11"/>
                <w:szCs w:val="11"/>
                <w:color w:val="auto"/>
              </w:rPr>
            </w:pPr>
          </w:p>
        </w:tc>
        <w:tc>
          <w:tcPr>
            <w:tcW w:w="900" w:type="dxa"/>
            <w:vAlign w:val="bottom"/>
          </w:tcPr>
          <w:p>
            <w:pPr>
              <w:jc w:val="center"/>
              <w:ind w:right="2"/>
              <w:spacing w:after="0" w:line="135" w:lineRule="exact"/>
              <w:rPr>
                <w:sz w:val="20"/>
                <w:szCs w:val="20"/>
                <w:color w:val="auto"/>
              </w:rPr>
            </w:pPr>
            <w:r>
              <w:rPr>
                <w:rFonts w:ascii="Arial" w:cs="Arial" w:eastAsia="Arial" w:hAnsi="Arial"/>
                <w:sz w:val="14"/>
                <w:szCs w:val="14"/>
                <w:color w:val="auto"/>
                <w:w w:val="93"/>
              </w:rPr>
              <w:t>Restructuring</w:t>
            </w:r>
          </w:p>
        </w:tc>
        <w:tc>
          <w:tcPr>
            <w:tcW w:w="220" w:type="dxa"/>
            <w:vAlign w:val="bottom"/>
          </w:tcPr>
          <w:p>
            <w:pPr>
              <w:spacing w:after="0"/>
              <w:rPr>
                <w:sz w:val="11"/>
                <w:szCs w:val="11"/>
                <w:color w:val="auto"/>
              </w:rPr>
            </w:pPr>
          </w:p>
        </w:tc>
        <w:tc>
          <w:tcPr>
            <w:tcW w:w="980" w:type="dxa"/>
            <w:vAlign w:val="bottom"/>
            <w:gridSpan w:val="2"/>
          </w:tcPr>
          <w:p>
            <w:pPr>
              <w:jc w:val="center"/>
              <w:ind w:right="119"/>
              <w:spacing w:after="0" w:line="135" w:lineRule="exact"/>
              <w:rPr>
                <w:sz w:val="20"/>
                <w:szCs w:val="20"/>
                <w:color w:val="auto"/>
              </w:rPr>
            </w:pPr>
            <w:r>
              <w:rPr>
                <w:rFonts w:ascii="Arial" w:cs="Arial" w:eastAsia="Arial" w:hAnsi="Arial"/>
                <w:sz w:val="14"/>
                <w:szCs w:val="14"/>
                <w:color w:val="auto"/>
                <w:w w:val="97"/>
              </w:rPr>
              <w:t>(Non-</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vMerge w:val="continue"/>
          </w:tcPr>
          <w:p>
            <w:pPr>
              <w:spacing w:after="0"/>
              <w:rPr>
                <w:sz w:val="11"/>
                <w:szCs w:val="11"/>
                <w:color w:val="auto"/>
              </w:rPr>
            </w:pPr>
          </w:p>
        </w:tc>
        <w:tc>
          <w:tcPr>
            <w:tcW w:w="1260" w:type="dxa"/>
            <w:vAlign w:val="bottom"/>
            <w:gridSpan w:val="3"/>
          </w:tcPr>
          <w:p>
            <w:pPr>
              <w:jc w:val="center"/>
              <w:ind w:left="81"/>
              <w:spacing w:after="0" w:line="135" w:lineRule="exact"/>
              <w:rPr>
                <w:sz w:val="20"/>
                <w:szCs w:val="20"/>
                <w:color w:val="auto"/>
              </w:rPr>
            </w:pPr>
            <w:r>
              <w:rPr>
                <w:rFonts w:ascii="Arial" w:cs="Arial" w:eastAsia="Arial" w:hAnsi="Arial"/>
                <w:sz w:val="14"/>
                <w:szCs w:val="14"/>
                <w:color w:val="auto"/>
                <w:w w:val="93"/>
              </w:rPr>
              <w:t>Restructuring</w:t>
            </w:r>
          </w:p>
        </w:tc>
        <w:tc>
          <w:tcPr>
            <w:tcW w:w="220" w:type="dxa"/>
            <w:vAlign w:val="bottom"/>
          </w:tcPr>
          <w:p>
            <w:pPr>
              <w:spacing w:after="0"/>
              <w:rPr>
                <w:sz w:val="11"/>
                <w:szCs w:val="11"/>
                <w:color w:val="auto"/>
              </w:rPr>
            </w:pPr>
          </w:p>
        </w:tc>
        <w:tc>
          <w:tcPr>
            <w:tcW w:w="980" w:type="dxa"/>
            <w:vAlign w:val="bottom"/>
          </w:tcPr>
          <w:p>
            <w:pPr>
              <w:jc w:val="center"/>
              <w:ind w:right="140"/>
              <w:spacing w:after="0" w:line="135" w:lineRule="exact"/>
              <w:rPr>
                <w:sz w:val="20"/>
                <w:szCs w:val="20"/>
                <w:color w:val="auto"/>
              </w:rPr>
            </w:pPr>
            <w:r>
              <w:rPr>
                <w:rFonts w:ascii="Arial" w:cs="Arial" w:eastAsia="Arial" w:hAnsi="Arial"/>
                <w:sz w:val="14"/>
                <w:szCs w:val="14"/>
                <w:color w:val="auto"/>
              </w:rPr>
              <w:t>(Non-</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6"/>
        </w:trPr>
        <w:tc>
          <w:tcPr>
            <w:tcW w:w="40" w:type="dxa"/>
            <w:vAlign w:val="bottom"/>
          </w:tcPr>
          <w:p>
            <w:pPr>
              <w:spacing w:after="0"/>
              <w:rPr>
                <w:sz w:val="16"/>
                <w:szCs w:val="16"/>
                <w:color w:val="auto"/>
              </w:rPr>
            </w:pPr>
          </w:p>
        </w:tc>
        <w:tc>
          <w:tcPr>
            <w:tcW w:w="36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21"/>
              <w:spacing w:after="0"/>
              <w:rPr>
                <w:sz w:val="20"/>
                <w:szCs w:val="20"/>
                <w:color w:val="auto"/>
              </w:rPr>
            </w:pPr>
            <w:r>
              <w:rPr>
                <w:rFonts w:ascii="Arial" w:cs="Arial" w:eastAsia="Arial" w:hAnsi="Arial"/>
                <w:sz w:val="14"/>
                <w:szCs w:val="14"/>
                <w:color w:val="auto"/>
              </w:rPr>
              <w:t>(GAAP)</w:t>
            </w:r>
          </w:p>
        </w:tc>
        <w:tc>
          <w:tcPr>
            <w:tcW w:w="1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jc w:val="right"/>
              <w:ind w:right="221"/>
              <w:spacing w:after="0"/>
              <w:rPr>
                <w:sz w:val="20"/>
                <w:szCs w:val="20"/>
                <w:color w:val="auto"/>
              </w:rPr>
            </w:pPr>
            <w:r>
              <w:rPr>
                <w:rFonts w:ascii="Arial" w:cs="Arial" w:eastAsia="Arial" w:hAnsi="Arial"/>
                <w:sz w:val="14"/>
                <w:szCs w:val="14"/>
                <w:color w:val="auto"/>
              </w:rPr>
              <w:t>Ops</w:t>
            </w:r>
          </w:p>
        </w:tc>
        <w:tc>
          <w:tcPr>
            <w:tcW w:w="900" w:type="dxa"/>
            <w:vAlign w:val="bottom"/>
            <w:tcBorders>
              <w:bottom w:val="single" w:sz="8" w:color="auto"/>
            </w:tcBorders>
          </w:tcPr>
          <w:p>
            <w:pPr>
              <w:jc w:val="center"/>
              <w:ind w:right="2"/>
              <w:spacing w:after="0"/>
              <w:rPr>
                <w:sz w:val="20"/>
                <w:szCs w:val="20"/>
                <w:color w:val="auto"/>
              </w:rPr>
            </w:pPr>
            <w:r>
              <w:rPr>
                <w:rFonts w:ascii="Arial" w:cs="Arial" w:eastAsia="Arial" w:hAnsi="Arial"/>
                <w:sz w:val="14"/>
                <w:szCs w:val="14"/>
                <w:color w:val="auto"/>
                <w:w w:val="93"/>
              </w:rPr>
              <w:t>and Other</w:t>
            </w: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jc w:val="center"/>
              <w:ind w:right="139"/>
              <w:spacing w:after="0"/>
              <w:rPr>
                <w:sz w:val="20"/>
                <w:szCs w:val="20"/>
                <w:color w:val="auto"/>
              </w:rPr>
            </w:pPr>
            <w:r>
              <w:rPr>
                <w:rFonts w:ascii="Arial" w:cs="Arial" w:eastAsia="Arial" w:hAnsi="Arial"/>
                <w:sz w:val="14"/>
                <w:szCs w:val="14"/>
                <w:color w:val="auto"/>
              </w:rPr>
              <w:t>GAAP)</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rPr>
              <w:t>(GAAP)</w:t>
            </w:r>
          </w:p>
        </w:tc>
        <w:tc>
          <w:tcPr>
            <w:tcW w:w="1260" w:type="dxa"/>
            <w:vAlign w:val="bottom"/>
            <w:tcBorders>
              <w:bottom w:val="single" w:sz="8" w:color="auto"/>
            </w:tcBorders>
            <w:gridSpan w:val="3"/>
          </w:tcPr>
          <w:p>
            <w:pPr>
              <w:jc w:val="center"/>
              <w:ind w:left="81"/>
              <w:spacing w:after="0"/>
              <w:rPr>
                <w:sz w:val="20"/>
                <w:szCs w:val="20"/>
                <w:color w:val="auto"/>
              </w:rPr>
            </w:pPr>
            <w:r>
              <w:rPr>
                <w:rFonts w:ascii="Arial" w:cs="Arial" w:eastAsia="Arial" w:hAnsi="Arial"/>
                <w:sz w:val="14"/>
                <w:szCs w:val="14"/>
                <w:color w:val="auto"/>
                <w:w w:val="93"/>
              </w:rPr>
              <w:t>and Other</w:t>
            </w: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40"/>
              <w:spacing w:after="0"/>
              <w:rPr>
                <w:sz w:val="20"/>
                <w:szCs w:val="20"/>
                <w:color w:val="auto"/>
              </w:rPr>
            </w:pPr>
            <w:r>
              <w:rPr>
                <w:rFonts w:ascii="Arial" w:cs="Arial" w:eastAsia="Arial" w:hAnsi="Arial"/>
                <w:sz w:val="14"/>
                <w:szCs w:val="14"/>
                <w:color w:val="auto"/>
              </w:rPr>
              <w:t>GAAP)</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6"/>
                <w:szCs w:val="16"/>
                <w:color w:val="auto"/>
              </w:rPr>
              <w:t>Gross profit</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ind w:right="121"/>
              <w:spacing w:after="0"/>
              <w:rPr>
                <w:sz w:val="20"/>
                <w:szCs w:val="20"/>
                <w:color w:val="auto"/>
              </w:rPr>
            </w:pPr>
            <w:r>
              <w:rPr>
                <w:rFonts w:ascii="Arial" w:cs="Arial" w:eastAsia="Arial" w:hAnsi="Arial"/>
                <w:sz w:val="16"/>
                <w:szCs w:val="16"/>
                <w:color w:val="auto"/>
              </w:rPr>
              <w:t>126.2</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w:t>
            </w: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980" w:type="dxa"/>
            <w:vAlign w:val="bottom"/>
            <w:gridSpan w:val="2"/>
            <w:shd w:val="clear" w:color="auto" w:fill="CCEEFF"/>
          </w:tcPr>
          <w:p>
            <w:pPr>
              <w:jc w:val="right"/>
              <w:ind w:right="119"/>
              <w:spacing w:after="0"/>
              <w:rPr>
                <w:sz w:val="20"/>
                <w:szCs w:val="20"/>
                <w:color w:val="auto"/>
              </w:rPr>
            </w:pPr>
            <w:r>
              <w:rPr>
                <w:rFonts w:ascii="Arial" w:cs="Arial" w:eastAsia="Arial" w:hAnsi="Arial"/>
                <w:sz w:val="16"/>
                <w:szCs w:val="16"/>
                <w:color w:val="auto"/>
              </w:rPr>
              <w:t>128.7</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216.0</w:t>
            </w:r>
          </w:p>
        </w:tc>
        <w:tc>
          <w:tcPr>
            <w:tcW w:w="480" w:type="dxa"/>
            <w:vAlign w:val="bottom"/>
            <w:shd w:val="clear" w:color="auto" w:fill="CCEEFF"/>
          </w:tcPr>
          <w:p>
            <w:pPr>
              <w:jc w:val="right"/>
              <w:ind w:right="141"/>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w:t>
            </w:r>
          </w:p>
        </w:tc>
        <w:tc>
          <w:tcPr>
            <w:tcW w:w="2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216.7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6"/>
                <w:szCs w:val="16"/>
                <w:color w:val="auto"/>
              </w:rPr>
              <w:t>Gross profit as a % of sales</w:t>
            </w: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17.1 %</w:t>
            </w: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6"/>
                <w:szCs w:val="16"/>
                <w:color w:val="auto"/>
              </w:rPr>
              <w:t>17.4 %</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61"/>
              <w:spacing w:after="0"/>
              <w:rPr>
                <w:sz w:val="20"/>
                <w:szCs w:val="20"/>
                <w:color w:val="auto"/>
              </w:rPr>
            </w:pPr>
            <w:r>
              <w:rPr>
                <w:rFonts w:ascii="Arial" w:cs="Arial" w:eastAsia="Arial" w:hAnsi="Arial"/>
                <w:sz w:val="16"/>
                <w:szCs w:val="16"/>
                <w:color w:val="auto"/>
              </w:rPr>
              <w:t>24.3 %</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24.3 %</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tcPr>
          <w:p>
            <w:pPr>
              <w:spacing w:after="0"/>
              <w:rPr>
                <w:sz w:val="19"/>
                <w:szCs w:val="19"/>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6"/>
                <w:szCs w:val="16"/>
                <w:color w:val="auto"/>
              </w:rPr>
              <w:t>Income (loss) from operations</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(37.1)</w:t>
            </w: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2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79"/>
              <w:spacing w:after="0"/>
              <w:rPr>
                <w:sz w:val="20"/>
                <w:szCs w:val="20"/>
                <w:color w:val="auto"/>
              </w:rPr>
            </w:pPr>
            <w:r>
              <w:rPr>
                <w:rFonts w:ascii="Arial" w:cs="Arial" w:eastAsia="Arial" w:hAnsi="Arial"/>
                <w:sz w:val="16"/>
                <w:szCs w:val="16"/>
                <w:color w:val="auto"/>
              </w:rPr>
              <w:t>(34.0)</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9.6</w:t>
            </w: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9.1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6"/>
                <w:szCs w:val="16"/>
                <w:color w:val="auto"/>
              </w:rPr>
              <w:t>Income (loss) from operations as a % of sales</w:t>
            </w:r>
          </w:p>
        </w:tc>
        <w:tc>
          <w:tcPr>
            <w:tcW w:w="14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(5.0)%</w:t>
            </w: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tcPr>
          <w:p>
            <w:pPr>
              <w:jc w:val="right"/>
              <w:spacing w:after="0"/>
              <w:rPr>
                <w:sz w:val="20"/>
                <w:szCs w:val="20"/>
                <w:color w:val="auto"/>
              </w:rPr>
            </w:pPr>
            <w:r>
              <w:rPr>
                <w:rFonts w:ascii="Arial" w:cs="Arial" w:eastAsia="Arial" w:hAnsi="Arial"/>
                <w:sz w:val="16"/>
                <w:szCs w:val="16"/>
                <w:color w:val="auto"/>
              </w:rPr>
              <w:t>(4.6)%</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2"/>
          </w:tcPr>
          <w:p>
            <w:pPr>
              <w:jc w:val="right"/>
              <w:ind w:right="261"/>
              <w:spacing w:after="0"/>
              <w:rPr>
                <w:sz w:val="20"/>
                <w:szCs w:val="20"/>
                <w:color w:val="auto"/>
              </w:rPr>
            </w:pPr>
            <w:r>
              <w:rPr>
                <w:rFonts w:ascii="Arial" w:cs="Arial" w:eastAsia="Arial" w:hAnsi="Arial"/>
                <w:sz w:val="16"/>
                <w:szCs w:val="16"/>
                <w:color w:val="auto"/>
              </w:rPr>
              <w:t>1.1 %</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1.0 %</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9"/>
        </w:trPr>
        <w:tc>
          <w:tcPr>
            <w:tcW w:w="40" w:type="dxa"/>
            <w:vAlign w:val="bottom"/>
          </w:tcPr>
          <w:p>
            <w:pPr>
              <w:spacing w:after="0"/>
              <w:rPr>
                <w:sz w:val="14"/>
                <w:szCs w:val="14"/>
                <w:color w:val="auto"/>
              </w:rPr>
            </w:pPr>
          </w:p>
        </w:tc>
        <w:tc>
          <w:tcPr>
            <w:tcW w:w="3660" w:type="dxa"/>
            <w:vAlign w:val="bottom"/>
            <w:shd w:val="clear" w:color="auto" w:fill="CCEEFF"/>
          </w:tcPr>
          <w:p>
            <w:pPr>
              <w:spacing w:after="0" w:line="169" w:lineRule="exact"/>
              <w:rPr>
                <w:sz w:val="20"/>
                <w:szCs w:val="20"/>
                <w:color w:val="auto"/>
              </w:rPr>
            </w:pPr>
            <w:r>
              <w:rPr>
                <w:rFonts w:ascii="Arial" w:cs="Arial" w:eastAsia="Arial" w:hAnsi="Arial"/>
                <w:sz w:val="16"/>
                <w:szCs w:val="16"/>
                <w:color w:val="auto"/>
              </w:rPr>
              <w:t>Income (loss) from continuing operations before</w:t>
            </w:r>
          </w:p>
        </w:tc>
        <w:tc>
          <w:tcPr>
            <w:tcW w:w="1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81"/>
              <w:spacing w:after="0"/>
              <w:rPr>
                <w:sz w:val="20"/>
                <w:szCs w:val="20"/>
                <w:color w:val="auto"/>
              </w:rPr>
            </w:pPr>
            <w:r>
              <w:rPr>
                <w:rFonts w:ascii="Arial" w:cs="Arial" w:eastAsia="Arial" w:hAnsi="Arial"/>
                <w:sz w:val="16"/>
                <w:szCs w:val="16"/>
                <w:color w:val="auto"/>
              </w:rPr>
              <w:t>(63.1)</w:t>
            </w:r>
          </w:p>
        </w:tc>
        <w:tc>
          <w:tcPr>
            <w:tcW w:w="140" w:type="dxa"/>
            <w:vAlign w:val="bottom"/>
            <w:shd w:val="clear" w:color="auto" w:fill="CCEEFF"/>
          </w:tcPr>
          <w:p>
            <w:pPr>
              <w:spacing w:after="0"/>
              <w:rPr>
                <w:sz w:val="14"/>
                <w:szCs w:val="14"/>
                <w:color w:val="auto"/>
              </w:rPr>
            </w:pPr>
          </w:p>
        </w:tc>
        <w:tc>
          <w:tcPr>
            <w:tcW w:w="600" w:type="dxa"/>
            <w:vAlign w:val="bottom"/>
            <w:vMerge w:val="restart"/>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2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jc w:val="right"/>
              <w:ind w:right="79"/>
              <w:spacing w:after="0"/>
              <w:rPr>
                <w:sz w:val="20"/>
                <w:szCs w:val="20"/>
                <w:color w:val="auto"/>
              </w:rPr>
            </w:pPr>
            <w:r>
              <w:rPr>
                <w:rFonts w:ascii="Arial" w:cs="Arial" w:eastAsia="Arial" w:hAnsi="Arial"/>
                <w:sz w:val="16"/>
                <w:szCs w:val="16"/>
                <w:color w:val="auto"/>
              </w:rPr>
              <w:t>(60.0)</w:t>
            </w: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5.7</w:t>
            </w: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22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5.2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2"/>
        </w:trPr>
        <w:tc>
          <w:tcPr>
            <w:tcW w:w="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6"/>
                <w:szCs w:val="16"/>
                <w:color w:val="auto"/>
              </w:rPr>
              <w:t>income taxes</w:t>
            </w:r>
          </w:p>
        </w:tc>
        <w:tc>
          <w:tcPr>
            <w:tcW w:w="14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40" w:type="dxa"/>
            <w:vAlign w:val="bottom"/>
          </w:tcPr>
          <w:p>
            <w:pPr>
              <w:spacing w:after="0"/>
              <w:rPr>
                <w:sz w:val="14"/>
                <w:szCs w:val="14"/>
                <w:color w:val="auto"/>
              </w:rPr>
            </w:pPr>
          </w:p>
        </w:tc>
        <w:tc>
          <w:tcPr>
            <w:tcW w:w="3660" w:type="dxa"/>
            <w:vAlign w:val="bottom"/>
          </w:tcPr>
          <w:p>
            <w:pPr>
              <w:spacing w:after="0" w:line="166" w:lineRule="exact"/>
              <w:rPr>
                <w:sz w:val="20"/>
                <w:szCs w:val="20"/>
                <w:color w:val="auto"/>
              </w:rPr>
            </w:pPr>
            <w:r>
              <w:rPr>
                <w:rFonts w:ascii="Arial" w:cs="Arial" w:eastAsia="Arial" w:hAnsi="Arial"/>
                <w:sz w:val="16"/>
                <w:szCs w:val="16"/>
                <w:color w:val="auto"/>
              </w:rPr>
              <w:t>Income tax expense (benefit) from continuing</w:t>
            </w:r>
          </w:p>
        </w:tc>
        <w:tc>
          <w:tcPr>
            <w:tcW w:w="140" w:type="dxa"/>
            <w:vAlign w:val="bottom"/>
          </w:tcPr>
          <w:p>
            <w:pPr>
              <w:spacing w:after="0"/>
              <w:rPr>
                <w:sz w:val="14"/>
                <w:szCs w:val="14"/>
                <w:color w:val="auto"/>
              </w:rPr>
            </w:pPr>
          </w:p>
        </w:tc>
        <w:tc>
          <w:tcPr>
            <w:tcW w:w="920" w:type="dxa"/>
            <w:vAlign w:val="bottom"/>
            <w:vMerge w:val="restart"/>
          </w:tcPr>
          <w:p>
            <w:pPr>
              <w:jc w:val="right"/>
              <w:ind w:right="81"/>
              <w:spacing w:after="0"/>
              <w:rPr>
                <w:sz w:val="20"/>
                <w:szCs w:val="20"/>
                <w:color w:val="auto"/>
              </w:rPr>
            </w:pPr>
            <w:r>
              <w:rPr>
                <w:rFonts w:ascii="Arial" w:cs="Arial" w:eastAsia="Arial" w:hAnsi="Arial"/>
                <w:sz w:val="16"/>
                <w:szCs w:val="16"/>
                <w:color w:val="auto"/>
              </w:rPr>
              <w:t>(14.4)</w:t>
            </w:r>
          </w:p>
        </w:tc>
        <w:tc>
          <w:tcPr>
            <w:tcW w:w="140" w:type="dxa"/>
            <w:vAlign w:val="bottom"/>
          </w:tcPr>
          <w:p>
            <w:pPr>
              <w:spacing w:after="0"/>
              <w:rPr>
                <w:sz w:val="14"/>
                <w:szCs w:val="14"/>
                <w:color w:val="auto"/>
              </w:rPr>
            </w:pPr>
          </w:p>
        </w:tc>
        <w:tc>
          <w:tcPr>
            <w:tcW w:w="600" w:type="dxa"/>
            <w:vAlign w:val="bottom"/>
            <w:vMerge w:val="restart"/>
          </w:tcPr>
          <w:p>
            <w:pPr>
              <w:jc w:val="right"/>
              <w:ind w:right="81"/>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0.1</w:t>
            </w:r>
          </w:p>
        </w:tc>
        <w:tc>
          <w:tcPr>
            <w:tcW w:w="220" w:type="dxa"/>
            <w:vAlign w:val="bottom"/>
          </w:tcPr>
          <w:p>
            <w:pPr>
              <w:spacing w:after="0"/>
              <w:rPr>
                <w:sz w:val="14"/>
                <w:szCs w:val="14"/>
                <w:color w:val="auto"/>
              </w:rPr>
            </w:pPr>
          </w:p>
        </w:tc>
        <w:tc>
          <w:tcPr>
            <w:tcW w:w="980" w:type="dxa"/>
            <w:vAlign w:val="bottom"/>
            <w:gridSpan w:val="2"/>
            <w:vMerge w:val="restart"/>
          </w:tcPr>
          <w:p>
            <w:pPr>
              <w:jc w:val="right"/>
              <w:ind w:right="79"/>
              <w:spacing w:after="0"/>
              <w:rPr>
                <w:sz w:val="20"/>
                <w:szCs w:val="20"/>
                <w:color w:val="auto"/>
              </w:rPr>
            </w:pPr>
            <w:r>
              <w:rPr>
                <w:rFonts w:ascii="Arial" w:cs="Arial" w:eastAsia="Arial" w:hAnsi="Arial"/>
                <w:sz w:val="16"/>
                <w:szCs w:val="16"/>
                <w:color w:val="auto"/>
              </w:rPr>
              <w:t>(14.6)</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1.5</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color w:val="auto"/>
              </w:rPr>
              <w:t>0.1</w:t>
            </w:r>
          </w:p>
        </w:tc>
        <w:tc>
          <w:tcPr>
            <w:tcW w:w="220" w:type="dxa"/>
            <w:vAlign w:val="bottom"/>
          </w:tcPr>
          <w:p>
            <w:pPr>
              <w:spacing w:after="0"/>
              <w:rPr>
                <w:sz w:val="14"/>
                <w:szCs w:val="14"/>
                <w:color w:val="auto"/>
              </w:rPr>
            </w:pPr>
          </w:p>
        </w:tc>
        <w:tc>
          <w:tcPr>
            <w:tcW w:w="980" w:type="dxa"/>
            <w:vAlign w:val="bottom"/>
            <w:vMerge w:val="restart"/>
          </w:tcPr>
          <w:p>
            <w:pPr>
              <w:jc w:val="right"/>
              <w:ind w:right="120"/>
              <w:spacing w:after="0"/>
              <w:rPr>
                <w:sz w:val="20"/>
                <w:szCs w:val="20"/>
                <w:color w:val="auto"/>
              </w:rPr>
            </w:pPr>
            <w:r>
              <w:rPr>
                <w:rFonts w:ascii="Arial" w:cs="Arial" w:eastAsia="Arial" w:hAnsi="Arial"/>
                <w:sz w:val="16"/>
                <w:szCs w:val="16"/>
                <w:color w:val="auto"/>
              </w:rPr>
              <w:t>1.5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6"/>
                <w:szCs w:val="16"/>
                <w:color w:val="auto"/>
              </w:rPr>
              <w:t>operations</w:t>
            </w:r>
          </w:p>
        </w:tc>
        <w:tc>
          <w:tcPr>
            <w:tcW w:w="1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tcPr>
          <w:p>
            <w:pPr>
              <w:spacing w:after="0"/>
              <w:rPr>
                <w:sz w:val="19"/>
                <w:szCs w:val="19"/>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6"/>
                <w:szCs w:val="16"/>
                <w:color w:val="auto"/>
              </w:rPr>
              <w:t>Income (loss) from continuing operations</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(48.7)</w:t>
            </w: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w:t>
            </w:r>
          </w:p>
        </w:tc>
        <w:tc>
          <w:tcPr>
            <w:tcW w:w="220" w:type="dxa"/>
            <w:vAlign w:val="bottom"/>
            <w:shd w:val="clear" w:color="auto" w:fill="CCEEFF"/>
          </w:tcPr>
          <w:p>
            <w:pPr>
              <w:spacing w:after="0"/>
              <w:rPr>
                <w:sz w:val="19"/>
                <w:szCs w:val="19"/>
                <w:color w:val="auto"/>
              </w:rPr>
            </w:pPr>
          </w:p>
        </w:tc>
        <w:tc>
          <w:tcPr>
            <w:tcW w:w="980" w:type="dxa"/>
            <w:vAlign w:val="bottom"/>
            <w:gridSpan w:val="2"/>
            <w:shd w:val="clear" w:color="auto" w:fill="CCEEFF"/>
          </w:tcPr>
          <w:p>
            <w:pPr>
              <w:jc w:val="right"/>
              <w:ind w:right="79"/>
              <w:spacing w:after="0"/>
              <w:rPr>
                <w:sz w:val="20"/>
                <w:szCs w:val="20"/>
                <w:color w:val="auto"/>
              </w:rPr>
            </w:pPr>
            <w:r>
              <w:rPr>
                <w:rFonts w:ascii="Arial" w:cs="Arial" w:eastAsia="Arial" w:hAnsi="Arial"/>
                <w:sz w:val="16"/>
                <w:szCs w:val="16"/>
                <w:color w:val="auto"/>
              </w:rPr>
              <w:t>(45.5)</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w:t>
            </w: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3.8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40" w:type="dxa"/>
            <w:vAlign w:val="bottom"/>
          </w:tcPr>
          <w:p>
            <w:pPr>
              <w:spacing w:after="0"/>
              <w:rPr>
                <w:sz w:val="14"/>
                <w:szCs w:val="14"/>
                <w:color w:val="auto"/>
              </w:rPr>
            </w:pPr>
          </w:p>
        </w:tc>
        <w:tc>
          <w:tcPr>
            <w:tcW w:w="3660" w:type="dxa"/>
            <w:vAlign w:val="bottom"/>
          </w:tcPr>
          <w:p>
            <w:pPr>
              <w:spacing w:after="0" w:line="162" w:lineRule="exact"/>
              <w:rPr>
                <w:sz w:val="20"/>
                <w:szCs w:val="20"/>
                <w:color w:val="auto"/>
              </w:rPr>
            </w:pPr>
            <w:r>
              <w:rPr>
                <w:rFonts w:ascii="Arial" w:cs="Arial" w:eastAsia="Arial" w:hAnsi="Arial"/>
                <w:sz w:val="16"/>
                <w:szCs w:val="16"/>
                <w:b w:val="1"/>
                <w:bCs w:val="1"/>
                <w:color w:val="auto"/>
              </w:rPr>
              <w:t>Net income (loss) attributable to controlling</w:t>
            </w:r>
          </w:p>
        </w:tc>
        <w:tc>
          <w:tcPr>
            <w:tcW w:w="140" w:type="dxa"/>
            <w:vAlign w:val="bottom"/>
          </w:tcPr>
          <w:p>
            <w:pPr>
              <w:spacing w:after="0"/>
              <w:rPr>
                <w:sz w:val="14"/>
                <w:szCs w:val="14"/>
                <w:color w:val="auto"/>
              </w:rPr>
            </w:pPr>
          </w:p>
        </w:tc>
        <w:tc>
          <w:tcPr>
            <w:tcW w:w="920" w:type="dxa"/>
            <w:vAlign w:val="bottom"/>
            <w:vMerge w:val="restart"/>
          </w:tcPr>
          <w:p>
            <w:pPr>
              <w:jc w:val="right"/>
              <w:ind w:right="81"/>
              <w:spacing w:after="0"/>
              <w:rPr>
                <w:sz w:val="20"/>
                <w:szCs w:val="20"/>
                <w:color w:val="auto"/>
              </w:rPr>
            </w:pPr>
            <w:r>
              <w:rPr>
                <w:rFonts w:ascii="Arial" w:cs="Arial" w:eastAsia="Arial" w:hAnsi="Arial"/>
                <w:sz w:val="16"/>
                <w:szCs w:val="16"/>
                <w:b w:val="1"/>
                <w:bCs w:val="1"/>
                <w:color w:val="auto"/>
              </w:rPr>
              <w:t>(47.8)</w:t>
            </w:r>
          </w:p>
        </w:tc>
        <w:tc>
          <w:tcPr>
            <w:tcW w:w="140" w:type="dxa"/>
            <w:vAlign w:val="bottom"/>
          </w:tcPr>
          <w:p>
            <w:pPr>
              <w:spacing w:after="0"/>
              <w:rPr>
                <w:sz w:val="14"/>
                <w:szCs w:val="14"/>
                <w:color w:val="auto"/>
              </w:rPr>
            </w:pPr>
          </w:p>
        </w:tc>
        <w:tc>
          <w:tcPr>
            <w:tcW w:w="600" w:type="dxa"/>
            <w:vAlign w:val="bottom"/>
            <w:vMerge w:val="restart"/>
          </w:tcPr>
          <w:p>
            <w:pPr>
              <w:jc w:val="right"/>
              <w:ind w:right="81"/>
              <w:spacing w:after="0"/>
              <w:rPr>
                <w:sz w:val="20"/>
                <w:szCs w:val="20"/>
                <w:color w:val="auto"/>
              </w:rPr>
            </w:pPr>
            <w:r>
              <w:rPr>
                <w:rFonts w:ascii="Arial" w:cs="Arial" w:eastAsia="Arial" w:hAnsi="Arial"/>
                <w:sz w:val="16"/>
                <w:szCs w:val="16"/>
                <w:b w:val="1"/>
                <w:bCs w:val="1"/>
                <w:color w:val="auto"/>
              </w:rPr>
              <w:t>0.9</w:t>
            </w:r>
          </w:p>
        </w:tc>
        <w:tc>
          <w:tcPr>
            <w:tcW w:w="9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(3.3)</w:t>
            </w:r>
          </w:p>
        </w:tc>
        <w:tc>
          <w:tcPr>
            <w:tcW w:w="220" w:type="dxa"/>
            <w:vAlign w:val="bottom"/>
          </w:tcPr>
          <w:p>
            <w:pPr>
              <w:spacing w:after="0"/>
              <w:rPr>
                <w:sz w:val="14"/>
                <w:szCs w:val="14"/>
                <w:color w:val="auto"/>
              </w:rPr>
            </w:pPr>
          </w:p>
        </w:tc>
        <w:tc>
          <w:tcPr>
            <w:tcW w:w="980" w:type="dxa"/>
            <w:vAlign w:val="bottom"/>
            <w:gridSpan w:val="2"/>
            <w:vMerge w:val="restart"/>
          </w:tcPr>
          <w:p>
            <w:pPr>
              <w:jc w:val="right"/>
              <w:ind w:right="79"/>
              <w:spacing w:after="0"/>
              <w:rPr>
                <w:sz w:val="20"/>
                <w:szCs w:val="20"/>
                <w:color w:val="auto"/>
              </w:rPr>
            </w:pPr>
            <w:r>
              <w:rPr>
                <w:rFonts w:ascii="Arial" w:cs="Arial" w:eastAsia="Arial" w:hAnsi="Arial"/>
                <w:sz w:val="16"/>
                <w:szCs w:val="16"/>
                <w:b w:val="1"/>
                <w:bCs w:val="1"/>
                <w:color w:val="auto"/>
              </w:rPr>
              <w:t>(45.5)</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3.9</w:t>
            </w: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0.4</w:t>
            </w:r>
          </w:p>
        </w:tc>
        <w:tc>
          <w:tcPr>
            <w:tcW w:w="220" w:type="dxa"/>
            <w:vAlign w:val="bottom"/>
          </w:tcPr>
          <w:p>
            <w:pPr>
              <w:spacing w:after="0"/>
              <w:rPr>
                <w:sz w:val="14"/>
                <w:szCs w:val="14"/>
                <w:color w:val="auto"/>
              </w:rPr>
            </w:pPr>
          </w:p>
        </w:tc>
        <w:tc>
          <w:tcPr>
            <w:tcW w:w="980" w:type="dxa"/>
            <w:vAlign w:val="bottom"/>
            <w:vMerge w:val="restart"/>
          </w:tcPr>
          <w:p>
            <w:pPr>
              <w:jc w:val="right"/>
              <w:ind w:right="120"/>
              <w:spacing w:after="0"/>
              <w:rPr>
                <w:sz w:val="20"/>
                <w:szCs w:val="20"/>
                <w:color w:val="auto"/>
              </w:rPr>
            </w:pPr>
            <w:r>
              <w:rPr>
                <w:rFonts w:ascii="Arial" w:cs="Arial" w:eastAsia="Arial" w:hAnsi="Arial"/>
                <w:sz w:val="16"/>
                <w:szCs w:val="16"/>
                <w:b w:val="1"/>
                <w:bCs w:val="1"/>
                <w:color w:val="auto"/>
              </w:rPr>
              <w:t>3.5</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spacing w:after="0"/>
              <w:rPr>
                <w:sz w:val="20"/>
                <w:szCs w:val="20"/>
                <w:color w:val="auto"/>
              </w:rPr>
            </w:pPr>
            <w:r>
              <w:rPr>
                <w:rFonts w:ascii="Arial" w:cs="Arial" w:eastAsia="Arial" w:hAnsi="Arial"/>
                <w:sz w:val="16"/>
                <w:szCs w:val="16"/>
                <w:b w:val="1"/>
                <w:bCs w:val="1"/>
                <w:color w:val="auto"/>
              </w:rPr>
              <w:t>interest</w:t>
            </w:r>
          </w:p>
        </w:tc>
        <w:tc>
          <w:tcPr>
            <w:tcW w:w="14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40" w:type="dxa"/>
            <w:vAlign w:val="bottom"/>
          </w:tcPr>
          <w:p>
            <w:pPr>
              <w:spacing w:after="0"/>
              <w:rPr>
                <w:sz w:val="14"/>
                <w:szCs w:val="14"/>
                <w:color w:val="auto"/>
              </w:rPr>
            </w:pPr>
          </w:p>
        </w:tc>
        <w:tc>
          <w:tcPr>
            <w:tcW w:w="3660" w:type="dxa"/>
            <w:vAlign w:val="bottom"/>
            <w:shd w:val="clear" w:color="auto" w:fill="CCEEFF"/>
          </w:tcPr>
          <w:p>
            <w:pPr>
              <w:spacing w:after="0" w:line="165" w:lineRule="exact"/>
              <w:rPr>
                <w:sz w:val="20"/>
                <w:szCs w:val="20"/>
                <w:color w:val="auto"/>
              </w:rPr>
            </w:pPr>
            <w:r>
              <w:rPr>
                <w:rFonts w:ascii="Arial" w:cs="Arial" w:eastAsia="Arial" w:hAnsi="Arial"/>
                <w:sz w:val="16"/>
                <w:szCs w:val="16"/>
                <w:b w:val="1"/>
                <w:bCs w:val="1"/>
                <w:color w:val="auto"/>
              </w:rPr>
              <w:t>Diluted income (loss) per common share from</w:t>
            </w:r>
          </w:p>
        </w:tc>
        <w:tc>
          <w:tcPr>
            <w:tcW w:w="1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ind w:right="81"/>
              <w:spacing w:after="0"/>
              <w:rPr>
                <w:sz w:val="20"/>
                <w:szCs w:val="20"/>
                <w:color w:val="auto"/>
              </w:rPr>
            </w:pPr>
            <w:r>
              <w:rPr>
                <w:rFonts w:ascii="Arial" w:cs="Arial" w:eastAsia="Arial" w:hAnsi="Arial"/>
                <w:sz w:val="16"/>
                <w:szCs w:val="16"/>
                <w:b w:val="1"/>
                <w:bCs w:val="1"/>
                <w:color w:val="auto"/>
              </w:rPr>
              <w:t>(0.87)</w:t>
            </w:r>
          </w:p>
        </w:tc>
        <w:tc>
          <w:tcPr>
            <w:tcW w:w="140" w:type="dxa"/>
            <w:vAlign w:val="bottom"/>
            <w:shd w:val="clear" w:color="auto" w:fill="CCEEFF"/>
          </w:tcPr>
          <w:p>
            <w:pPr>
              <w:spacing w:after="0"/>
              <w:rPr>
                <w:sz w:val="14"/>
                <w:szCs w:val="14"/>
                <w:color w:val="auto"/>
              </w:rPr>
            </w:pPr>
          </w:p>
        </w:tc>
        <w:tc>
          <w:tcPr>
            <w:tcW w:w="600" w:type="dxa"/>
            <w:vAlign w:val="bottom"/>
            <w:vMerge w:val="restart"/>
            <w:shd w:val="clear" w:color="auto" w:fill="CCEEFF"/>
          </w:tcPr>
          <w:p>
            <w:pPr>
              <w:jc w:val="right"/>
              <w:ind w:right="81"/>
              <w:spacing w:after="0"/>
              <w:rPr>
                <w:sz w:val="20"/>
                <w:szCs w:val="20"/>
                <w:color w:val="auto"/>
              </w:rPr>
            </w:pPr>
            <w:r>
              <w:rPr>
                <w:rFonts w:ascii="Arial" w:cs="Arial" w:eastAsia="Arial" w:hAnsi="Arial"/>
                <w:sz w:val="16"/>
                <w:szCs w:val="16"/>
                <w:b w:val="1"/>
                <w:bCs w:val="1"/>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(0.06)</w:t>
            </w:r>
          </w:p>
        </w:tc>
        <w:tc>
          <w:tcPr>
            <w:tcW w:w="220" w:type="dxa"/>
            <w:vAlign w:val="bottom"/>
            <w:shd w:val="clear" w:color="auto" w:fill="CCEEFF"/>
          </w:tcPr>
          <w:p>
            <w:pPr>
              <w:spacing w:after="0"/>
              <w:rPr>
                <w:sz w:val="14"/>
                <w:szCs w:val="14"/>
                <w:color w:val="auto"/>
              </w:rPr>
            </w:pPr>
          </w:p>
        </w:tc>
        <w:tc>
          <w:tcPr>
            <w:tcW w:w="980" w:type="dxa"/>
            <w:vAlign w:val="bottom"/>
            <w:gridSpan w:val="2"/>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(0.82)</w:t>
            </w: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0.07</w:t>
            </w:r>
          </w:p>
        </w:tc>
        <w:tc>
          <w:tcPr>
            <w:tcW w:w="4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0.01</w:t>
            </w:r>
          </w:p>
        </w:tc>
        <w:tc>
          <w:tcPr>
            <w:tcW w:w="22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0.06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0" w:type="dxa"/>
            <w:vAlign w:val="bottom"/>
          </w:tcPr>
          <w:p>
            <w:pPr>
              <w:spacing w:after="0"/>
              <w:rPr>
                <w:sz w:val="18"/>
                <w:szCs w:val="18"/>
                <w:color w:val="auto"/>
              </w:rPr>
            </w:pPr>
          </w:p>
        </w:tc>
        <w:tc>
          <w:tcPr>
            <w:tcW w:w="366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continuing operations</w:t>
            </w:r>
          </w:p>
        </w:tc>
        <w:tc>
          <w:tcPr>
            <w:tcW w:w="140" w:type="dxa"/>
            <w:vAlign w:val="bottom"/>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vMerge w:val="continue"/>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530"/>
        </w:trPr>
        <w:tc>
          <w:tcPr>
            <w:tcW w:w="370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rPr>
              <w:t>Calculation of Adjusted EBITDA (3):</w:t>
            </w:r>
          </w:p>
        </w:tc>
        <w:tc>
          <w:tcPr>
            <w:tcW w:w="1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40" w:type="dxa"/>
            <w:vAlign w:val="bottom"/>
            <w:gridSpan w:val="5"/>
          </w:tcPr>
          <w:p>
            <w:pPr>
              <w:jc w:val="center"/>
              <w:ind w:right="340"/>
              <w:spacing w:after="0"/>
              <w:rPr>
                <w:sz w:val="20"/>
                <w:szCs w:val="20"/>
                <w:color w:val="auto"/>
              </w:rPr>
            </w:pPr>
            <w:r>
              <w:rPr>
                <w:rFonts w:ascii="Arial" w:cs="Arial" w:eastAsia="Arial" w:hAnsi="Arial"/>
                <w:sz w:val="16"/>
                <w:szCs w:val="16"/>
                <w:color w:val="auto"/>
                <w:w w:val="90"/>
              </w:rPr>
              <w:t>Three Months Ended</w:t>
            </w:r>
          </w:p>
        </w:tc>
        <w:tc>
          <w:tcPr>
            <w:tcW w:w="1880" w:type="dxa"/>
            <w:vAlign w:val="bottom"/>
            <w:gridSpan w:val="3"/>
          </w:tcPr>
          <w:p>
            <w:pPr>
              <w:jc w:val="right"/>
              <w:ind w:right="160"/>
              <w:spacing w:after="0"/>
              <w:rPr>
                <w:sz w:val="20"/>
                <w:szCs w:val="20"/>
                <w:color w:val="auto"/>
              </w:rPr>
            </w:pPr>
            <w:r>
              <w:rPr>
                <w:rFonts w:ascii="Arial" w:cs="Arial" w:eastAsia="Arial" w:hAnsi="Arial"/>
                <w:sz w:val="16"/>
                <w:szCs w:val="16"/>
                <w:color w:val="auto"/>
              </w:rPr>
              <w:t>Three Months Ended</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3700" w:type="dxa"/>
            <w:vAlign w:val="bottom"/>
            <w:tcBorders>
              <w:bottom w:val="single" w:sz="8" w:color="CCEEFF"/>
            </w:tcBorders>
            <w:gridSpan w:val="2"/>
            <w:vMerge w:val="continue"/>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92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600" w:type="dxa"/>
            <w:vAlign w:val="bottom"/>
            <w:tcBorders>
              <w:bottom w:val="single" w:sz="8" w:color="CCEEFF"/>
            </w:tcBorders>
          </w:tcPr>
          <w:p>
            <w:pPr>
              <w:spacing w:after="0"/>
              <w:rPr>
                <w:sz w:val="18"/>
                <w:szCs w:val="18"/>
                <w:color w:val="auto"/>
              </w:rPr>
            </w:pPr>
          </w:p>
        </w:tc>
        <w:tc>
          <w:tcPr>
            <w:tcW w:w="900" w:type="dxa"/>
            <w:vAlign w:val="bottom"/>
            <w:tcBorders>
              <w:bottom w:val="single" w:sz="8" w:color="CCEEFF"/>
            </w:tcBorders>
          </w:tcPr>
          <w:p>
            <w:pPr>
              <w:spacing w:after="0"/>
              <w:rPr>
                <w:sz w:val="18"/>
                <w:szCs w:val="18"/>
                <w:color w:val="auto"/>
              </w:rPr>
            </w:pPr>
          </w:p>
        </w:tc>
        <w:tc>
          <w:tcPr>
            <w:tcW w:w="22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gridSpan w:val="4"/>
          </w:tcPr>
          <w:p>
            <w:pPr>
              <w:jc w:val="center"/>
              <w:ind w:right="181"/>
              <w:spacing w:after="0"/>
              <w:rPr>
                <w:sz w:val="20"/>
                <w:szCs w:val="20"/>
                <w:color w:val="auto"/>
              </w:rPr>
            </w:pPr>
            <w:r>
              <w:rPr>
                <w:rFonts w:ascii="Arial" w:cs="Arial" w:eastAsia="Arial" w:hAnsi="Arial"/>
                <w:sz w:val="16"/>
                <w:szCs w:val="16"/>
                <w:color w:val="auto"/>
                <w:w w:val="89"/>
              </w:rPr>
              <w:t>September 30, 2021</w:t>
            </w:r>
          </w:p>
        </w:tc>
        <w:tc>
          <w:tcPr>
            <w:tcW w:w="100" w:type="dxa"/>
            <w:vAlign w:val="bottom"/>
            <w:tcBorders>
              <w:bottom w:val="single" w:sz="8" w:color="CCEEFF"/>
            </w:tcBorders>
          </w:tcPr>
          <w:p>
            <w:pPr>
              <w:spacing w:after="0"/>
              <w:rPr>
                <w:sz w:val="18"/>
                <w:szCs w:val="18"/>
                <w:color w:val="auto"/>
              </w:rPr>
            </w:pPr>
          </w:p>
        </w:tc>
        <w:tc>
          <w:tcPr>
            <w:tcW w:w="188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6"/>
                <w:szCs w:val="16"/>
                <w:color w:val="auto"/>
              </w:rPr>
              <w:t>September 30, 2020</w:t>
            </w:r>
          </w:p>
        </w:tc>
        <w:tc>
          <w:tcPr>
            <w:tcW w:w="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0" w:type="dxa"/>
            <w:vAlign w:val="bottom"/>
            <w:shd w:val="clear" w:color="auto" w:fill="CCEEFF"/>
          </w:tcPr>
          <w:p>
            <w:pPr>
              <w:spacing w:after="0"/>
              <w:rPr>
                <w:sz w:val="18"/>
                <w:szCs w:val="18"/>
                <w:color w:val="auto"/>
              </w:rPr>
            </w:pPr>
          </w:p>
        </w:tc>
        <w:tc>
          <w:tcPr>
            <w:tcW w:w="36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Net income (loss) (GAAP)</w:t>
            </w:r>
          </w:p>
        </w:tc>
        <w:tc>
          <w:tcPr>
            <w:tcW w:w="14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(47.8)</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ind w:right="499"/>
              <w:spacing w:after="0"/>
              <w:rPr>
                <w:sz w:val="20"/>
                <w:szCs w:val="20"/>
                <w:color w:val="auto"/>
              </w:rPr>
            </w:pPr>
            <w:r>
              <w:rPr>
                <w:rFonts w:ascii="Arial" w:cs="Arial" w:eastAsia="Arial" w:hAnsi="Arial"/>
                <w:sz w:val="16"/>
                <w:szCs w:val="16"/>
                <w:color w:val="auto"/>
                <w:w w:val="89"/>
              </w:rPr>
              <w:t>$</w:t>
            </w:r>
          </w:p>
        </w:tc>
        <w:tc>
          <w:tcPr>
            <w:tcW w:w="22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800" w:type="dxa"/>
            <w:vAlign w:val="bottom"/>
            <w:gridSpan w:val="2"/>
          </w:tcPr>
          <w:p>
            <w:pPr>
              <w:ind w:left="100"/>
              <w:spacing w:after="0"/>
              <w:rPr>
                <w:sz w:val="20"/>
                <w:szCs w:val="20"/>
                <w:color w:val="auto"/>
              </w:rPr>
            </w:pPr>
            <w:r>
              <w:rPr>
                <w:rFonts w:ascii="Arial" w:cs="Arial" w:eastAsia="Arial" w:hAnsi="Arial"/>
                <w:sz w:val="16"/>
                <w:szCs w:val="16"/>
                <w:color w:val="auto"/>
                <w:w w:val="92"/>
              </w:rPr>
              <w:t>Income tax expense (benefit) from continuing operations</w:t>
            </w: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6"/>
                <w:szCs w:val="16"/>
                <w:color w:val="auto"/>
              </w:rPr>
              <w:t>(14.4)</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shd w:val="clear" w:color="auto" w:fill="CCEEFF"/>
          </w:tcPr>
          <w:p>
            <w:pPr>
              <w:spacing w:after="0"/>
              <w:rPr>
                <w:sz w:val="19"/>
                <w:szCs w:val="19"/>
                <w:color w:val="auto"/>
              </w:rPr>
            </w:pPr>
          </w:p>
        </w:tc>
        <w:tc>
          <w:tcPr>
            <w:tcW w:w="36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Income tax benefit from discontinued operations</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w:t>
            </w: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ind w:left="100"/>
              <w:spacing w:after="0"/>
              <w:rPr>
                <w:sz w:val="20"/>
                <w:szCs w:val="20"/>
                <w:color w:val="auto"/>
              </w:rPr>
            </w:pPr>
            <w:r>
              <w:rPr>
                <w:rFonts w:ascii="Arial" w:cs="Arial" w:eastAsia="Arial" w:hAnsi="Arial"/>
                <w:sz w:val="16"/>
                <w:szCs w:val="16"/>
                <w:color w:val="auto"/>
              </w:rPr>
              <w:t>Interest expense</w:t>
            </w: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6"/>
                <w:szCs w:val="16"/>
                <w:color w:val="auto"/>
              </w:rPr>
              <w:t>21.6</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16.7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shd w:val="clear" w:color="auto" w:fill="CCEEFF"/>
          </w:tcPr>
          <w:p>
            <w:pPr>
              <w:spacing w:after="0"/>
              <w:rPr>
                <w:sz w:val="19"/>
                <w:szCs w:val="19"/>
                <w:color w:val="auto"/>
              </w:rPr>
            </w:pPr>
          </w:p>
        </w:tc>
        <w:tc>
          <w:tcPr>
            <w:tcW w:w="36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Depreciation</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w:t>
            </w: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ind w:left="100"/>
              <w:spacing w:after="0"/>
              <w:rPr>
                <w:sz w:val="20"/>
                <w:szCs w:val="20"/>
                <w:color w:val="auto"/>
              </w:rPr>
            </w:pPr>
            <w:r>
              <w:rPr>
                <w:rFonts w:ascii="Arial" w:cs="Arial" w:eastAsia="Arial" w:hAnsi="Arial"/>
                <w:sz w:val="16"/>
                <w:szCs w:val="16"/>
                <w:color w:val="auto"/>
              </w:rPr>
              <w:t>Amortization</w:t>
            </w: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6"/>
                <w:szCs w:val="16"/>
                <w:color w:val="auto"/>
              </w:rPr>
              <w:t>7.9</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8.9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shd w:val="clear" w:color="auto" w:fill="CCEEFF"/>
          </w:tcPr>
          <w:p>
            <w:pPr>
              <w:spacing w:after="0"/>
              <w:rPr>
                <w:sz w:val="19"/>
                <w:szCs w:val="19"/>
                <w:color w:val="auto"/>
              </w:rPr>
            </w:pPr>
          </w:p>
        </w:tc>
        <w:tc>
          <w:tcPr>
            <w:tcW w:w="6360" w:type="dxa"/>
            <w:vAlign w:val="bottom"/>
            <w:gridSpan w:val="6"/>
            <w:shd w:val="clear" w:color="auto" w:fill="CCEEFF"/>
          </w:tcPr>
          <w:p>
            <w:pPr>
              <w:ind w:left="100"/>
              <w:spacing w:after="0"/>
              <w:rPr>
                <w:sz w:val="20"/>
                <w:szCs w:val="20"/>
                <w:color w:val="auto"/>
              </w:rPr>
            </w:pPr>
            <w:r>
              <w:rPr>
                <w:rFonts w:ascii="Arial" w:cs="Arial" w:eastAsia="Arial" w:hAnsi="Arial"/>
                <w:sz w:val="16"/>
                <w:szCs w:val="16"/>
                <w:color w:val="auto"/>
              </w:rPr>
              <w:t>Impairment, restructuring and other charges (recoveries) from continuing operations</w:t>
            </w: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80" w:type="dxa"/>
            <w:vAlign w:val="bottom"/>
            <w:shd w:val="clear" w:color="auto" w:fill="CCEEFF"/>
          </w:tcPr>
          <w:p>
            <w:pPr>
              <w:spacing w:after="0"/>
              <w:rPr>
                <w:sz w:val="19"/>
                <w:szCs w:val="19"/>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9"/>
                <w:szCs w:val="19"/>
                <w:color w:val="auto"/>
              </w:rPr>
            </w:pPr>
          </w:p>
        </w:tc>
        <w:tc>
          <w:tcPr>
            <w:tcW w:w="6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40" w:type="dxa"/>
            <w:vAlign w:val="bottom"/>
          </w:tcPr>
          <w:p>
            <w:pPr>
              <w:spacing w:after="0"/>
              <w:rPr>
                <w:sz w:val="18"/>
                <w:szCs w:val="18"/>
                <w:color w:val="auto"/>
              </w:rPr>
            </w:pPr>
          </w:p>
        </w:tc>
        <w:tc>
          <w:tcPr>
            <w:tcW w:w="3660" w:type="dxa"/>
            <w:vAlign w:val="bottom"/>
          </w:tcPr>
          <w:p>
            <w:pPr>
              <w:ind w:left="100"/>
              <w:spacing w:after="0"/>
              <w:rPr>
                <w:sz w:val="20"/>
                <w:szCs w:val="20"/>
                <w:color w:val="auto"/>
              </w:rPr>
            </w:pPr>
            <w:r>
              <w:rPr>
                <w:rFonts w:ascii="Arial" w:cs="Arial" w:eastAsia="Arial" w:hAnsi="Arial"/>
                <w:sz w:val="16"/>
                <w:szCs w:val="16"/>
                <w:color w:val="auto"/>
              </w:rPr>
              <w:t>Interest income</w:t>
            </w:r>
          </w:p>
        </w:tc>
        <w:tc>
          <w:tcPr>
            <w:tcW w:w="1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6"/>
                <w:szCs w:val="16"/>
                <w:color w:val="auto"/>
              </w:rPr>
              <w:t>(0.9)</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40" w:type="dxa"/>
            <w:vAlign w:val="bottom"/>
            <w:shd w:val="clear" w:color="auto" w:fill="CCEEFF"/>
          </w:tcPr>
          <w:p>
            <w:pPr>
              <w:spacing w:after="0"/>
              <w:rPr>
                <w:sz w:val="19"/>
                <w:szCs w:val="19"/>
                <w:color w:val="auto"/>
              </w:rPr>
            </w:pPr>
          </w:p>
        </w:tc>
        <w:tc>
          <w:tcPr>
            <w:tcW w:w="3660" w:type="dxa"/>
            <w:vAlign w:val="bottom"/>
            <w:shd w:val="clear" w:color="auto" w:fill="CCEEFF"/>
          </w:tcPr>
          <w:p>
            <w:pPr>
              <w:ind w:left="100"/>
              <w:spacing w:after="0"/>
              <w:rPr>
                <w:sz w:val="20"/>
                <w:szCs w:val="20"/>
                <w:color w:val="auto"/>
              </w:rPr>
            </w:pPr>
            <w:r>
              <w:rPr>
                <w:rFonts w:ascii="Arial" w:cs="Arial" w:eastAsia="Arial" w:hAnsi="Arial"/>
                <w:sz w:val="16"/>
                <w:szCs w:val="16"/>
                <w:color w:val="auto"/>
              </w:rPr>
              <w:t>Share-based compensation expense</w:t>
            </w:r>
          </w:p>
        </w:tc>
        <w:tc>
          <w:tcPr>
            <w:tcW w:w="14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w:t>
            </w:r>
          </w:p>
        </w:tc>
        <w:tc>
          <w:tcPr>
            <w:tcW w:w="100" w:type="dxa"/>
            <w:vAlign w:val="bottom"/>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16.1</w:t>
            </w:r>
          </w:p>
        </w:tc>
        <w:tc>
          <w:tcPr>
            <w:tcW w:w="2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3700" w:type="dxa"/>
            <w:vAlign w:val="bottom"/>
            <w:gridSpan w:val="2"/>
          </w:tcPr>
          <w:p>
            <w:pPr>
              <w:ind w:left="20"/>
              <w:spacing w:after="0"/>
              <w:rPr>
                <w:sz w:val="20"/>
                <w:szCs w:val="20"/>
                <w:color w:val="auto"/>
              </w:rPr>
            </w:pPr>
            <w:r>
              <w:rPr>
                <w:rFonts w:ascii="Arial" w:cs="Arial" w:eastAsia="Arial" w:hAnsi="Arial"/>
                <w:sz w:val="16"/>
                <w:szCs w:val="16"/>
                <w:b w:val="1"/>
                <w:bCs w:val="1"/>
                <w:color w:val="auto"/>
              </w:rPr>
              <w:t>Adjusted EBITDA (Non-GAAP)</w:t>
            </w:r>
          </w:p>
        </w:tc>
        <w:tc>
          <w:tcPr>
            <w:tcW w:w="1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w w:val="89"/>
              </w:rPr>
              <w:t>$</w:t>
            </w:r>
          </w:p>
        </w:tc>
        <w:tc>
          <w:tcPr>
            <w:tcW w:w="12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(9.0)</w:t>
            </w:r>
          </w:p>
        </w:tc>
        <w:tc>
          <w:tcPr>
            <w:tcW w:w="100" w:type="dxa"/>
            <w:vAlign w:val="bottom"/>
          </w:tcPr>
          <w:p>
            <w:pPr>
              <w:spacing w:after="0"/>
              <w:rPr>
                <w:sz w:val="17"/>
                <w:szCs w:val="17"/>
                <w:color w:val="auto"/>
              </w:rPr>
            </w:pPr>
          </w:p>
        </w:tc>
        <w:tc>
          <w:tcPr>
            <w:tcW w:w="680" w:type="dxa"/>
            <w:vAlign w:val="bottom"/>
            <w:tcBorders>
              <w:bottom w:val="single" w:sz="8" w:color="auto"/>
            </w:tcBorders>
          </w:tcPr>
          <w:p>
            <w:pPr>
              <w:jc w:val="right"/>
              <w:ind w:right="499"/>
              <w:spacing w:after="0"/>
              <w:rPr>
                <w:sz w:val="20"/>
                <w:szCs w:val="20"/>
                <w:color w:val="auto"/>
              </w:rPr>
            </w:pPr>
            <w:r>
              <w:rPr>
                <w:rFonts w:ascii="Arial" w:cs="Arial" w:eastAsia="Arial" w:hAnsi="Arial"/>
                <w:sz w:val="16"/>
                <w:szCs w:val="16"/>
                <w:b w:val="1"/>
                <w:bCs w:val="1"/>
                <w:color w:val="auto"/>
                <w:w w:val="89"/>
              </w:rPr>
              <w:t>$</w:t>
            </w:r>
          </w:p>
        </w:tc>
        <w:tc>
          <w:tcPr>
            <w:tcW w:w="2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61.7</w:t>
            </w:r>
          </w:p>
        </w:tc>
        <w:tc>
          <w:tcPr>
            <w:tcW w:w="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
        </w:trPr>
        <w:tc>
          <w:tcPr>
            <w:tcW w:w="40" w:type="dxa"/>
            <w:vAlign w:val="bottom"/>
          </w:tcPr>
          <w:p>
            <w:pPr>
              <w:spacing w:after="0"/>
              <w:rPr>
                <w:sz w:val="2"/>
                <w:szCs w:val="2"/>
                <w:color w:val="auto"/>
              </w:rPr>
            </w:pPr>
          </w:p>
        </w:tc>
        <w:tc>
          <w:tcPr>
            <w:tcW w:w="36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40" w:type="dxa"/>
            <w:vAlign w:val="bottom"/>
          </w:tcPr>
          <w:p>
            <w:pPr>
              <w:spacing w:after="0"/>
              <w:rPr>
                <w:sz w:val="2"/>
                <w:szCs w:val="2"/>
                <w:color w:val="auto"/>
              </w:rPr>
            </w:pPr>
          </w:p>
        </w:tc>
        <w:tc>
          <w:tcPr>
            <w:tcW w:w="600" w:type="dxa"/>
            <w:vAlign w:val="bottom"/>
          </w:tcPr>
          <w:p>
            <w:pPr>
              <w:spacing w:after="0"/>
              <w:rPr>
                <w:sz w:val="2"/>
                <w:szCs w:val="2"/>
                <w:color w:val="auto"/>
              </w:rPr>
            </w:pPr>
          </w:p>
        </w:tc>
        <w:tc>
          <w:tcPr>
            <w:tcW w:w="9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20"/>
        <w:spacing w:after="0"/>
        <w:rPr>
          <w:sz w:val="20"/>
          <w:szCs w:val="20"/>
          <w:color w:val="auto"/>
        </w:rPr>
      </w:pPr>
      <w:r>
        <w:rPr>
          <w:rFonts w:ascii="Arial" w:cs="Arial" w:eastAsia="Arial" w:hAnsi="Arial"/>
          <w:sz w:val="16"/>
          <w:szCs w:val="16"/>
          <w:color w:val="auto"/>
        </w:rPr>
        <w:t>Note: See accompanying footnotes on page 11.</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The sum of the components may not equal due to rounding.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320" w:top="117" w:right="339" w:bottom="1440" w:gutter="0" w:footer="0" w:header="0"/>
        </w:sectPr>
      </w:pPr>
    </w:p>
    <w:bookmarkStart w:id="12" w:name="page13"/>
    <w:bookmarkEnd w:id="12"/>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Non-GAAP Disclosure Items (3)</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1720" w:type="dxa"/>
            <w:vAlign w:val="bottom"/>
          </w:tcPr>
          <w:p>
            <w:pPr>
              <w:spacing w:after="0"/>
              <w:rPr>
                <w:sz w:val="18"/>
                <w:szCs w:val="18"/>
                <w:color w:val="auto"/>
              </w:rPr>
            </w:pPr>
          </w:p>
        </w:tc>
        <w:tc>
          <w:tcPr>
            <w:tcW w:w="4260" w:type="dxa"/>
            <w:vAlign w:val="bottom"/>
            <w:gridSpan w:val="7"/>
          </w:tcPr>
          <w:p>
            <w:pPr>
              <w:ind w:left="680"/>
              <w:spacing w:after="0"/>
              <w:rPr>
                <w:sz w:val="20"/>
                <w:szCs w:val="20"/>
                <w:color w:val="auto"/>
              </w:rPr>
            </w:pPr>
            <w:r>
              <w:rPr>
                <w:rFonts w:ascii="Arial" w:cs="Arial" w:eastAsia="Arial" w:hAnsi="Arial"/>
                <w:sz w:val="16"/>
                <w:szCs w:val="16"/>
                <w:color w:val="auto"/>
              </w:rPr>
              <w:t>Twelve Months Ended September 30, 2021</w:t>
            </w:r>
          </w:p>
        </w:tc>
        <w:tc>
          <w:tcPr>
            <w:tcW w:w="960" w:type="dxa"/>
            <w:vAlign w:val="bottom"/>
          </w:tcPr>
          <w:p>
            <w:pPr>
              <w:spacing w:after="0"/>
              <w:rPr>
                <w:sz w:val="18"/>
                <w:szCs w:val="18"/>
                <w:color w:val="auto"/>
              </w:rPr>
            </w:pPr>
          </w:p>
        </w:tc>
        <w:tc>
          <w:tcPr>
            <w:tcW w:w="3460" w:type="dxa"/>
            <w:vAlign w:val="bottom"/>
            <w:gridSpan w:val="9"/>
          </w:tcPr>
          <w:p>
            <w:pPr>
              <w:jc w:val="right"/>
              <w:ind w:right="301"/>
              <w:spacing w:after="0"/>
              <w:rPr>
                <w:sz w:val="20"/>
                <w:szCs w:val="20"/>
                <w:color w:val="auto"/>
              </w:rPr>
            </w:pPr>
            <w:r>
              <w:rPr>
                <w:rFonts w:ascii="Arial" w:cs="Arial" w:eastAsia="Arial" w:hAnsi="Arial"/>
                <w:sz w:val="16"/>
                <w:szCs w:val="16"/>
                <w:color w:val="auto"/>
                <w:w w:val="99"/>
              </w:rPr>
              <w:t>Twelve Months Ended September 30, 2020</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31"/>
        </w:trPr>
        <w:tc>
          <w:tcPr>
            <w:tcW w:w="1720" w:type="dxa"/>
            <w:vAlign w:val="bottom"/>
          </w:tcPr>
          <w:p>
            <w:pPr>
              <w:spacing w:after="0"/>
              <w:rPr>
                <w:sz w:val="11"/>
                <w:szCs w:val="11"/>
                <w:color w:val="auto"/>
              </w:rPr>
            </w:pPr>
          </w:p>
        </w:tc>
        <w:tc>
          <w:tcPr>
            <w:tcW w:w="98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4"/>
                <w:szCs w:val="14"/>
                <w:color w:val="auto"/>
              </w:rPr>
              <w:t>As Reported</w:t>
            </w:r>
          </w:p>
        </w:tc>
        <w:tc>
          <w:tcPr>
            <w:tcW w:w="640" w:type="dxa"/>
            <w:vAlign w:val="bottom"/>
            <w:tcBorders>
              <w:top w:val="single" w:sz="8" w:color="auto"/>
            </w:tcBorders>
            <w:vMerge w:val="restart"/>
          </w:tcPr>
          <w:p>
            <w:pPr>
              <w:ind w:left="140"/>
              <w:spacing w:after="0"/>
              <w:rPr>
                <w:sz w:val="20"/>
                <w:szCs w:val="20"/>
                <w:color w:val="auto"/>
              </w:rPr>
            </w:pPr>
            <w:r>
              <w:rPr>
                <w:rFonts w:ascii="Arial" w:cs="Arial" w:eastAsia="Arial" w:hAnsi="Arial"/>
                <w:sz w:val="14"/>
                <w:szCs w:val="14"/>
                <w:color w:val="auto"/>
              </w:rPr>
              <w:t>Disc</w:t>
            </w:r>
          </w:p>
        </w:tc>
        <w:tc>
          <w:tcPr>
            <w:tcW w:w="900" w:type="dxa"/>
            <w:vAlign w:val="bottom"/>
            <w:tcBorders>
              <w:top w:val="single" w:sz="8" w:color="auto"/>
            </w:tcBorders>
          </w:tcPr>
          <w:p>
            <w:pPr>
              <w:jc w:val="center"/>
              <w:ind w:right="42"/>
              <w:spacing w:after="0" w:line="132" w:lineRule="exact"/>
              <w:rPr>
                <w:sz w:val="20"/>
                <w:szCs w:val="20"/>
                <w:color w:val="auto"/>
              </w:rPr>
            </w:pPr>
            <w:r>
              <w:rPr>
                <w:rFonts w:ascii="Arial" w:cs="Arial" w:eastAsia="Arial" w:hAnsi="Arial"/>
                <w:sz w:val="14"/>
                <w:szCs w:val="14"/>
                <w:color w:val="auto"/>
                <w:w w:val="94"/>
              </w:rPr>
              <w:t>Impairment,</w:t>
            </w:r>
          </w:p>
        </w:tc>
        <w:tc>
          <w:tcPr>
            <w:tcW w:w="160" w:type="dxa"/>
            <w:vAlign w:val="bottom"/>
            <w:tcBorders>
              <w:top w:val="single" w:sz="8" w:color="auto"/>
            </w:tcBorders>
          </w:tcPr>
          <w:p>
            <w:pPr>
              <w:spacing w:after="0"/>
              <w:rPr>
                <w:sz w:val="11"/>
                <w:szCs w:val="11"/>
                <w:color w:val="auto"/>
              </w:rPr>
            </w:pPr>
          </w:p>
        </w:tc>
        <w:tc>
          <w:tcPr>
            <w:tcW w:w="560" w:type="dxa"/>
            <w:vAlign w:val="bottom"/>
            <w:tcBorders>
              <w:top w:val="single" w:sz="8" w:color="auto"/>
            </w:tcBorders>
          </w:tcPr>
          <w:p>
            <w:pPr>
              <w:jc w:val="center"/>
              <w:ind w:right="61"/>
              <w:spacing w:after="0" w:line="132" w:lineRule="exact"/>
              <w:rPr>
                <w:sz w:val="20"/>
                <w:szCs w:val="20"/>
                <w:color w:val="auto"/>
              </w:rPr>
            </w:pPr>
            <w:r>
              <w:rPr>
                <w:rFonts w:ascii="Arial" w:cs="Arial" w:eastAsia="Arial" w:hAnsi="Arial"/>
                <w:sz w:val="14"/>
                <w:szCs w:val="14"/>
                <w:color w:val="auto"/>
                <w:w w:val="96"/>
              </w:rPr>
              <w:t>Other</w:t>
            </w:r>
          </w:p>
        </w:tc>
        <w:tc>
          <w:tcPr>
            <w:tcW w:w="920" w:type="dxa"/>
            <w:vAlign w:val="bottom"/>
            <w:tcBorders>
              <w:top w:val="single" w:sz="8" w:color="auto"/>
            </w:tcBorders>
          </w:tcPr>
          <w:p>
            <w:pPr>
              <w:jc w:val="center"/>
              <w:spacing w:after="0" w:line="132" w:lineRule="exact"/>
              <w:rPr>
                <w:sz w:val="20"/>
                <w:szCs w:val="20"/>
                <w:color w:val="auto"/>
              </w:rPr>
            </w:pPr>
            <w:r>
              <w:rPr>
                <w:rFonts w:ascii="Arial" w:cs="Arial" w:eastAsia="Arial" w:hAnsi="Arial"/>
                <w:sz w:val="14"/>
                <w:szCs w:val="14"/>
                <w:color w:val="auto"/>
                <w:w w:val="95"/>
              </w:rPr>
              <w:t>Adjusted</w:t>
            </w:r>
          </w:p>
        </w:tc>
        <w:tc>
          <w:tcPr>
            <w:tcW w:w="100" w:type="dxa"/>
            <w:vAlign w:val="bottom"/>
          </w:tcPr>
          <w:p>
            <w:pPr>
              <w:spacing w:after="0"/>
              <w:rPr>
                <w:sz w:val="11"/>
                <w:szCs w:val="11"/>
                <w:color w:val="auto"/>
              </w:rPr>
            </w:pPr>
          </w:p>
        </w:tc>
        <w:tc>
          <w:tcPr>
            <w:tcW w:w="960" w:type="dxa"/>
            <w:vAlign w:val="bottom"/>
            <w:tcBorders>
              <w:top w:val="single" w:sz="8" w:color="auto"/>
            </w:tcBorders>
            <w:vMerge w:val="restart"/>
          </w:tcPr>
          <w:p>
            <w:pPr>
              <w:jc w:val="right"/>
              <w:ind w:right="41"/>
              <w:spacing w:after="0"/>
              <w:rPr>
                <w:sz w:val="20"/>
                <w:szCs w:val="20"/>
                <w:color w:val="auto"/>
              </w:rPr>
            </w:pPr>
            <w:r>
              <w:rPr>
                <w:rFonts w:ascii="Arial" w:cs="Arial" w:eastAsia="Arial" w:hAnsi="Arial"/>
                <w:sz w:val="14"/>
                <w:szCs w:val="14"/>
                <w:color w:val="auto"/>
              </w:rPr>
              <w:t>As Reported</w:t>
            </w:r>
          </w:p>
        </w:tc>
        <w:tc>
          <w:tcPr>
            <w:tcW w:w="600" w:type="dxa"/>
            <w:vAlign w:val="bottom"/>
            <w:tcBorders>
              <w:top w:val="single" w:sz="8" w:color="auto"/>
            </w:tcBorders>
            <w:gridSpan w:val="2"/>
            <w:vMerge w:val="restart"/>
          </w:tcPr>
          <w:p>
            <w:pPr>
              <w:jc w:val="right"/>
              <w:ind w:right="159"/>
              <w:spacing w:after="0"/>
              <w:rPr>
                <w:sz w:val="20"/>
                <w:szCs w:val="20"/>
                <w:color w:val="auto"/>
              </w:rPr>
            </w:pPr>
            <w:r>
              <w:rPr>
                <w:rFonts w:ascii="Arial" w:cs="Arial" w:eastAsia="Arial" w:hAnsi="Arial"/>
                <w:sz w:val="14"/>
                <w:szCs w:val="14"/>
                <w:color w:val="auto"/>
              </w:rPr>
              <w:t>Disc</w:t>
            </w:r>
          </w:p>
        </w:tc>
        <w:tc>
          <w:tcPr>
            <w:tcW w:w="900" w:type="dxa"/>
            <w:vAlign w:val="bottom"/>
            <w:tcBorders>
              <w:top w:val="single" w:sz="8" w:color="auto"/>
            </w:tcBorders>
          </w:tcPr>
          <w:p>
            <w:pPr>
              <w:jc w:val="center"/>
              <w:ind w:right="1"/>
              <w:spacing w:after="0" w:line="132" w:lineRule="exact"/>
              <w:rPr>
                <w:sz w:val="20"/>
                <w:szCs w:val="20"/>
                <w:color w:val="auto"/>
              </w:rPr>
            </w:pPr>
            <w:r>
              <w:rPr>
                <w:rFonts w:ascii="Arial" w:cs="Arial" w:eastAsia="Arial" w:hAnsi="Arial"/>
                <w:sz w:val="14"/>
                <w:szCs w:val="14"/>
                <w:color w:val="auto"/>
                <w:w w:val="94"/>
              </w:rPr>
              <w:t>Impairment,</w:t>
            </w:r>
          </w:p>
        </w:tc>
        <w:tc>
          <w:tcPr>
            <w:tcW w:w="120" w:type="dxa"/>
            <w:vAlign w:val="bottom"/>
            <w:tcBorders>
              <w:top w:val="single" w:sz="8" w:color="auto"/>
            </w:tcBorders>
          </w:tcPr>
          <w:p>
            <w:pPr>
              <w:spacing w:after="0"/>
              <w:rPr>
                <w:sz w:val="11"/>
                <w:szCs w:val="11"/>
                <w:color w:val="auto"/>
              </w:rPr>
            </w:pPr>
          </w:p>
        </w:tc>
        <w:tc>
          <w:tcPr>
            <w:tcW w:w="740" w:type="dxa"/>
            <w:vAlign w:val="bottom"/>
            <w:tcBorders>
              <w:top w:val="single" w:sz="8" w:color="auto"/>
            </w:tcBorders>
            <w:gridSpan w:val="2"/>
          </w:tcPr>
          <w:p>
            <w:pPr>
              <w:jc w:val="right"/>
              <w:ind w:right="280"/>
              <w:spacing w:after="0" w:line="132" w:lineRule="exact"/>
              <w:rPr>
                <w:sz w:val="20"/>
                <w:szCs w:val="20"/>
                <w:color w:val="auto"/>
              </w:rPr>
            </w:pPr>
            <w:r>
              <w:rPr>
                <w:rFonts w:ascii="Arial" w:cs="Arial" w:eastAsia="Arial" w:hAnsi="Arial"/>
                <w:sz w:val="14"/>
                <w:szCs w:val="14"/>
                <w:color w:val="auto"/>
              </w:rPr>
              <w:t>Other</w:t>
            </w:r>
          </w:p>
        </w:tc>
        <w:tc>
          <w:tcPr>
            <w:tcW w:w="4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261"/>
              <w:spacing w:after="0" w:line="132" w:lineRule="exact"/>
              <w:rPr>
                <w:sz w:val="20"/>
                <w:szCs w:val="20"/>
                <w:color w:val="auto"/>
              </w:rPr>
            </w:pPr>
            <w:r>
              <w:rPr>
                <w:rFonts w:ascii="Arial" w:cs="Arial" w:eastAsia="Arial" w:hAnsi="Arial"/>
                <w:sz w:val="14"/>
                <w:szCs w:val="14"/>
                <w:color w:val="auto"/>
                <w:w w:val="89"/>
              </w:rPr>
              <w:t>Costs</w:t>
            </w:r>
          </w:p>
        </w:tc>
        <w:tc>
          <w:tcPr>
            <w:tcW w:w="840" w:type="dxa"/>
            <w:vAlign w:val="bottom"/>
            <w:tcBorders>
              <w:top w:val="single" w:sz="8" w:color="auto"/>
            </w:tcBorders>
          </w:tcPr>
          <w:p>
            <w:pPr>
              <w:jc w:val="center"/>
              <w:ind w:right="120"/>
              <w:spacing w:after="0" w:line="132" w:lineRule="exact"/>
              <w:rPr>
                <w:sz w:val="20"/>
                <w:szCs w:val="20"/>
                <w:color w:val="auto"/>
              </w:rPr>
            </w:pPr>
            <w:r>
              <w:rPr>
                <w:rFonts w:ascii="Arial" w:cs="Arial" w:eastAsia="Arial" w:hAnsi="Arial"/>
                <w:sz w:val="14"/>
                <w:szCs w:val="14"/>
                <w:color w:val="auto"/>
                <w:w w:val="95"/>
              </w:rPr>
              <w:t>Adjusted</w:t>
            </w:r>
          </w:p>
        </w:tc>
        <w:tc>
          <w:tcPr>
            <w:tcW w:w="0" w:type="dxa"/>
            <w:vAlign w:val="bottom"/>
          </w:tcPr>
          <w:p>
            <w:pPr>
              <w:spacing w:after="0"/>
              <w:rPr>
                <w:sz w:val="1"/>
                <w:szCs w:val="1"/>
                <w:color w:val="auto"/>
              </w:rPr>
            </w:pPr>
          </w:p>
        </w:tc>
      </w:tr>
      <w:tr>
        <w:trPr>
          <w:trHeight w:val="135"/>
        </w:trPr>
        <w:tc>
          <w:tcPr>
            <w:tcW w:w="172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40" w:type="dxa"/>
            <w:vAlign w:val="bottom"/>
            <w:vMerge w:val="continue"/>
          </w:tcPr>
          <w:p>
            <w:pPr>
              <w:spacing w:after="0"/>
              <w:rPr>
                <w:sz w:val="11"/>
                <w:szCs w:val="11"/>
                <w:color w:val="auto"/>
              </w:rPr>
            </w:pPr>
          </w:p>
        </w:tc>
        <w:tc>
          <w:tcPr>
            <w:tcW w:w="900" w:type="dxa"/>
            <w:vAlign w:val="bottom"/>
          </w:tcPr>
          <w:p>
            <w:pPr>
              <w:jc w:val="center"/>
              <w:ind w:right="42"/>
              <w:spacing w:after="0" w:line="135" w:lineRule="exact"/>
              <w:rPr>
                <w:sz w:val="20"/>
                <w:szCs w:val="20"/>
                <w:color w:val="auto"/>
              </w:rPr>
            </w:pPr>
            <w:r>
              <w:rPr>
                <w:rFonts w:ascii="Arial" w:cs="Arial" w:eastAsia="Arial" w:hAnsi="Arial"/>
                <w:sz w:val="14"/>
                <w:szCs w:val="14"/>
                <w:color w:val="auto"/>
                <w:w w:val="93"/>
              </w:rPr>
              <w:t>Restructuring</w:t>
            </w:r>
          </w:p>
        </w:tc>
        <w:tc>
          <w:tcPr>
            <w:tcW w:w="160" w:type="dxa"/>
            <w:vAlign w:val="bottom"/>
          </w:tcPr>
          <w:p>
            <w:pPr>
              <w:spacing w:after="0"/>
              <w:rPr>
                <w:sz w:val="11"/>
                <w:szCs w:val="11"/>
                <w:color w:val="auto"/>
              </w:rPr>
            </w:pPr>
          </w:p>
        </w:tc>
        <w:tc>
          <w:tcPr>
            <w:tcW w:w="560" w:type="dxa"/>
            <w:vAlign w:val="bottom"/>
          </w:tcPr>
          <w:p>
            <w:pPr>
              <w:jc w:val="center"/>
              <w:ind w:right="61"/>
              <w:spacing w:after="0" w:line="135" w:lineRule="exact"/>
              <w:rPr>
                <w:sz w:val="20"/>
                <w:szCs w:val="20"/>
                <w:color w:val="auto"/>
              </w:rPr>
            </w:pPr>
            <w:r>
              <w:rPr>
                <w:rFonts w:ascii="Arial" w:cs="Arial" w:eastAsia="Arial" w:hAnsi="Arial"/>
                <w:sz w:val="14"/>
                <w:szCs w:val="14"/>
                <w:color w:val="auto"/>
                <w:w w:val="98"/>
              </w:rPr>
              <w:t>Non-</w:t>
            </w:r>
          </w:p>
        </w:tc>
        <w:tc>
          <w:tcPr>
            <w:tcW w:w="1020" w:type="dxa"/>
            <w:vAlign w:val="bottom"/>
            <w:gridSpan w:val="2"/>
          </w:tcPr>
          <w:p>
            <w:pPr>
              <w:jc w:val="center"/>
              <w:ind w:right="80"/>
              <w:spacing w:after="0" w:line="135" w:lineRule="exact"/>
              <w:rPr>
                <w:sz w:val="20"/>
                <w:szCs w:val="20"/>
                <w:color w:val="auto"/>
              </w:rPr>
            </w:pPr>
            <w:r>
              <w:rPr>
                <w:rFonts w:ascii="Arial" w:cs="Arial" w:eastAsia="Arial" w:hAnsi="Arial"/>
                <w:sz w:val="14"/>
                <w:szCs w:val="14"/>
                <w:color w:val="auto"/>
                <w:w w:val="97"/>
              </w:rPr>
              <w:t>(Non-</w:t>
            </w:r>
          </w:p>
        </w:tc>
        <w:tc>
          <w:tcPr>
            <w:tcW w:w="960" w:type="dxa"/>
            <w:vAlign w:val="bottom"/>
            <w:vMerge w:val="continue"/>
          </w:tcPr>
          <w:p>
            <w:pPr>
              <w:spacing w:after="0"/>
              <w:rPr>
                <w:sz w:val="11"/>
                <w:szCs w:val="11"/>
                <w:color w:val="auto"/>
              </w:rPr>
            </w:pPr>
          </w:p>
        </w:tc>
        <w:tc>
          <w:tcPr>
            <w:tcW w:w="600" w:type="dxa"/>
            <w:vAlign w:val="bottom"/>
            <w:gridSpan w:val="2"/>
            <w:vMerge w:val="continue"/>
          </w:tcPr>
          <w:p>
            <w:pPr>
              <w:spacing w:after="0"/>
              <w:rPr>
                <w:sz w:val="11"/>
                <w:szCs w:val="11"/>
                <w:color w:val="auto"/>
              </w:rPr>
            </w:pPr>
          </w:p>
        </w:tc>
        <w:tc>
          <w:tcPr>
            <w:tcW w:w="900" w:type="dxa"/>
            <w:vAlign w:val="bottom"/>
          </w:tcPr>
          <w:p>
            <w:pPr>
              <w:jc w:val="center"/>
              <w:ind w:right="1"/>
              <w:spacing w:after="0" w:line="135" w:lineRule="exact"/>
              <w:rPr>
                <w:sz w:val="20"/>
                <w:szCs w:val="20"/>
                <w:color w:val="auto"/>
              </w:rPr>
            </w:pPr>
            <w:r>
              <w:rPr>
                <w:rFonts w:ascii="Arial" w:cs="Arial" w:eastAsia="Arial" w:hAnsi="Arial"/>
                <w:sz w:val="14"/>
                <w:szCs w:val="14"/>
                <w:color w:val="auto"/>
                <w:w w:val="93"/>
              </w:rPr>
              <w:t>Restructuring</w:t>
            </w:r>
          </w:p>
        </w:tc>
        <w:tc>
          <w:tcPr>
            <w:tcW w:w="120" w:type="dxa"/>
            <w:vAlign w:val="bottom"/>
          </w:tcPr>
          <w:p>
            <w:pPr>
              <w:spacing w:after="0"/>
              <w:rPr>
                <w:sz w:val="11"/>
                <w:szCs w:val="11"/>
                <w:color w:val="auto"/>
              </w:rPr>
            </w:pPr>
          </w:p>
        </w:tc>
        <w:tc>
          <w:tcPr>
            <w:tcW w:w="740" w:type="dxa"/>
            <w:vAlign w:val="bottom"/>
            <w:gridSpan w:val="2"/>
          </w:tcPr>
          <w:p>
            <w:pPr>
              <w:jc w:val="right"/>
              <w:ind w:right="280"/>
              <w:spacing w:after="0" w:line="135" w:lineRule="exact"/>
              <w:rPr>
                <w:sz w:val="20"/>
                <w:szCs w:val="20"/>
                <w:color w:val="auto"/>
              </w:rPr>
            </w:pPr>
            <w:r>
              <w:rPr>
                <w:rFonts w:ascii="Arial" w:cs="Arial" w:eastAsia="Arial" w:hAnsi="Arial"/>
                <w:sz w:val="14"/>
                <w:szCs w:val="14"/>
                <w:color w:val="auto"/>
              </w:rPr>
              <w:t>Non-</w:t>
            </w: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40" w:type="dxa"/>
            <w:vAlign w:val="bottom"/>
          </w:tcPr>
          <w:p>
            <w:pPr>
              <w:jc w:val="center"/>
              <w:ind w:right="261"/>
              <w:spacing w:after="0" w:line="135" w:lineRule="exact"/>
              <w:rPr>
                <w:sz w:val="20"/>
                <w:szCs w:val="20"/>
                <w:color w:val="auto"/>
              </w:rPr>
            </w:pPr>
            <w:r>
              <w:rPr>
                <w:rFonts w:ascii="Arial" w:cs="Arial" w:eastAsia="Arial" w:hAnsi="Arial"/>
                <w:sz w:val="14"/>
                <w:szCs w:val="14"/>
                <w:color w:val="auto"/>
                <w:w w:val="93"/>
              </w:rPr>
              <w:t>Related to</w:t>
            </w:r>
          </w:p>
        </w:tc>
        <w:tc>
          <w:tcPr>
            <w:tcW w:w="840" w:type="dxa"/>
            <w:vAlign w:val="bottom"/>
          </w:tcPr>
          <w:p>
            <w:pPr>
              <w:jc w:val="center"/>
              <w:ind w:right="100"/>
              <w:spacing w:after="0" w:line="135" w:lineRule="exact"/>
              <w:rPr>
                <w:sz w:val="20"/>
                <w:szCs w:val="20"/>
                <w:color w:val="auto"/>
              </w:rPr>
            </w:pPr>
            <w:r>
              <w:rPr>
                <w:rFonts w:ascii="Arial" w:cs="Arial" w:eastAsia="Arial" w:hAnsi="Arial"/>
                <w:sz w:val="14"/>
                <w:szCs w:val="14"/>
                <w:color w:val="auto"/>
                <w:w w:val="97"/>
              </w:rPr>
              <w:t>(Non-</w:t>
            </w:r>
          </w:p>
        </w:tc>
        <w:tc>
          <w:tcPr>
            <w:tcW w:w="0" w:type="dxa"/>
            <w:vAlign w:val="bottom"/>
          </w:tcPr>
          <w:p>
            <w:pPr>
              <w:spacing w:after="0"/>
              <w:rPr>
                <w:sz w:val="1"/>
                <w:szCs w:val="1"/>
                <w:color w:val="auto"/>
              </w:rPr>
            </w:pPr>
          </w:p>
        </w:tc>
      </w:tr>
      <w:tr>
        <w:trPr>
          <w:trHeight w:val="186"/>
        </w:trPr>
        <w:tc>
          <w:tcPr>
            <w:tcW w:w="1720" w:type="dxa"/>
            <w:vAlign w:val="bottom"/>
          </w:tcPr>
          <w:p>
            <w:pPr>
              <w:spacing w:after="0"/>
              <w:rPr>
                <w:sz w:val="16"/>
                <w:szCs w:val="16"/>
                <w:color w:val="auto"/>
              </w:rPr>
            </w:pPr>
          </w:p>
        </w:tc>
        <w:tc>
          <w:tcPr>
            <w:tcW w:w="980" w:type="dxa"/>
            <w:vAlign w:val="bottom"/>
          </w:tcPr>
          <w:p>
            <w:pPr>
              <w:jc w:val="right"/>
              <w:ind w:right="161"/>
              <w:spacing w:after="0"/>
              <w:rPr>
                <w:sz w:val="20"/>
                <w:szCs w:val="20"/>
                <w:color w:val="auto"/>
              </w:rPr>
            </w:pPr>
            <w:r>
              <w:rPr>
                <w:rFonts w:ascii="Arial" w:cs="Arial" w:eastAsia="Arial" w:hAnsi="Arial"/>
                <w:sz w:val="14"/>
                <w:szCs w:val="14"/>
                <w:color w:val="auto"/>
              </w:rPr>
              <w:t>(GAAP)</w:t>
            </w:r>
          </w:p>
        </w:tc>
        <w:tc>
          <w:tcPr>
            <w:tcW w:w="640" w:type="dxa"/>
            <w:vAlign w:val="bottom"/>
          </w:tcPr>
          <w:p>
            <w:pPr>
              <w:ind w:left="160"/>
              <w:spacing w:after="0"/>
              <w:rPr>
                <w:sz w:val="20"/>
                <w:szCs w:val="20"/>
                <w:color w:val="auto"/>
              </w:rPr>
            </w:pPr>
            <w:r>
              <w:rPr>
                <w:rFonts w:ascii="Arial" w:cs="Arial" w:eastAsia="Arial" w:hAnsi="Arial"/>
                <w:sz w:val="14"/>
                <w:szCs w:val="14"/>
                <w:color w:val="auto"/>
              </w:rPr>
              <w:t>Ops</w:t>
            </w:r>
          </w:p>
        </w:tc>
        <w:tc>
          <w:tcPr>
            <w:tcW w:w="900" w:type="dxa"/>
            <w:vAlign w:val="bottom"/>
          </w:tcPr>
          <w:p>
            <w:pPr>
              <w:jc w:val="center"/>
              <w:ind w:right="42"/>
              <w:spacing w:after="0"/>
              <w:rPr>
                <w:sz w:val="20"/>
                <w:szCs w:val="20"/>
                <w:color w:val="auto"/>
              </w:rPr>
            </w:pPr>
            <w:r>
              <w:rPr>
                <w:rFonts w:ascii="Arial" w:cs="Arial" w:eastAsia="Arial" w:hAnsi="Arial"/>
                <w:sz w:val="14"/>
                <w:szCs w:val="14"/>
                <w:color w:val="auto"/>
                <w:w w:val="93"/>
              </w:rPr>
              <w:t>and Other</w:t>
            </w:r>
          </w:p>
        </w:tc>
        <w:tc>
          <w:tcPr>
            <w:tcW w:w="720" w:type="dxa"/>
            <w:vAlign w:val="bottom"/>
            <w:gridSpan w:val="2"/>
          </w:tcPr>
          <w:p>
            <w:pPr>
              <w:jc w:val="center"/>
              <w:spacing w:after="0"/>
              <w:rPr>
                <w:sz w:val="20"/>
                <w:szCs w:val="20"/>
                <w:color w:val="auto"/>
              </w:rPr>
            </w:pPr>
            <w:r>
              <w:rPr>
                <w:rFonts w:ascii="Arial" w:cs="Arial" w:eastAsia="Arial" w:hAnsi="Arial"/>
                <w:sz w:val="14"/>
                <w:szCs w:val="14"/>
                <w:color w:val="auto"/>
                <w:w w:val="94"/>
              </w:rPr>
              <w:t>Operating</w:t>
            </w:r>
          </w:p>
        </w:tc>
        <w:tc>
          <w:tcPr>
            <w:tcW w:w="1020" w:type="dxa"/>
            <w:vAlign w:val="bottom"/>
            <w:gridSpan w:val="2"/>
          </w:tcPr>
          <w:p>
            <w:pPr>
              <w:jc w:val="center"/>
              <w:ind w:right="60"/>
              <w:spacing w:after="0"/>
              <w:rPr>
                <w:sz w:val="20"/>
                <w:szCs w:val="20"/>
                <w:color w:val="auto"/>
              </w:rPr>
            </w:pPr>
            <w:r>
              <w:rPr>
                <w:rFonts w:ascii="Arial" w:cs="Arial" w:eastAsia="Arial" w:hAnsi="Arial"/>
                <w:sz w:val="14"/>
                <w:szCs w:val="14"/>
                <w:color w:val="auto"/>
              </w:rPr>
              <w:t>GAAP)</w:t>
            </w:r>
          </w:p>
        </w:tc>
        <w:tc>
          <w:tcPr>
            <w:tcW w:w="960" w:type="dxa"/>
            <w:vAlign w:val="bottom"/>
          </w:tcPr>
          <w:p>
            <w:pPr>
              <w:jc w:val="right"/>
              <w:ind w:right="161"/>
              <w:spacing w:after="0"/>
              <w:rPr>
                <w:sz w:val="20"/>
                <w:szCs w:val="20"/>
                <w:color w:val="auto"/>
              </w:rPr>
            </w:pPr>
            <w:r>
              <w:rPr>
                <w:rFonts w:ascii="Arial" w:cs="Arial" w:eastAsia="Arial" w:hAnsi="Arial"/>
                <w:sz w:val="14"/>
                <w:szCs w:val="14"/>
                <w:color w:val="auto"/>
              </w:rPr>
              <w:t>(GAAP)</w:t>
            </w:r>
          </w:p>
        </w:tc>
        <w:tc>
          <w:tcPr>
            <w:tcW w:w="600" w:type="dxa"/>
            <w:vAlign w:val="bottom"/>
            <w:gridSpan w:val="2"/>
          </w:tcPr>
          <w:p>
            <w:pPr>
              <w:jc w:val="right"/>
              <w:ind w:right="159"/>
              <w:spacing w:after="0"/>
              <w:rPr>
                <w:sz w:val="20"/>
                <w:szCs w:val="20"/>
                <w:color w:val="auto"/>
              </w:rPr>
            </w:pPr>
            <w:r>
              <w:rPr>
                <w:rFonts w:ascii="Arial" w:cs="Arial" w:eastAsia="Arial" w:hAnsi="Arial"/>
                <w:sz w:val="14"/>
                <w:szCs w:val="14"/>
                <w:color w:val="auto"/>
              </w:rPr>
              <w:t>Ops</w:t>
            </w:r>
          </w:p>
        </w:tc>
        <w:tc>
          <w:tcPr>
            <w:tcW w:w="900" w:type="dxa"/>
            <w:vAlign w:val="bottom"/>
          </w:tcPr>
          <w:p>
            <w:pPr>
              <w:jc w:val="center"/>
              <w:ind w:right="1"/>
              <w:spacing w:after="0"/>
              <w:rPr>
                <w:sz w:val="20"/>
                <w:szCs w:val="20"/>
                <w:color w:val="auto"/>
              </w:rPr>
            </w:pPr>
            <w:r>
              <w:rPr>
                <w:rFonts w:ascii="Arial" w:cs="Arial" w:eastAsia="Arial" w:hAnsi="Arial"/>
                <w:sz w:val="14"/>
                <w:szCs w:val="14"/>
                <w:color w:val="auto"/>
                <w:w w:val="93"/>
              </w:rPr>
              <w:t>and Other</w:t>
            </w:r>
          </w:p>
        </w:tc>
        <w:tc>
          <w:tcPr>
            <w:tcW w:w="120" w:type="dxa"/>
            <w:vAlign w:val="bottom"/>
          </w:tcPr>
          <w:p>
            <w:pPr>
              <w:spacing w:after="0"/>
              <w:rPr>
                <w:sz w:val="16"/>
                <w:szCs w:val="16"/>
                <w:color w:val="auto"/>
              </w:rPr>
            </w:pPr>
          </w:p>
        </w:tc>
        <w:tc>
          <w:tcPr>
            <w:tcW w:w="740" w:type="dxa"/>
            <w:vAlign w:val="bottom"/>
            <w:gridSpan w:val="2"/>
          </w:tcPr>
          <w:p>
            <w:pPr>
              <w:jc w:val="right"/>
              <w:ind w:right="140"/>
              <w:spacing w:after="0"/>
              <w:rPr>
                <w:sz w:val="20"/>
                <w:szCs w:val="20"/>
                <w:color w:val="auto"/>
              </w:rPr>
            </w:pPr>
            <w:r>
              <w:rPr>
                <w:rFonts w:ascii="Arial" w:cs="Arial" w:eastAsia="Arial" w:hAnsi="Arial"/>
                <w:sz w:val="14"/>
                <w:szCs w:val="14"/>
                <w:color w:val="auto"/>
                <w:w w:val="94"/>
              </w:rPr>
              <w:t>Operating</w:t>
            </w:r>
          </w:p>
        </w:tc>
        <w:tc>
          <w:tcPr>
            <w:tcW w:w="40" w:type="dxa"/>
            <w:vAlign w:val="bottom"/>
          </w:tcPr>
          <w:p>
            <w:pPr>
              <w:spacing w:after="0"/>
              <w:rPr>
                <w:sz w:val="16"/>
                <w:szCs w:val="16"/>
                <w:color w:val="auto"/>
              </w:rPr>
            </w:pPr>
          </w:p>
        </w:tc>
        <w:tc>
          <w:tcPr>
            <w:tcW w:w="1060" w:type="dxa"/>
            <w:vAlign w:val="bottom"/>
            <w:gridSpan w:val="2"/>
          </w:tcPr>
          <w:p>
            <w:pPr>
              <w:jc w:val="center"/>
              <w:ind w:right="121"/>
              <w:spacing w:after="0"/>
              <w:rPr>
                <w:sz w:val="20"/>
                <w:szCs w:val="20"/>
                <w:color w:val="auto"/>
              </w:rPr>
            </w:pPr>
            <w:r>
              <w:rPr>
                <w:rFonts w:ascii="Arial" w:cs="Arial" w:eastAsia="Arial" w:hAnsi="Arial"/>
                <w:sz w:val="14"/>
                <w:szCs w:val="14"/>
                <w:color w:val="auto"/>
                <w:w w:val="94"/>
              </w:rPr>
              <w:t>Refinancing</w:t>
            </w:r>
          </w:p>
        </w:tc>
        <w:tc>
          <w:tcPr>
            <w:tcW w:w="840" w:type="dxa"/>
            <w:vAlign w:val="bottom"/>
          </w:tcPr>
          <w:p>
            <w:pPr>
              <w:jc w:val="center"/>
              <w:ind w:right="120"/>
              <w:spacing w:after="0"/>
              <w:rPr>
                <w:sz w:val="20"/>
                <w:szCs w:val="20"/>
                <w:color w:val="auto"/>
              </w:rPr>
            </w:pPr>
            <w:r>
              <w:rPr>
                <w:rFonts w:ascii="Arial" w:cs="Arial" w:eastAsia="Arial" w:hAnsi="Arial"/>
                <w:sz w:val="14"/>
                <w:szCs w:val="14"/>
                <w:color w:val="auto"/>
              </w:rPr>
              <w:t>GAAP)</w:t>
            </w:r>
          </w:p>
        </w:tc>
        <w:tc>
          <w:tcPr>
            <w:tcW w:w="0" w:type="dxa"/>
            <w:vAlign w:val="bottom"/>
          </w:tcPr>
          <w:p>
            <w:pPr>
              <w:spacing w:after="0"/>
              <w:rPr>
                <w:sz w:val="1"/>
                <w:szCs w:val="1"/>
                <w:color w:val="auto"/>
              </w:rPr>
            </w:pPr>
          </w:p>
        </w:tc>
      </w:tr>
      <w:tr>
        <w:trPr>
          <w:trHeight w:val="213"/>
        </w:trPr>
        <w:tc>
          <w:tcPr>
            <w:tcW w:w="17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Gross profit</w:t>
            </w:r>
          </w:p>
        </w:tc>
        <w:tc>
          <w:tcPr>
            <w:tcW w:w="98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16"/>
                <w:szCs w:val="16"/>
                <w:color w:val="auto"/>
              </w:rPr>
              <w:t>$   1,469.0</w:t>
            </w:r>
          </w:p>
        </w:tc>
        <w:tc>
          <w:tcPr>
            <w:tcW w:w="64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   — $</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(24.7)</w:t>
            </w: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16"/>
                <w:szCs w:val="16"/>
                <w:color w:val="auto"/>
              </w:rPr>
              <w:t>$ 1,493.7</w:t>
            </w:r>
          </w:p>
        </w:tc>
        <w:tc>
          <w:tcPr>
            <w:tcW w:w="10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ind w:right="121"/>
              <w:spacing w:after="0"/>
              <w:rPr>
                <w:sz w:val="20"/>
                <w:szCs w:val="20"/>
                <w:color w:val="auto"/>
              </w:rPr>
            </w:pPr>
            <w:r>
              <w:rPr>
                <w:rFonts w:ascii="Arial" w:cs="Arial" w:eastAsia="Arial" w:hAnsi="Arial"/>
                <w:sz w:val="16"/>
                <w:szCs w:val="16"/>
                <w:color w:val="auto"/>
              </w:rPr>
              <w:t>$  1,347.0</w:t>
            </w:r>
          </w:p>
        </w:tc>
        <w:tc>
          <w:tcPr>
            <w:tcW w:w="6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  — $</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740" w:type="dxa"/>
            <w:vAlign w:val="bottom"/>
            <w:tcBorders>
              <w:top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6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940" w:type="dxa"/>
            <w:vAlign w:val="bottom"/>
            <w:tcBorders>
              <w:top w:val="single" w:sz="8" w:color="auto"/>
            </w:tcBorders>
            <w:shd w:val="clear" w:color="auto" w:fill="CCEEFF"/>
          </w:tcPr>
          <w:p>
            <w:pPr>
              <w:ind w:left="520"/>
              <w:spacing w:after="0"/>
              <w:rPr>
                <w:sz w:val="20"/>
                <w:szCs w:val="20"/>
                <w:color w:val="auto"/>
              </w:rPr>
            </w:pPr>
            <w:r>
              <w:rPr>
                <w:rFonts w:ascii="Arial" w:cs="Arial" w:eastAsia="Arial" w:hAnsi="Arial"/>
                <w:sz w:val="16"/>
                <w:szCs w:val="16"/>
                <w:color w:val="auto"/>
              </w:rPr>
              <w:t>— $</w:t>
            </w:r>
          </w:p>
        </w:tc>
        <w:tc>
          <w:tcPr>
            <w:tcW w:w="840" w:type="dxa"/>
            <w:vAlign w:val="bottom"/>
            <w:tcBorders>
              <w:top w:val="single" w:sz="8" w:color="auto"/>
            </w:tcBorders>
            <w:shd w:val="clear" w:color="auto" w:fill="CCEEFF"/>
          </w:tcPr>
          <w:p>
            <w:pPr>
              <w:jc w:val="right"/>
              <w:ind w:right="120"/>
              <w:spacing w:after="0"/>
              <w:rPr>
                <w:sz w:val="20"/>
                <w:szCs w:val="20"/>
                <w:color w:val="auto"/>
              </w:rPr>
            </w:pPr>
            <w:r>
              <w:rPr>
                <w:rFonts w:ascii="Arial" w:cs="Arial" w:eastAsia="Arial" w:hAnsi="Arial"/>
                <w:sz w:val="16"/>
                <w:szCs w:val="16"/>
                <w:color w:val="auto"/>
              </w:rPr>
              <w:t>1,363.1</w:t>
            </w:r>
          </w:p>
        </w:tc>
        <w:tc>
          <w:tcPr>
            <w:tcW w:w="0" w:type="dxa"/>
            <w:vAlign w:val="bottom"/>
          </w:tcPr>
          <w:p>
            <w:pPr>
              <w:spacing w:after="0"/>
              <w:rPr>
                <w:sz w:val="1"/>
                <w:szCs w:val="1"/>
                <w:color w:val="auto"/>
              </w:rPr>
            </w:pPr>
          </w:p>
        </w:tc>
      </w:tr>
      <w:tr>
        <w:trPr>
          <w:trHeight w:val="166"/>
        </w:trPr>
        <w:tc>
          <w:tcPr>
            <w:tcW w:w="1720" w:type="dxa"/>
            <w:vAlign w:val="bottom"/>
          </w:tcPr>
          <w:p>
            <w:pPr>
              <w:ind w:left="20"/>
              <w:spacing w:after="0" w:line="166" w:lineRule="exact"/>
              <w:rPr>
                <w:sz w:val="20"/>
                <w:szCs w:val="20"/>
                <w:color w:val="auto"/>
              </w:rPr>
            </w:pPr>
            <w:r>
              <w:rPr>
                <w:rFonts w:ascii="Arial" w:cs="Arial" w:eastAsia="Arial" w:hAnsi="Arial"/>
                <w:sz w:val="16"/>
                <w:szCs w:val="16"/>
                <w:color w:val="auto"/>
              </w:rPr>
              <w:t>Gross profit as a % of</w:t>
            </w: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29.8 %</w:t>
            </w:r>
          </w:p>
        </w:tc>
        <w:tc>
          <w:tcPr>
            <w:tcW w:w="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20" w:type="dxa"/>
            <w:vAlign w:val="bottom"/>
            <w:vMerge w:val="restart"/>
          </w:tcPr>
          <w:p>
            <w:pPr>
              <w:jc w:val="right"/>
              <w:spacing w:after="0"/>
              <w:rPr>
                <w:sz w:val="20"/>
                <w:szCs w:val="20"/>
                <w:color w:val="auto"/>
              </w:rPr>
            </w:pPr>
            <w:r>
              <w:rPr>
                <w:rFonts w:ascii="Arial" w:cs="Arial" w:eastAsia="Arial" w:hAnsi="Arial"/>
                <w:sz w:val="16"/>
                <w:szCs w:val="16"/>
                <w:color w:val="auto"/>
              </w:rPr>
              <w:t>30.3 %</w:t>
            </w:r>
          </w:p>
        </w:tc>
        <w:tc>
          <w:tcPr>
            <w:tcW w:w="100" w:type="dxa"/>
            <w:vAlign w:val="bottom"/>
          </w:tcPr>
          <w:p>
            <w:pPr>
              <w:spacing w:after="0"/>
              <w:rPr>
                <w:sz w:val="14"/>
                <w:szCs w:val="14"/>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32.6 %</w:t>
            </w: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vMerge w:val="restart"/>
          </w:tcPr>
          <w:p>
            <w:pPr>
              <w:jc w:val="right"/>
              <w:spacing w:after="0"/>
              <w:rPr>
                <w:sz w:val="20"/>
                <w:szCs w:val="20"/>
                <w:color w:val="auto"/>
              </w:rPr>
            </w:pPr>
            <w:r>
              <w:rPr>
                <w:rFonts w:ascii="Arial" w:cs="Arial" w:eastAsia="Arial" w:hAnsi="Arial"/>
                <w:sz w:val="16"/>
                <w:szCs w:val="16"/>
                <w:color w:val="auto"/>
              </w:rPr>
              <w:t>33.0 %</w:t>
            </w:r>
          </w:p>
        </w:tc>
        <w:tc>
          <w:tcPr>
            <w:tcW w:w="0" w:type="dxa"/>
            <w:vAlign w:val="bottom"/>
          </w:tcPr>
          <w:p>
            <w:pPr>
              <w:spacing w:after="0"/>
              <w:rPr>
                <w:sz w:val="1"/>
                <w:szCs w:val="1"/>
                <w:color w:val="auto"/>
              </w:rPr>
            </w:pPr>
          </w:p>
        </w:tc>
      </w:tr>
      <w:tr>
        <w:trPr>
          <w:trHeight w:val="209"/>
        </w:trPr>
        <w:tc>
          <w:tcPr>
            <w:tcW w:w="1720" w:type="dxa"/>
            <w:vAlign w:val="bottom"/>
          </w:tcPr>
          <w:p>
            <w:pPr>
              <w:ind w:left="20"/>
              <w:spacing w:after="0"/>
              <w:rPr>
                <w:sz w:val="20"/>
                <w:szCs w:val="20"/>
                <w:color w:val="auto"/>
              </w:rPr>
            </w:pPr>
            <w:r>
              <w:rPr>
                <w:rFonts w:ascii="Arial" w:cs="Arial" w:eastAsia="Arial" w:hAnsi="Arial"/>
                <w:sz w:val="16"/>
                <w:szCs w:val="16"/>
                <w:color w:val="auto"/>
              </w:rPr>
              <w:t>sales</w:t>
            </w:r>
          </w:p>
        </w:tc>
        <w:tc>
          <w:tcPr>
            <w:tcW w:w="980" w:type="dxa"/>
            <w:vAlign w:val="bottom"/>
            <w:vMerge w:val="continue"/>
          </w:tcPr>
          <w:p>
            <w:pPr>
              <w:spacing w:after="0"/>
              <w:rPr>
                <w:sz w:val="18"/>
                <w:szCs w:val="18"/>
                <w:color w:val="auto"/>
              </w:rPr>
            </w:pPr>
          </w:p>
        </w:tc>
        <w:tc>
          <w:tcPr>
            <w:tcW w:w="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1720" w:type="dxa"/>
            <w:vAlign w:val="bottom"/>
            <w:shd w:val="clear" w:color="auto" w:fill="CCEEFF"/>
          </w:tcPr>
          <w:p>
            <w:pPr>
              <w:ind w:left="20"/>
              <w:spacing w:after="0"/>
              <w:rPr>
                <w:sz w:val="20"/>
                <w:szCs w:val="20"/>
                <w:color w:val="auto"/>
              </w:rPr>
            </w:pPr>
            <w:r>
              <w:rPr>
                <w:rFonts w:ascii="Arial" w:cs="Arial" w:eastAsia="Arial" w:hAnsi="Arial"/>
                <w:sz w:val="16"/>
                <w:szCs w:val="16"/>
                <w:color w:val="auto"/>
                <w:w w:val="99"/>
              </w:rPr>
              <w:t>Income from operations</w:t>
            </w:r>
          </w:p>
        </w:tc>
        <w:tc>
          <w:tcPr>
            <w:tcW w:w="980" w:type="dxa"/>
            <w:vAlign w:val="bottom"/>
            <w:shd w:val="clear" w:color="auto" w:fill="CCEEFF"/>
          </w:tcPr>
          <w:p>
            <w:pPr>
              <w:jc w:val="right"/>
              <w:ind w:right="121"/>
              <w:spacing w:after="0"/>
              <w:rPr>
                <w:sz w:val="20"/>
                <w:szCs w:val="20"/>
                <w:color w:val="auto"/>
              </w:rPr>
            </w:pPr>
            <w:r>
              <w:rPr>
                <w:rFonts w:ascii="Arial" w:cs="Arial" w:eastAsia="Arial" w:hAnsi="Arial"/>
                <w:sz w:val="16"/>
                <w:szCs w:val="16"/>
                <w:color w:val="auto"/>
              </w:rPr>
              <w:t>723.0</w:t>
            </w:r>
          </w:p>
        </w:tc>
        <w:tc>
          <w:tcPr>
            <w:tcW w:w="640" w:type="dxa"/>
            <w:vAlign w:val="bottom"/>
            <w:shd w:val="clear" w:color="auto" w:fill="CCEEFF"/>
          </w:tcPr>
          <w:p>
            <w:pPr>
              <w:ind w:left="30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(29.0)</w:t>
            </w: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ind w:right="121"/>
              <w:spacing w:after="0"/>
              <w:rPr>
                <w:sz w:val="20"/>
                <w:szCs w:val="20"/>
                <w:color w:val="auto"/>
              </w:rPr>
            </w:pPr>
            <w:r>
              <w:rPr>
                <w:rFonts w:ascii="Arial" w:cs="Arial" w:eastAsia="Arial" w:hAnsi="Arial"/>
                <w:sz w:val="16"/>
                <w:szCs w:val="16"/>
                <w:color w:val="auto"/>
              </w:rPr>
              <w:t>752.1</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121"/>
              <w:spacing w:after="0"/>
              <w:rPr>
                <w:sz w:val="20"/>
                <w:szCs w:val="20"/>
                <w:color w:val="auto"/>
              </w:rPr>
            </w:pPr>
            <w:r>
              <w:rPr>
                <w:rFonts w:ascii="Arial" w:cs="Arial" w:eastAsia="Arial" w:hAnsi="Arial"/>
                <w:sz w:val="16"/>
                <w:szCs w:val="16"/>
                <w:color w:val="auto"/>
              </w:rPr>
              <w:t>585.2</w:t>
            </w:r>
          </w:p>
        </w:tc>
        <w:tc>
          <w:tcPr>
            <w:tcW w:w="600" w:type="dxa"/>
            <w:vAlign w:val="bottom"/>
            <w:gridSpan w:val="2"/>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w:t>
            </w:r>
          </w:p>
        </w:tc>
        <w:tc>
          <w:tcPr>
            <w:tcW w:w="12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ind w:left="520"/>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ind w:right="120"/>
              <w:spacing w:after="0"/>
              <w:rPr>
                <w:sz w:val="20"/>
                <w:szCs w:val="20"/>
                <w:color w:val="auto"/>
              </w:rPr>
            </w:pPr>
            <w:r>
              <w:rPr>
                <w:rFonts w:ascii="Arial" w:cs="Arial" w:eastAsia="Arial" w:hAnsi="Arial"/>
                <w:sz w:val="16"/>
                <w:szCs w:val="16"/>
                <w:color w:val="auto"/>
              </w:rPr>
              <w:t>602.0</w:t>
            </w:r>
          </w:p>
        </w:tc>
        <w:tc>
          <w:tcPr>
            <w:tcW w:w="0" w:type="dxa"/>
            <w:vAlign w:val="bottom"/>
          </w:tcPr>
          <w:p>
            <w:pPr>
              <w:spacing w:after="0"/>
              <w:rPr>
                <w:sz w:val="1"/>
                <w:szCs w:val="1"/>
                <w:color w:val="auto"/>
              </w:rPr>
            </w:pPr>
          </w:p>
        </w:tc>
      </w:tr>
      <w:tr>
        <w:trPr>
          <w:trHeight w:val="166"/>
        </w:trPr>
        <w:tc>
          <w:tcPr>
            <w:tcW w:w="1720" w:type="dxa"/>
            <w:vAlign w:val="bottom"/>
          </w:tcPr>
          <w:p>
            <w:pPr>
              <w:ind w:left="20"/>
              <w:spacing w:after="0" w:line="166" w:lineRule="exact"/>
              <w:rPr>
                <w:sz w:val="20"/>
                <w:szCs w:val="20"/>
                <w:color w:val="auto"/>
              </w:rPr>
            </w:pPr>
            <w:r>
              <w:rPr>
                <w:rFonts w:ascii="Arial" w:cs="Arial" w:eastAsia="Arial" w:hAnsi="Arial"/>
                <w:sz w:val="16"/>
                <w:szCs w:val="16"/>
                <w:color w:val="auto"/>
                <w:w w:val="99"/>
              </w:rPr>
              <w:t>Income from operations</w:t>
            </w: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14.7 %</w:t>
            </w:r>
          </w:p>
        </w:tc>
        <w:tc>
          <w:tcPr>
            <w:tcW w:w="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20" w:type="dxa"/>
            <w:vAlign w:val="bottom"/>
            <w:vMerge w:val="restart"/>
          </w:tcPr>
          <w:p>
            <w:pPr>
              <w:jc w:val="right"/>
              <w:spacing w:after="0"/>
              <w:rPr>
                <w:sz w:val="20"/>
                <w:szCs w:val="20"/>
                <w:color w:val="auto"/>
              </w:rPr>
            </w:pPr>
            <w:r>
              <w:rPr>
                <w:rFonts w:ascii="Arial" w:cs="Arial" w:eastAsia="Arial" w:hAnsi="Arial"/>
                <w:sz w:val="16"/>
                <w:szCs w:val="16"/>
                <w:color w:val="auto"/>
              </w:rPr>
              <w:t>15.3 %</w:t>
            </w:r>
          </w:p>
        </w:tc>
        <w:tc>
          <w:tcPr>
            <w:tcW w:w="100" w:type="dxa"/>
            <w:vAlign w:val="bottom"/>
          </w:tcPr>
          <w:p>
            <w:pPr>
              <w:spacing w:after="0"/>
              <w:rPr>
                <w:sz w:val="14"/>
                <w:szCs w:val="14"/>
                <w:color w:val="auto"/>
              </w:rPr>
            </w:pPr>
          </w:p>
        </w:tc>
        <w:tc>
          <w:tcPr>
            <w:tcW w:w="960" w:type="dxa"/>
            <w:vAlign w:val="bottom"/>
            <w:vMerge w:val="restart"/>
          </w:tcPr>
          <w:p>
            <w:pPr>
              <w:jc w:val="right"/>
              <w:spacing w:after="0"/>
              <w:rPr>
                <w:sz w:val="20"/>
                <w:szCs w:val="20"/>
                <w:color w:val="auto"/>
              </w:rPr>
            </w:pPr>
            <w:r>
              <w:rPr>
                <w:rFonts w:ascii="Arial" w:cs="Arial" w:eastAsia="Arial" w:hAnsi="Arial"/>
                <w:sz w:val="16"/>
                <w:szCs w:val="16"/>
                <w:color w:val="auto"/>
              </w:rPr>
              <w:t>14.2 %</w:t>
            </w: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vMerge w:val="restart"/>
          </w:tcPr>
          <w:p>
            <w:pPr>
              <w:jc w:val="right"/>
              <w:spacing w:after="0"/>
              <w:rPr>
                <w:sz w:val="20"/>
                <w:szCs w:val="20"/>
                <w:color w:val="auto"/>
              </w:rPr>
            </w:pPr>
            <w:r>
              <w:rPr>
                <w:rFonts w:ascii="Arial" w:cs="Arial" w:eastAsia="Arial" w:hAnsi="Arial"/>
                <w:sz w:val="16"/>
                <w:szCs w:val="16"/>
                <w:color w:val="auto"/>
              </w:rPr>
              <w:t>14.6 %</w:t>
            </w:r>
          </w:p>
        </w:tc>
        <w:tc>
          <w:tcPr>
            <w:tcW w:w="0" w:type="dxa"/>
            <w:vAlign w:val="bottom"/>
          </w:tcPr>
          <w:p>
            <w:pPr>
              <w:spacing w:after="0"/>
              <w:rPr>
                <w:sz w:val="1"/>
                <w:szCs w:val="1"/>
                <w:color w:val="auto"/>
              </w:rPr>
            </w:pPr>
          </w:p>
        </w:tc>
      </w:tr>
      <w:tr>
        <w:trPr>
          <w:trHeight w:val="209"/>
        </w:trPr>
        <w:tc>
          <w:tcPr>
            <w:tcW w:w="1720" w:type="dxa"/>
            <w:vAlign w:val="bottom"/>
          </w:tcPr>
          <w:p>
            <w:pPr>
              <w:ind w:left="20"/>
              <w:spacing w:after="0"/>
              <w:rPr>
                <w:sz w:val="20"/>
                <w:szCs w:val="20"/>
                <w:color w:val="auto"/>
              </w:rPr>
            </w:pPr>
            <w:r>
              <w:rPr>
                <w:rFonts w:ascii="Arial" w:cs="Arial" w:eastAsia="Arial" w:hAnsi="Arial"/>
                <w:sz w:val="16"/>
                <w:szCs w:val="16"/>
                <w:color w:val="auto"/>
              </w:rPr>
              <w:t>as a % of sales</w:t>
            </w:r>
          </w:p>
        </w:tc>
        <w:tc>
          <w:tcPr>
            <w:tcW w:w="980" w:type="dxa"/>
            <w:vAlign w:val="bottom"/>
            <w:vMerge w:val="continue"/>
          </w:tcPr>
          <w:p>
            <w:pPr>
              <w:spacing w:after="0"/>
              <w:rPr>
                <w:sz w:val="18"/>
                <w:szCs w:val="18"/>
                <w:color w:val="auto"/>
              </w:rPr>
            </w:pPr>
          </w:p>
        </w:tc>
        <w:tc>
          <w:tcPr>
            <w:tcW w:w="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9"/>
        </w:trPr>
        <w:tc>
          <w:tcPr>
            <w:tcW w:w="1720" w:type="dxa"/>
            <w:vAlign w:val="bottom"/>
            <w:shd w:val="clear" w:color="auto" w:fill="CCEEFF"/>
          </w:tcPr>
          <w:p>
            <w:pPr>
              <w:ind w:left="20"/>
              <w:spacing w:after="0" w:line="169" w:lineRule="exact"/>
              <w:rPr>
                <w:sz w:val="20"/>
                <w:szCs w:val="20"/>
                <w:color w:val="auto"/>
              </w:rPr>
            </w:pPr>
            <w:r>
              <w:rPr>
                <w:rFonts w:ascii="Arial" w:cs="Arial" w:eastAsia="Arial" w:hAnsi="Arial"/>
                <w:sz w:val="16"/>
                <w:szCs w:val="16"/>
                <w:color w:val="auto"/>
              </w:rPr>
              <w:t>Income from</w:t>
            </w:r>
          </w:p>
        </w:tc>
        <w:tc>
          <w:tcPr>
            <w:tcW w:w="9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720" w:type="dxa"/>
            <w:vAlign w:val="bottom"/>
            <w:shd w:val="clear" w:color="auto" w:fill="CCEEFF"/>
          </w:tcPr>
          <w:p>
            <w:pPr>
              <w:ind w:left="20"/>
              <w:spacing w:after="0" w:line="162" w:lineRule="exact"/>
              <w:rPr>
                <w:sz w:val="20"/>
                <w:szCs w:val="20"/>
                <w:color w:val="auto"/>
              </w:rPr>
            </w:pPr>
            <w:r>
              <w:rPr>
                <w:rFonts w:ascii="Arial" w:cs="Arial" w:eastAsia="Arial" w:hAnsi="Arial"/>
                <w:sz w:val="16"/>
                <w:szCs w:val="16"/>
                <w:color w:val="auto"/>
              </w:rPr>
              <w:t>continuing operations</w:t>
            </w:r>
          </w:p>
        </w:tc>
        <w:tc>
          <w:tcPr>
            <w:tcW w:w="98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677.1</w:t>
            </w:r>
          </w:p>
        </w:tc>
        <w:tc>
          <w:tcPr>
            <w:tcW w:w="640" w:type="dxa"/>
            <w:vAlign w:val="bottom"/>
            <w:vMerge w:val="restart"/>
            <w:shd w:val="clear" w:color="auto" w:fill="CCEEFF"/>
          </w:tcPr>
          <w:p>
            <w:pPr>
              <w:ind w:left="300"/>
              <w:spacing w:after="0"/>
              <w:rPr>
                <w:sz w:val="20"/>
                <w:szCs w:val="20"/>
                <w:color w:val="auto"/>
              </w:rPr>
            </w:pPr>
            <w:r>
              <w:rPr>
                <w:rFonts w:ascii="Arial" w:cs="Arial" w:eastAsia="Arial" w:hAnsi="Arial"/>
                <w:sz w:val="16"/>
                <w:szCs w:val="16"/>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(29.0)</w:t>
            </w:r>
          </w:p>
        </w:tc>
        <w:tc>
          <w:tcPr>
            <w:tcW w:w="160" w:type="dxa"/>
            <w:vAlign w:val="bottom"/>
            <w:shd w:val="clear" w:color="auto" w:fill="CCEEFF"/>
          </w:tcPr>
          <w:p>
            <w:pPr>
              <w:spacing w:after="0"/>
              <w:rPr>
                <w:sz w:val="14"/>
                <w:szCs w:val="14"/>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92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693.5</w:t>
            </w:r>
          </w:p>
        </w:tc>
        <w:tc>
          <w:tcPr>
            <w:tcW w:w="10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510.6</w:t>
            </w:r>
          </w:p>
        </w:tc>
        <w:tc>
          <w:tcPr>
            <w:tcW w:w="600" w:type="dxa"/>
            <w:vAlign w:val="bottom"/>
            <w:gridSpan w:val="2"/>
            <w:vMerge w:val="restart"/>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(16.8)</w:t>
            </w:r>
          </w:p>
        </w:tc>
        <w:tc>
          <w:tcPr>
            <w:tcW w:w="120" w:type="dxa"/>
            <w:vAlign w:val="bottom"/>
            <w:shd w:val="clear" w:color="auto" w:fill="CCEEFF"/>
          </w:tcPr>
          <w:p>
            <w:pPr>
              <w:spacing w:after="0"/>
              <w:rPr>
                <w:sz w:val="14"/>
                <w:szCs w:val="14"/>
                <w:color w:val="auto"/>
              </w:rPr>
            </w:pPr>
          </w:p>
        </w:tc>
        <w:tc>
          <w:tcPr>
            <w:tcW w:w="7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color w:val="auto"/>
              </w:rPr>
              <w:t>(0.8)</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ind w:right="141"/>
              <w:spacing w:after="0"/>
              <w:rPr>
                <w:sz w:val="20"/>
                <w:szCs w:val="20"/>
                <w:color w:val="auto"/>
              </w:rPr>
            </w:pPr>
            <w:r>
              <w:rPr>
                <w:rFonts w:ascii="Arial" w:cs="Arial" w:eastAsia="Arial" w:hAnsi="Arial"/>
                <w:sz w:val="16"/>
                <w:szCs w:val="16"/>
                <w:color w:val="auto"/>
              </w:rPr>
              <w:t>(15.1)</w:t>
            </w:r>
          </w:p>
        </w:tc>
        <w:tc>
          <w:tcPr>
            <w:tcW w:w="84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543.2</w:t>
            </w:r>
          </w:p>
        </w:tc>
        <w:tc>
          <w:tcPr>
            <w:tcW w:w="0" w:type="dxa"/>
            <w:vAlign w:val="bottom"/>
          </w:tcPr>
          <w:p>
            <w:pPr>
              <w:spacing w:after="0"/>
              <w:rPr>
                <w:sz w:val="1"/>
                <w:szCs w:val="1"/>
                <w:color w:val="auto"/>
              </w:rPr>
            </w:pPr>
          </w:p>
        </w:tc>
      </w:tr>
      <w:tr>
        <w:trPr>
          <w:trHeight w:val="212"/>
        </w:trPr>
        <w:tc>
          <w:tcPr>
            <w:tcW w:w="172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before income taxes</w:t>
            </w:r>
          </w:p>
        </w:tc>
        <w:tc>
          <w:tcPr>
            <w:tcW w:w="980" w:type="dxa"/>
            <w:vAlign w:val="bottom"/>
            <w:vMerge w:val="continue"/>
            <w:shd w:val="clear" w:color="auto" w:fill="CCEEFF"/>
          </w:tcPr>
          <w:p>
            <w:pPr>
              <w:spacing w:after="0"/>
              <w:rPr>
                <w:sz w:val="18"/>
                <w:szCs w:val="18"/>
                <w:color w:val="auto"/>
              </w:rPr>
            </w:pPr>
          </w:p>
        </w:tc>
        <w:tc>
          <w:tcPr>
            <w:tcW w:w="64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6"/>
        </w:trPr>
        <w:tc>
          <w:tcPr>
            <w:tcW w:w="1720" w:type="dxa"/>
            <w:vAlign w:val="bottom"/>
          </w:tcPr>
          <w:p>
            <w:pPr>
              <w:ind w:left="20"/>
              <w:spacing w:after="0" w:line="166" w:lineRule="exact"/>
              <w:rPr>
                <w:sz w:val="20"/>
                <w:szCs w:val="20"/>
                <w:color w:val="auto"/>
              </w:rPr>
            </w:pPr>
            <w:r>
              <w:rPr>
                <w:rFonts w:ascii="Arial" w:cs="Arial" w:eastAsia="Arial" w:hAnsi="Arial"/>
                <w:sz w:val="16"/>
                <w:szCs w:val="16"/>
                <w:color w:val="auto"/>
              </w:rPr>
              <w:t>Income tax expense</w:t>
            </w:r>
          </w:p>
        </w:tc>
        <w:tc>
          <w:tcPr>
            <w:tcW w:w="9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720" w:type="dxa"/>
            <w:vAlign w:val="bottom"/>
          </w:tcPr>
          <w:p>
            <w:pPr>
              <w:ind w:left="20"/>
              <w:spacing w:after="0" w:line="162" w:lineRule="exact"/>
              <w:rPr>
                <w:sz w:val="20"/>
                <w:szCs w:val="20"/>
                <w:color w:val="auto"/>
              </w:rPr>
            </w:pPr>
            <w:r>
              <w:rPr>
                <w:rFonts w:ascii="Arial" w:cs="Arial" w:eastAsia="Arial" w:hAnsi="Arial"/>
                <w:sz w:val="16"/>
                <w:szCs w:val="16"/>
                <w:color w:val="auto"/>
              </w:rPr>
              <w:t>from continuing</w:t>
            </w:r>
          </w:p>
        </w:tc>
        <w:tc>
          <w:tcPr>
            <w:tcW w:w="980" w:type="dxa"/>
            <w:vAlign w:val="bottom"/>
            <w:vMerge w:val="restart"/>
          </w:tcPr>
          <w:p>
            <w:pPr>
              <w:jc w:val="right"/>
              <w:ind w:right="121"/>
              <w:spacing w:after="0"/>
              <w:rPr>
                <w:sz w:val="20"/>
                <w:szCs w:val="20"/>
                <w:color w:val="auto"/>
              </w:rPr>
            </w:pPr>
            <w:r>
              <w:rPr>
                <w:rFonts w:ascii="Arial" w:cs="Arial" w:eastAsia="Arial" w:hAnsi="Arial"/>
                <w:sz w:val="16"/>
                <w:szCs w:val="16"/>
                <w:color w:val="auto"/>
              </w:rPr>
              <w:t>159.8</w:t>
            </w:r>
          </w:p>
        </w:tc>
        <w:tc>
          <w:tcPr>
            <w:tcW w:w="640" w:type="dxa"/>
            <w:vAlign w:val="bottom"/>
            <w:vMerge w:val="restart"/>
          </w:tcPr>
          <w:p>
            <w:pPr>
              <w:ind w:left="300"/>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(8.1)</w:t>
            </w:r>
          </w:p>
        </w:tc>
        <w:tc>
          <w:tcPr>
            <w:tcW w:w="160" w:type="dxa"/>
            <w:vAlign w:val="bottom"/>
          </w:tcPr>
          <w:p>
            <w:pPr>
              <w:spacing w:after="0"/>
              <w:rPr>
                <w:sz w:val="14"/>
                <w:szCs w:val="14"/>
                <w:color w:val="auto"/>
              </w:rPr>
            </w:pPr>
          </w:p>
        </w:tc>
        <w:tc>
          <w:tcPr>
            <w:tcW w:w="560" w:type="dxa"/>
            <w:vAlign w:val="bottom"/>
            <w:vMerge w:val="restart"/>
          </w:tcPr>
          <w:p>
            <w:pPr>
              <w:jc w:val="right"/>
              <w:spacing w:after="0"/>
              <w:rPr>
                <w:sz w:val="20"/>
                <w:szCs w:val="20"/>
                <w:color w:val="auto"/>
              </w:rPr>
            </w:pPr>
            <w:r>
              <w:rPr>
                <w:rFonts w:ascii="Arial" w:cs="Arial" w:eastAsia="Arial" w:hAnsi="Arial"/>
                <w:sz w:val="16"/>
                <w:szCs w:val="16"/>
                <w:color w:val="auto"/>
              </w:rPr>
              <w:t>3.0</w:t>
            </w:r>
          </w:p>
        </w:tc>
        <w:tc>
          <w:tcPr>
            <w:tcW w:w="920" w:type="dxa"/>
            <w:vAlign w:val="bottom"/>
            <w:vMerge w:val="restart"/>
          </w:tcPr>
          <w:p>
            <w:pPr>
              <w:jc w:val="right"/>
              <w:ind w:right="121"/>
              <w:spacing w:after="0"/>
              <w:rPr>
                <w:sz w:val="20"/>
                <w:szCs w:val="20"/>
                <w:color w:val="auto"/>
              </w:rPr>
            </w:pPr>
            <w:r>
              <w:rPr>
                <w:rFonts w:ascii="Arial" w:cs="Arial" w:eastAsia="Arial" w:hAnsi="Arial"/>
                <w:sz w:val="16"/>
                <w:szCs w:val="16"/>
                <w:color w:val="auto"/>
              </w:rPr>
              <w:t>164.9</w:t>
            </w:r>
          </w:p>
        </w:tc>
        <w:tc>
          <w:tcPr>
            <w:tcW w:w="100" w:type="dxa"/>
            <w:vAlign w:val="bottom"/>
          </w:tcPr>
          <w:p>
            <w:pPr>
              <w:spacing w:after="0"/>
              <w:rPr>
                <w:sz w:val="14"/>
                <w:szCs w:val="14"/>
                <w:color w:val="auto"/>
              </w:rPr>
            </w:pPr>
          </w:p>
        </w:tc>
        <w:tc>
          <w:tcPr>
            <w:tcW w:w="960" w:type="dxa"/>
            <w:vAlign w:val="bottom"/>
            <w:vMerge w:val="restart"/>
          </w:tcPr>
          <w:p>
            <w:pPr>
              <w:jc w:val="right"/>
              <w:ind w:right="121"/>
              <w:spacing w:after="0"/>
              <w:rPr>
                <w:sz w:val="20"/>
                <w:szCs w:val="20"/>
                <w:color w:val="auto"/>
              </w:rPr>
            </w:pPr>
            <w:r>
              <w:rPr>
                <w:rFonts w:ascii="Arial" w:cs="Arial" w:eastAsia="Arial" w:hAnsi="Arial"/>
                <w:sz w:val="16"/>
                <w:szCs w:val="16"/>
                <w:color w:val="auto"/>
              </w:rPr>
              <w:t>123.7</w:t>
            </w:r>
          </w:p>
        </w:tc>
        <w:tc>
          <w:tcPr>
            <w:tcW w:w="600" w:type="dxa"/>
            <w:vAlign w:val="bottom"/>
            <w:gridSpan w:val="2"/>
            <w:vMerge w:val="restart"/>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14"/>
                <w:szCs w:val="14"/>
                <w:color w:val="auto"/>
              </w:rPr>
            </w:pPr>
          </w:p>
        </w:tc>
        <w:tc>
          <w:tcPr>
            <w:tcW w:w="740" w:type="dxa"/>
            <w:vAlign w:val="bottom"/>
            <w:gridSpan w:val="2"/>
            <w:vMerge w:val="restart"/>
          </w:tcPr>
          <w:p>
            <w:pPr>
              <w:jc w:val="right"/>
              <w:ind w:right="20"/>
              <w:spacing w:after="0"/>
              <w:rPr>
                <w:sz w:val="20"/>
                <w:szCs w:val="20"/>
                <w:color w:val="auto"/>
              </w:rPr>
            </w:pPr>
            <w:r>
              <w:rPr>
                <w:rFonts w:ascii="Arial" w:cs="Arial" w:eastAsia="Arial" w:hAnsi="Arial"/>
                <w:sz w:val="16"/>
                <w:szCs w:val="16"/>
                <w:color w:val="auto"/>
              </w:rPr>
              <w:t>(0.2)</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vMerge w:val="restart"/>
          </w:tcPr>
          <w:p>
            <w:pPr>
              <w:jc w:val="right"/>
              <w:ind w:right="141"/>
              <w:spacing w:after="0"/>
              <w:rPr>
                <w:sz w:val="20"/>
                <w:szCs w:val="20"/>
                <w:color w:val="auto"/>
              </w:rPr>
            </w:pPr>
            <w:r>
              <w:rPr>
                <w:rFonts w:ascii="Arial" w:cs="Arial" w:eastAsia="Arial" w:hAnsi="Arial"/>
                <w:sz w:val="16"/>
                <w:szCs w:val="16"/>
                <w:color w:val="auto"/>
              </w:rPr>
              <w:t>(4.4)</w:t>
            </w:r>
          </w:p>
        </w:tc>
        <w:tc>
          <w:tcPr>
            <w:tcW w:w="840" w:type="dxa"/>
            <w:vAlign w:val="bottom"/>
            <w:vMerge w:val="restart"/>
          </w:tcPr>
          <w:p>
            <w:pPr>
              <w:jc w:val="right"/>
              <w:ind w:right="120"/>
              <w:spacing w:after="0"/>
              <w:rPr>
                <w:sz w:val="20"/>
                <w:szCs w:val="20"/>
                <w:color w:val="auto"/>
              </w:rPr>
            </w:pPr>
            <w:r>
              <w:rPr>
                <w:rFonts w:ascii="Arial" w:cs="Arial" w:eastAsia="Arial" w:hAnsi="Arial"/>
                <w:sz w:val="16"/>
                <w:szCs w:val="16"/>
                <w:color w:val="auto"/>
              </w:rPr>
              <w:t>130.3</w:t>
            </w:r>
          </w:p>
        </w:tc>
        <w:tc>
          <w:tcPr>
            <w:tcW w:w="0" w:type="dxa"/>
            <w:vAlign w:val="bottom"/>
          </w:tcPr>
          <w:p>
            <w:pPr>
              <w:spacing w:after="0"/>
              <w:rPr>
                <w:sz w:val="1"/>
                <w:szCs w:val="1"/>
                <w:color w:val="auto"/>
              </w:rPr>
            </w:pPr>
          </w:p>
        </w:tc>
      </w:tr>
      <w:tr>
        <w:trPr>
          <w:trHeight w:val="209"/>
        </w:trPr>
        <w:tc>
          <w:tcPr>
            <w:tcW w:w="1720" w:type="dxa"/>
            <w:vAlign w:val="bottom"/>
          </w:tcPr>
          <w:p>
            <w:pPr>
              <w:ind w:left="20"/>
              <w:spacing w:after="0"/>
              <w:rPr>
                <w:sz w:val="20"/>
                <w:szCs w:val="20"/>
                <w:color w:val="auto"/>
              </w:rPr>
            </w:pPr>
            <w:r>
              <w:rPr>
                <w:rFonts w:ascii="Arial" w:cs="Arial" w:eastAsia="Arial" w:hAnsi="Arial"/>
                <w:sz w:val="16"/>
                <w:szCs w:val="16"/>
                <w:color w:val="auto"/>
              </w:rPr>
              <w:t>operations</w:t>
            </w:r>
          </w:p>
        </w:tc>
        <w:tc>
          <w:tcPr>
            <w:tcW w:w="98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8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9"/>
        </w:trPr>
        <w:tc>
          <w:tcPr>
            <w:tcW w:w="1720" w:type="dxa"/>
            <w:vAlign w:val="bottom"/>
            <w:shd w:val="clear" w:color="auto" w:fill="CCEEFF"/>
          </w:tcPr>
          <w:p>
            <w:pPr>
              <w:ind w:left="20"/>
              <w:spacing w:after="0" w:line="169" w:lineRule="exact"/>
              <w:rPr>
                <w:sz w:val="20"/>
                <w:szCs w:val="20"/>
                <w:color w:val="auto"/>
              </w:rPr>
            </w:pPr>
            <w:r>
              <w:rPr>
                <w:rFonts w:ascii="Arial" w:cs="Arial" w:eastAsia="Arial" w:hAnsi="Arial"/>
                <w:sz w:val="16"/>
                <w:szCs w:val="16"/>
                <w:color w:val="auto"/>
              </w:rPr>
              <w:t>Income from</w:t>
            </w:r>
          </w:p>
        </w:tc>
        <w:tc>
          <w:tcPr>
            <w:tcW w:w="98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517.3</w:t>
            </w:r>
          </w:p>
        </w:tc>
        <w:tc>
          <w:tcPr>
            <w:tcW w:w="640" w:type="dxa"/>
            <w:vAlign w:val="bottom"/>
            <w:vMerge w:val="restart"/>
            <w:shd w:val="clear" w:color="auto" w:fill="CCEEFF"/>
          </w:tcPr>
          <w:p>
            <w:pPr>
              <w:ind w:left="300"/>
              <w:spacing w:after="0"/>
              <w:rPr>
                <w:sz w:val="20"/>
                <w:szCs w:val="20"/>
                <w:color w:val="auto"/>
              </w:rPr>
            </w:pPr>
            <w:r>
              <w:rPr>
                <w:rFonts w:ascii="Arial" w:cs="Arial" w:eastAsia="Arial" w:hAnsi="Arial"/>
                <w:sz w:val="16"/>
                <w:szCs w:val="16"/>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(20.9)</w:t>
            </w:r>
          </w:p>
        </w:tc>
        <w:tc>
          <w:tcPr>
            <w:tcW w:w="160" w:type="dxa"/>
            <w:vAlign w:val="bottom"/>
            <w:shd w:val="clear" w:color="auto" w:fill="CCEEFF"/>
          </w:tcPr>
          <w:p>
            <w:pPr>
              <w:spacing w:after="0"/>
              <w:rPr>
                <w:sz w:val="14"/>
                <w:szCs w:val="14"/>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9.6</w:t>
            </w:r>
          </w:p>
        </w:tc>
        <w:tc>
          <w:tcPr>
            <w:tcW w:w="92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528.6</w:t>
            </w:r>
          </w:p>
        </w:tc>
        <w:tc>
          <w:tcPr>
            <w:tcW w:w="10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color w:val="auto"/>
              </w:rPr>
              <w:t>386.9</w:t>
            </w:r>
          </w:p>
        </w:tc>
        <w:tc>
          <w:tcPr>
            <w:tcW w:w="600" w:type="dxa"/>
            <w:vAlign w:val="bottom"/>
            <w:gridSpan w:val="2"/>
            <w:vMerge w:val="restart"/>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(14.7)</w:t>
            </w:r>
          </w:p>
        </w:tc>
        <w:tc>
          <w:tcPr>
            <w:tcW w:w="120" w:type="dxa"/>
            <w:vAlign w:val="bottom"/>
            <w:shd w:val="clear" w:color="auto" w:fill="CCEEFF"/>
          </w:tcPr>
          <w:p>
            <w:pPr>
              <w:spacing w:after="0"/>
              <w:rPr>
                <w:sz w:val="14"/>
                <w:szCs w:val="14"/>
                <w:color w:val="auto"/>
              </w:rPr>
            </w:pPr>
          </w:p>
        </w:tc>
        <w:tc>
          <w:tcPr>
            <w:tcW w:w="7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color w:val="auto"/>
              </w:rPr>
              <w:t>(0.6)</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ind w:right="141"/>
              <w:spacing w:after="0"/>
              <w:rPr>
                <w:sz w:val="20"/>
                <w:szCs w:val="20"/>
                <w:color w:val="auto"/>
              </w:rPr>
            </w:pPr>
            <w:r>
              <w:rPr>
                <w:rFonts w:ascii="Arial" w:cs="Arial" w:eastAsia="Arial" w:hAnsi="Arial"/>
                <w:sz w:val="16"/>
                <w:szCs w:val="16"/>
                <w:color w:val="auto"/>
              </w:rPr>
              <w:t>(10.7)</w:t>
            </w:r>
          </w:p>
        </w:tc>
        <w:tc>
          <w:tcPr>
            <w:tcW w:w="84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color w:val="auto"/>
              </w:rPr>
              <w:t>412.9</w:t>
            </w:r>
          </w:p>
        </w:tc>
        <w:tc>
          <w:tcPr>
            <w:tcW w:w="0" w:type="dxa"/>
            <w:vAlign w:val="bottom"/>
          </w:tcPr>
          <w:p>
            <w:pPr>
              <w:spacing w:after="0"/>
              <w:rPr>
                <w:sz w:val="1"/>
                <w:szCs w:val="1"/>
                <w:color w:val="auto"/>
              </w:rPr>
            </w:pPr>
          </w:p>
        </w:tc>
      </w:tr>
      <w:tr>
        <w:trPr>
          <w:trHeight w:val="212"/>
        </w:trPr>
        <w:tc>
          <w:tcPr>
            <w:tcW w:w="17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continuing operations</w:t>
            </w:r>
          </w:p>
        </w:tc>
        <w:tc>
          <w:tcPr>
            <w:tcW w:w="980" w:type="dxa"/>
            <w:vAlign w:val="bottom"/>
            <w:vMerge w:val="continue"/>
            <w:shd w:val="clear" w:color="auto" w:fill="CCEEFF"/>
          </w:tcPr>
          <w:p>
            <w:pPr>
              <w:spacing w:after="0"/>
              <w:rPr>
                <w:sz w:val="18"/>
                <w:szCs w:val="18"/>
                <w:color w:val="auto"/>
              </w:rPr>
            </w:pPr>
          </w:p>
        </w:tc>
        <w:tc>
          <w:tcPr>
            <w:tcW w:w="64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1720" w:type="dxa"/>
            <w:vAlign w:val="bottom"/>
          </w:tcPr>
          <w:p>
            <w:pPr>
              <w:ind w:left="20"/>
              <w:spacing w:after="0" w:line="162" w:lineRule="exact"/>
              <w:rPr>
                <w:sz w:val="20"/>
                <w:szCs w:val="20"/>
                <w:color w:val="auto"/>
              </w:rPr>
            </w:pPr>
            <w:r>
              <w:rPr>
                <w:rFonts w:ascii="Arial" w:cs="Arial" w:eastAsia="Arial" w:hAnsi="Arial"/>
                <w:sz w:val="16"/>
                <w:szCs w:val="16"/>
                <w:b w:val="1"/>
                <w:bCs w:val="1"/>
                <w:color w:val="auto"/>
              </w:rPr>
              <w:t>Net income</w:t>
            </w:r>
          </w:p>
        </w:tc>
        <w:tc>
          <w:tcPr>
            <w:tcW w:w="9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720" w:type="dxa"/>
            <w:vAlign w:val="bottom"/>
          </w:tcPr>
          <w:p>
            <w:pPr>
              <w:ind w:left="20"/>
              <w:spacing w:after="0" w:line="162" w:lineRule="exact"/>
              <w:rPr>
                <w:sz w:val="20"/>
                <w:szCs w:val="20"/>
                <w:color w:val="auto"/>
              </w:rPr>
            </w:pPr>
            <w:r>
              <w:rPr>
                <w:rFonts w:ascii="Arial" w:cs="Arial" w:eastAsia="Arial" w:hAnsi="Arial"/>
                <w:sz w:val="16"/>
                <w:szCs w:val="16"/>
                <w:b w:val="1"/>
                <w:bCs w:val="1"/>
                <w:color w:val="auto"/>
              </w:rPr>
              <w:t>attributable to</w:t>
            </w:r>
          </w:p>
        </w:tc>
        <w:tc>
          <w:tcPr>
            <w:tcW w:w="980" w:type="dxa"/>
            <w:vAlign w:val="bottom"/>
            <w:vMerge w:val="restart"/>
          </w:tcPr>
          <w:p>
            <w:pPr>
              <w:jc w:val="right"/>
              <w:ind w:right="121"/>
              <w:spacing w:after="0"/>
              <w:rPr>
                <w:sz w:val="20"/>
                <w:szCs w:val="20"/>
                <w:color w:val="auto"/>
              </w:rPr>
            </w:pPr>
            <w:r>
              <w:rPr>
                <w:rFonts w:ascii="Arial" w:cs="Arial" w:eastAsia="Arial" w:hAnsi="Arial"/>
                <w:sz w:val="16"/>
                <w:szCs w:val="16"/>
                <w:b w:val="1"/>
                <w:bCs w:val="1"/>
                <w:color w:val="auto"/>
              </w:rPr>
              <w:t>512.5</w:t>
            </w:r>
          </w:p>
        </w:tc>
        <w:tc>
          <w:tcPr>
            <w:tcW w:w="640" w:type="dxa"/>
            <w:vAlign w:val="bottom"/>
            <w:vMerge w:val="restart"/>
          </w:tcPr>
          <w:p>
            <w:pPr>
              <w:ind w:left="200"/>
              <w:spacing w:after="0"/>
              <w:rPr>
                <w:sz w:val="20"/>
                <w:szCs w:val="20"/>
                <w:color w:val="auto"/>
              </w:rPr>
            </w:pPr>
            <w:r>
              <w:rPr>
                <w:rFonts w:ascii="Arial" w:cs="Arial" w:eastAsia="Arial" w:hAnsi="Arial"/>
                <w:sz w:val="16"/>
                <w:szCs w:val="16"/>
                <w:b w:val="1"/>
                <w:bCs w:val="1"/>
                <w:color w:val="auto"/>
              </w:rPr>
              <w:t>(3.9)</w:t>
            </w:r>
          </w:p>
        </w:tc>
        <w:tc>
          <w:tcPr>
            <w:tcW w:w="9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(20.9)</w:t>
            </w:r>
          </w:p>
        </w:tc>
        <w:tc>
          <w:tcPr>
            <w:tcW w:w="160" w:type="dxa"/>
            <w:vAlign w:val="bottom"/>
          </w:tcPr>
          <w:p>
            <w:pPr>
              <w:spacing w:after="0"/>
              <w:rPr>
                <w:sz w:val="14"/>
                <w:szCs w:val="14"/>
                <w:color w:val="auto"/>
              </w:rPr>
            </w:pPr>
          </w:p>
        </w:tc>
        <w:tc>
          <w:tcPr>
            <w:tcW w:w="56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9.6</w:t>
            </w:r>
          </w:p>
        </w:tc>
        <w:tc>
          <w:tcPr>
            <w:tcW w:w="920" w:type="dxa"/>
            <w:vAlign w:val="bottom"/>
            <w:vMerge w:val="restart"/>
          </w:tcPr>
          <w:p>
            <w:pPr>
              <w:jc w:val="right"/>
              <w:ind w:right="121"/>
              <w:spacing w:after="0"/>
              <w:rPr>
                <w:sz w:val="20"/>
                <w:szCs w:val="20"/>
                <w:color w:val="auto"/>
              </w:rPr>
            </w:pPr>
            <w:r>
              <w:rPr>
                <w:rFonts w:ascii="Arial" w:cs="Arial" w:eastAsia="Arial" w:hAnsi="Arial"/>
                <w:sz w:val="16"/>
                <w:szCs w:val="16"/>
                <w:b w:val="1"/>
                <w:bCs w:val="1"/>
                <w:color w:val="auto"/>
              </w:rPr>
              <w:t>527.7</w:t>
            </w:r>
          </w:p>
        </w:tc>
        <w:tc>
          <w:tcPr>
            <w:tcW w:w="100" w:type="dxa"/>
            <w:vAlign w:val="bottom"/>
          </w:tcPr>
          <w:p>
            <w:pPr>
              <w:spacing w:after="0"/>
              <w:rPr>
                <w:sz w:val="14"/>
                <w:szCs w:val="14"/>
                <w:color w:val="auto"/>
              </w:rPr>
            </w:pPr>
          </w:p>
        </w:tc>
        <w:tc>
          <w:tcPr>
            <w:tcW w:w="960" w:type="dxa"/>
            <w:vAlign w:val="bottom"/>
            <w:vMerge w:val="restart"/>
          </w:tcPr>
          <w:p>
            <w:pPr>
              <w:jc w:val="right"/>
              <w:ind w:right="121"/>
              <w:spacing w:after="0"/>
              <w:rPr>
                <w:sz w:val="20"/>
                <w:szCs w:val="20"/>
                <w:color w:val="auto"/>
              </w:rPr>
            </w:pPr>
            <w:r>
              <w:rPr>
                <w:rFonts w:ascii="Arial" w:cs="Arial" w:eastAsia="Arial" w:hAnsi="Arial"/>
                <w:sz w:val="16"/>
                <w:szCs w:val="16"/>
                <w:b w:val="1"/>
                <w:bCs w:val="1"/>
                <w:color w:val="auto"/>
              </w:rPr>
              <w:t>387.4</w:t>
            </w:r>
          </w:p>
        </w:tc>
        <w:tc>
          <w:tcPr>
            <w:tcW w:w="600" w:type="dxa"/>
            <w:vAlign w:val="bottom"/>
            <w:gridSpan w:val="2"/>
            <w:vMerge w:val="restart"/>
          </w:tcPr>
          <w:p>
            <w:pPr>
              <w:jc w:val="right"/>
              <w:ind w:right="79"/>
              <w:spacing w:after="0"/>
              <w:rPr>
                <w:sz w:val="20"/>
                <w:szCs w:val="20"/>
                <w:color w:val="auto"/>
              </w:rPr>
            </w:pPr>
            <w:r>
              <w:rPr>
                <w:rFonts w:ascii="Arial" w:cs="Arial" w:eastAsia="Arial" w:hAnsi="Arial"/>
                <w:sz w:val="16"/>
                <w:szCs w:val="16"/>
                <w:b w:val="1"/>
                <w:bCs w:val="1"/>
                <w:color w:val="auto"/>
              </w:rPr>
              <w:t>1.7</w:t>
            </w:r>
          </w:p>
        </w:tc>
        <w:tc>
          <w:tcPr>
            <w:tcW w:w="9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(14.7)</w:t>
            </w:r>
          </w:p>
        </w:tc>
        <w:tc>
          <w:tcPr>
            <w:tcW w:w="120" w:type="dxa"/>
            <w:vAlign w:val="bottom"/>
          </w:tcPr>
          <w:p>
            <w:pPr>
              <w:spacing w:after="0"/>
              <w:rPr>
                <w:sz w:val="14"/>
                <w:szCs w:val="14"/>
                <w:color w:val="auto"/>
              </w:rPr>
            </w:pPr>
          </w:p>
        </w:tc>
        <w:tc>
          <w:tcPr>
            <w:tcW w:w="740" w:type="dxa"/>
            <w:vAlign w:val="bottom"/>
            <w:gridSpan w:val="2"/>
            <w:vMerge w:val="restart"/>
          </w:tcPr>
          <w:p>
            <w:pPr>
              <w:jc w:val="right"/>
              <w:ind w:right="20"/>
              <w:spacing w:after="0"/>
              <w:rPr>
                <w:sz w:val="20"/>
                <w:szCs w:val="20"/>
                <w:color w:val="auto"/>
              </w:rPr>
            </w:pPr>
            <w:r>
              <w:rPr>
                <w:rFonts w:ascii="Arial" w:cs="Arial" w:eastAsia="Arial" w:hAnsi="Arial"/>
                <w:sz w:val="16"/>
                <w:szCs w:val="16"/>
                <w:b w:val="1"/>
                <w:bCs w:val="1"/>
                <w:color w:val="auto"/>
              </w:rPr>
              <w:t>(0.6)</w:t>
            </w: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40" w:type="dxa"/>
            <w:vAlign w:val="bottom"/>
            <w:vMerge w:val="restart"/>
          </w:tcPr>
          <w:p>
            <w:pPr>
              <w:jc w:val="right"/>
              <w:ind w:right="141"/>
              <w:spacing w:after="0"/>
              <w:rPr>
                <w:sz w:val="20"/>
                <w:szCs w:val="20"/>
                <w:color w:val="auto"/>
              </w:rPr>
            </w:pPr>
            <w:r>
              <w:rPr>
                <w:rFonts w:ascii="Arial" w:cs="Arial" w:eastAsia="Arial" w:hAnsi="Arial"/>
                <w:sz w:val="16"/>
                <w:szCs w:val="16"/>
                <w:b w:val="1"/>
                <w:bCs w:val="1"/>
                <w:color w:val="auto"/>
              </w:rPr>
              <w:t>(10.7)</w:t>
            </w:r>
          </w:p>
        </w:tc>
        <w:tc>
          <w:tcPr>
            <w:tcW w:w="840" w:type="dxa"/>
            <w:vAlign w:val="bottom"/>
            <w:vMerge w:val="restart"/>
          </w:tcPr>
          <w:p>
            <w:pPr>
              <w:jc w:val="right"/>
              <w:ind w:right="120"/>
              <w:spacing w:after="0"/>
              <w:rPr>
                <w:sz w:val="20"/>
                <w:szCs w:val="20"/>
                <w:color w:val="auto"/>
              </w:rPr>
            </w:pPr>
            <w:r>
              <w:rPr>
                <w:rFonts w:ascii="Arial" w:cs="Arial" w:eastAsia="Arial" w:hAnsi="Arial"/>
                <w:sz w:val="16"/>
                <w:szCs w:val="16"/>
                <w:b w:val="1"/>
                <w:bCs w:val="1"/>
                <w:color w:val="auto"/>
              </w:rPr>
              <w:t>411.7</w:t>
            </w:r>
          </w:p>
        </w:tc>
        <w:tc>
          <w:tcPr>
            <w:tcW w:w="0" w:type="dxa"/>
            <w:vAlign w:val="bottom"/>
          </w:tcPr>
          <w:p>
            <w:pPr>
              <w:spacing w:after="0"/>
              <w:rPr>
                <w:sz w:val="1"/>
                <w:szCs w:val="1"/>
                <w:color w:val="auto"/>
              </w:rPr>
            </w:pPr>
          </w:p>
        </w:tc>
      </w:tr>
      <w:tr>
        <w:trPr>
          <w:trHeight w:val="213"/>
        </w:trPr>
        <w:tc>
          <w:tcPr>
            <w:tcW w:w="1720" w:type="dxa"/>
            <w:vAlign w:val="bottom"/>
          </w:tcPr>
          <w:p>
            <w:pPr>
              <w:ind w:left="20"/>
              <w:spacing w:after="0"/>
              <w:rPr>
                <w:sz w:val="20"/>
                <w:szCs w:val="20"/>
                <w:color w:val="auto"/>
              </w:rPr>
            </w:pPr>
            <w:r>
              <w:rPr>
                <w:rFonts w:ascii="Arial" w:cs="Arial" w:eastAsia="Arial" w:hAnsi="Arial"/>
                <w:sz w:val="16"/>
                <w:szCs w:val="16"/>
                <w:b w:val="1"/>
                <w:bCs w:val="1"/>
                <w:color w:val="auto"/>
              </w:rPr>
              <w:t>controlling interest</w:t>
            </w:r>
          </w:p>
        </w:tc>
        <w:tc>
          <w:tcPr>
            <w:tcW w:w="980" w:type="dxa"/>
            <w:vAlign w:val="bottom"/>
            <w:vMerge w:val="continue"/>
          </w:tcPr>
          <w:p>
            <w:pPr>
              <w:spacing w:after="0"/>
              <w:rPr>
                <w:sz w:val="18"/>
                <w:szCs w:val="18"/>
                <w:color w:val="auto"/>
              </w:rPr>
            </w:pPr>
          </w:p>
        </w:tc>
        <w:tc>
          <w:tcPr>
            <w:tcW w:w="640" w:type="dxa"/>
            <w:vAlign w:val="bottom"/>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vMerge w:val="continue"/>
          </w:tcPr>
          <w:p>
            <w:pPr>
              <w:spacing w:after="0"/>
              <w:rPr>
                <w:sz w:val="18"/>
                <w:szCs w:val="18"/>
                <w:color w:val="auto"/>
              </w:rPr>
            </w:pPr>
          </w:p>
        </w:tc>
        <w:tc>
          <w:tcPr>
            <w:tcW w:w="9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vMerge w:val="continue"/>
          </w:tcPr>
          <w:p>
            <w:pPr>
              <w:spacing w:after="0"/>
              <w:rPr>
                <w:sz w:val="18"/>
                <w:szCs w:val="18"/>
                <w:color w:val="auto"/>
              </w:rPr>
            </w:pPr>
          </w:p>
        </w:tc>
        <w:tc>
          <w:tcPr>
            <w:tcW w:w="600" w:type="dxa"/>
            <w:vAlign w:val="bottom"/>
            <w:gridSpan w:val="2"/>
            <w:vMerge w:val="continue"/>
          </w:tcPr>
          <w:p>
            <w:pPr>
              <w:spacing w:after="0"/>
              <w:rPr>
                <w:sz w:val="18"/>
                <w:szCs w:val="18"/>
                <w:color w:val="auto"/>
              </w:rPr>
            </w:pPr>
          </w:p>
        </w:tc>
        <w:tc>
          <w:tcPr>
            <w:tcW w:w="90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vMerge w:val="continue"/>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8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1720" w:type="dxa"/>
            <w:vAlign w:val="bottom"/>
            <w:shd w:val="clear" w:color="auto" w:fill="CCEEFF"/>
          </w:tcPr>
          <w:p>
            <w:pPr>
              <w:ind w:left="20"/>
              <w:spacing w:after="0" w:line="165" w:lineRule="exact"/>
              <w:rPr>
                <w:sz w:val="20"/>
                <w:szCs w:val="20"/>
                <w:color w:val="auto"/>
              </w:rPr>
            </w:pPr>
            <w:r>
              <w:rPr>
                <w:rFonts w:ascii="Arial" w:cs="Arial" w:eastAsia="Arial" w:hAnsi="Arial"/>
                <w:sz w:val="16"/>
                <w:szCs w:val="16"/>
                <w:b w:val="1"/>
                <w:bCs w:val="1"/>
                <w:color w:val="auto"/>
              </w:rPr>
              <w:t>Diluted income per</w:t>
            </w:r>
          </w:p>
        </w:tc>
        <w:tc>
          <w:tcPr>
            <w:tcW w:w="980" w:type="dxa"/>
            <w:vAlign w:val="bottom"/>
            <w:shd w:val="clear" w:color="auto" w:fill="CCEEFF"/>
          </w:tcPr>
          <w:p>
            <w:pPr>
              <w:spacing w:after="0"/>
              <w:rPr>
                <w:sz w:val="14"/>
                <w:szCs w:val="14"/>
                <w:color w:val="auto"/>
              </w:rPr>
            </w:pPr>
          </w:p>
        </w:tc>
        <w:tc>
          <w:tcPr>
            <w:tcW w:w="6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5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720" w:type="dxa"/>
            <w:vAlign w:val="bottom"/>
            <w:shd w:val="clear" w:color="auto" w:fill="CCEEFF"/>
          </w:tcPr>
          <w:p>
            <w:pPr>
              <w:ind w:left="20"/>
              <w:spacing w:after="0" w:line="162" w:lineRule="exact"/>
              <w:rPr>
                <w:sz w:val="20"/>
                <w:szCs w:val="20"/>
                <w:color w:val="auto"/>
              </w:rPr>
            </w:pPr>
            <w:r>
              <w:rPr>
                <w:rFonts w:ascii="Arial" w:cs="Arial" w:eastAsia="Arial" w:hAnsi="Arial"/>
                <w:sz w:val="16"/>
                <w:szCs w:val="16"/>
                <w:b w:val="1"/>
                <w:bCs w:val="1"/>
                <w:color w:val="auto"/>
              </w:rPr>
              <w:t>common share from</w:t>
            </w:r>
          </w:p>
        </w:tc>
        <w:tc>
          <w:tcPr>
            <w:tcW w:w="98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9.03</w:t>
            </w:r>
          </w:p>
        </w:tc>
        <w:tc>
          <w:tcPr>
            <w:tcW w:w="640" w:type="dxa"/>
            <w:vAlign w:val="bottom"/>
            <w:vMerge w:val="restart"/>
            <w:shd w:val="clear" w:color="auto" w:fill="CCEEFF"/>
          </w:tcPr>
          <w:p>
            <w:pPr>
              <w:ind w:left="300"/>
              <w:spacing w:after="0"/>
              <w:rPr>
                <w:sz w:val="20"/>
                <w:szCs w:val="20"/>
                <w:color w:val="auto"/>
              </w:rPr>
            </w:pPr>
            <w:r>
              <w:rPr>
                <w:rFonts w:ascii="Arial" w:cs="Arial" w:eastAsia="Arial" w:hAnsi="Arial"/>
                <w:sz w:val="16"/>
                <w:szCs w:val="16"/>
                <w:b w:val="1"/>
                <w:bCs w:val="1"/>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(0.37)</w:t>
            </w:r>
          </w:p>
        </w:tc>
        <w:tc>
          <w:tcPr>
            <w:tcW w:w="160" w:type="dxa"/>
            <w:vAlign w:val="bottom"/>
            <w:shd w:val="clear" w:color="auto" w:fill="CCEEFF"/>
          </w:tcPr>
          <w:p>
            <w:pPr>
              <w:spacing w:after="0"/>
              <w:rPr>
                <w:sz w:val="14"/>
                <w:szCs w:val="14"/>
                <w:color w:val="auto"/>
              </w:rPr>
            </w:pPr>
          </w:p>
        </w:tc>
        <w:tc>
          <w:tcPr>
            <w:tcW w:w="5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0.17</w:t>
            </w:r>
          </w:p>
        </w:tc>
        <w:tc>
          <w:tcPr>
            <w:tcW w:w="92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9.23</w:t>
            </w:r>
          </w:p>
        </w:tc>
        <w:tc>
          <w:tcPr>
            <w:tcW w:w="100" w:type="dxa"/>
            <w:vAlign w:val="bottom"/>
            <w:shd w:val="clear" w:color="auto" w:fill="CCEEFF"/>
          </w:tcPr>
          <w:p>
            <w:pPr>
              <w:spacing w:after="0"/>
              <w:rPr>
                <w:sz w:val="14"/>
                <w:szCs w:val="14"/>
                <w:color w:val="auto"/>
              </w:rPr>
            </w:pPr>
          </w:p>
        </w:tc>
        <w:tc>
          <w:tcPr>
            <w:tcW w:w="960" w:type="dxa"/>
            <w:vAlign w:val="bottom"/>
            <w:vMerge w:val="restart"/>
            <w:shd w:val="clear" w:color="auto" w:fill="CCEEFF"/>
          </w:tcPr>
          <w:p>
            <w:pPr>
              <w:jc w:val="right"/>
              <w:ind w:right="121"/>
              <w:spacing w:after="0"/>
              <w:rPr>
                <w:sz w:val="20"/>
                <w:szCs w:val="20"/>
                <w:color w:val="auto"/>
              </w:rPr>
            </w:pPr>
            <w:r>
              <w:rPr>
                <w:rFonts w:ascii="Arial" w:cs="Arial" w:eastAsia="Arial" w:hAnsi="Arial"/>
                <w:sz w:val="16"/>
                <w:szCs w:val="16"/>
                <w:b w:val="1"/>
                <w:bCs w:val="1"/>
                <w:color w:val="auto"/>
              </w:rPr>
              <w:t>6.78</w:t>
            </w:r>
          </w:p>
        </w:tc>
        <w:tc>
          <w:tcPr>
            <w:tcW w:w="600" w:type="dxa"/>
            <w:vAlign w:val="bottom"/>
            <w:gridSpan w:val="2"/>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(0.26)</w:t>
            </w:r>
          </w:p>
        </w:tc>
        <w:tc>
          <w:tcPr>
            <w:tcW w:w="120" w:type="dxa"/>
            <w:vAlign w:val="bottom"/>
            <w:shd w:val="clear" w:color="auto" w:fill="CCEEFF"/>
          </w:tcPr>
          <w:p>
            <w:pPr>
              <w:spacing w:after="0"/>
              <w:rPr>
                <w:sz w:val="14"/>
                <w:szCs w:val="14"/>
                <w:color w:val="auto"/>
              </w:rPr>
            </w:pPr>
          </w:p>
        </w:tc>
        <w:tc>
          <w:tcPr>
            <w:tcW w:w="74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b w:val="1"/>
                <w:bCs w:val="1"/>
                <w:color w:val="auto"/>
              </w:rPr>
              <w:t>(0.01)</w:t>
            </w:r>
          </w:p>
        </w:tc>
        <w:tc>
          <w:tcPr>
            <w:tcW w:w="4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ind w:right="141"/>
              <w:spacing w:after="0"/>
              <w:rPr>
                <w:sz w:val="20"/>
                <w:szCs w:val="20"/>
                <w:color w:val="auto"/>
              </w:rPr>
            </w:pPr>
            <w:r>
              <w:rPr>
                <w:rFonts w:ascii="Arial" w:cs="Arial" w:eastAsia="Arial" w:hAnsi="Arial"/>
                <w:sz w:val="16"/>
                <w:szCs w:val="16"/>
                <w:b w:val="1"/>
                <w:bCs w:val="1"/>
                <w:color w:val="auto"/>
              </w:rPr>
              <w:t>(0.19)</w:t>
            </w:r>
          </w:p>
        </w:tc>
        <w:tc>
          <w:tcPr>
            <w:tcW w:w="840" w:type="dxa"/>
            <w:vAlign w:val="bottom"/>
            <w:vMerge w:val="restart"/>
            <w:shd w:val="clear" w:color="auto" w:fill="CCEEFF"/>
          </w:tcPr>
          <w:p>
            <w:pPr>
              <w:jc w:val="right"/>
              <w:ind w:right="120"/>
              <w:spacing w:after="0"/>
              <w:rPr>
                <w:sz w:val="20"/>
                <w:szCs w:val="20"/>
                <w:color w:val="auto"/>
              </w:rPr>
            </w:pPr>
            <w:r>
              <w:rPr>
                <w:rFonts w:ascii="Arial" w:cs="Arial" w:eastAsia="Arial" w:hAnsi="Arial"/>
                <w:sz w:val="16"/>
                <w:szCs w:val="16"/>
                <w:b w:val="1"/>
                <w:bCs w:val="1"/>
                <w:color w:val="auto"/>
              </w:rPr>
              <w:t>7.24</w:t>
            </w:r>
          </w:p>
        </w:tc>
        <w:tc>
          <w:tcPr>
            <w:tcW w:w="0" w:type="dxa"/>
            <w:vAlign w:val="bottom"/>
          </w:tcPr>
          <w:p>
            <w:pPr>
              <w:spacing w:after="0"/>
              <w:rPr>
                <w:sz w:val="1"/>
                <w:szCs w:val="1"/>
                <w:color w:val="auto"/>
              </w:rPr>
            </w:pPr>
          </w:p>
        </w:tc>
      </w:tr>
      <w:tr>
        <w:trPr>
          <w:trHeight w:val="216"/>
        </w:trPr>
        <w:tc>
          <w:tcPr>
            <w:tcW w:w="17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w w:val="99"/>
              </w:rPr>
              <w:t>continuing operations</w:t>
            </w:r>
          </w:p>
        </w:tc>
        <w:tc>
          <w:tcPr>
            <w:tcW w:w="980" w:type="dxa"/>
            <w:vAlign w:val="bottom"/>
            <w:vMerge w:val="continue"/>
            <w:shd w:val="clear" w:color="auto" w:fill="CCEEFF"/>
          </w:tcPr>
          <w:p>
            <w:pPr>
              <w:spacing w:after="0"/>
              <w:rPr>
                <w:sz w:val="18"/>
                <w:szCs w:val="18"/>
                <w:color w:val="auto"/>
              </w:rPr>
            </w:pPr>
          </w:p>
        </w:tc>
        <w:tc>
          <w:tcPr>
            <w:tcW w:w="640" w:type="dxa"/>
            <w:vAlign w:val="bottom"/>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vMerge w:val="continue"/>
            <w:shd w:val="clear" w:color="auto" w:fill="CCEEFF"/>
          </w:tcPr>
          <w:p>
            <w:pPr>
              <w:spacing w:after="0"/>
              <w:rPr>
                <w:sz w:val="18"/>
                <w:szCs w:val="18"/>
                <w:color w:val="auto"/>
              </w:rPr>
            </w:pPr>
          </w:p>
        </w:tc>
        <w:tc>
          <w:tcPr>
            <w:tcW w:w="92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vMerge w:val="continue"/>
            <w:shd w:val="clear" w:color="auto" w:fill="CCEEFF"/>
          </w:tcPr>
          <w:p>
            <w:pPr>
              <w:spacing w:after="0"/>
              <w:rPr>
                <w:sz w:val="18"/>
                <w:szCs w:val="18"/>
                <w:color w:val="auto"/>
              </w:rPr>
            </w:pPr>
          </w:p>
        </w:tc>
        <w:tc>
          <w:tcPr>
            <w:tcW w:w="600" w:type="dxa"/>
            <w:vAlign w:val="bottom"/>
            <w:gridSpan w:val="2"/>
            <w:vMerge w:val="continue"/>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vMerge w:val="continue"/>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84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530"/>
        </w:trPr>
        <w:tc>
          <w:tcPr>
            <w:tcW w:w="270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w w:val="97"/>
              </w:rPr>
              <w:t>Calculation of Adjusted EBITDA (3):</w:t>
            </w:r>
          </w:p>
        </w:tc>
        <w:tc>
          <w:tcPr>
            <w:tcW w:w="6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60" w:type="dxa"/>
            <w:vAlign w:val="bottom"/>
            <w:gridSpan w:val="4"/>
          </w:tcPr>
          <w:p>
            <w:pPr>
              <w:jc w:val="right"/>
              <w:ind w:right="280"/>
              <w:spacing w:after="0"/>
              <w:rPr>
                <w:sz w:val="20"/>
                <w:szCs w:val="20"/>
                <w:color w:val="auto"/>
              </w:rPr>
            </w:pPr>
            <w:r>
              <w:rPr>
                <w:rFonts w:ascii="Arial" w:cs="Arial" w:eastAsia="Arial" w:hAnsi="Arial"/>
                <w:sz w:val="16"/>
                <w:szCs w:val="16"/>
                <w:color w:val="auto"/>
                <w:w w:val="92"/>
              </w:rPr>
              <w:t>Twelve Months Ended</w:t>
            </w: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80" w:type="dxa"/>
            <w:vAlign w:val="bottom"/>
            <w:gridSpan w:val="2"/>
          </w:tcPr>
          <w:p>
            <w:pPr>
              <w:jc w:val="right"/>
              <w:ind w:right="140"/>
              <w:spacing w:after="0"/>
              <w:rPr>
                <w:sz w:val="20"/>
                <w:szCs w:val="20"/>
                <w:color w:val="auto"/>
              </w:rPr>
            </w:pPr>
            <w:r>
              <w:rPr>
                <w:rFonts w:ascii="Arial" w:cs="Arial" w:eastAsia="Arial" w:hAnsi="Arial"/>
                <w:sz w:val="16"/>
                <w:szCs w:val="16"/>
                <w:color w:val="auto"/>
                <w:w w:val="97"/>
              </w:rPr>
              <w:t>Twelve Months Ended</w:t>
            </w:r>
          </w:p>
        </w:tc>
        <w:tc>
          <w:tcPr>
            <w:tcW w:w="0" w:type="dxa"/>
            <w:vAlign w:val="bottom"/>
          </w:tcPr>
          <w:p>
            <w:pPr>
              <w:spacing w:after="0"/>
              <w:rPr>
                <w:sz w:val="1"/>
                <w:szCs w:val="1"/>
                <w:color w:val="auto"/>
              </w:rPr>
            </w:pPr>
          </w:p>
        </w:tc>
      </w:tr>
      <w:tr>
        <w:trPr>
          <w:trHeight w:val="209"/>
        </w:trPr>
        <w:tc>
          <w:tcPr>
            <w:tcW w:w="2700" w:type="dxa"/>
            <w:vAlign w:val="bottom"/>
            <w:tcBorders>
              <w:bottom w:val="single" w:sz="8" w:color="CCEEFF"/>
            </w:tcBorders>
            <w:gridSpan w:val="2"/>
            <w:vMerge w:val="continue"/>
          </w:tcPr>
          <w:p>
            <w:pPr>
              <w:spacing w:after="0"/>
              <w:rPr>
                <w:sz w:val="18"/>
                <w:szCs w:val="18"/>
                <w:color w:val="auto"/>
              </w:rPr>
            </w:pPr>
          </w:p>
        </w:tc>
        <w:tc>
          <w:tcPr>
            <w:tcW w:w="640" w:type="dxa"/>
            <w:vAlign w:val="bottom"/>
            <w:tcBorders>
              <w:bottom w:val="single" w:sz="8" w:color="CCEEFF"/>
            </w:tcBorders>
          </w:tcPr>
          <w:p>
            <w:pPr>
              <w:spacing w:after="0"/>
              <w:rPr>
                <w:sz w:val="18"/>
                <w:szCs w:val="18"/>
                <w:color w:val="auto"/>
              </w:rPr>
            </w:pPr>
          </w:p>
        </w:tc>
        <w:tc>
          <w:tcPr>
            <w:tcW w:w="90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560" w:type="dxa"/>
            <w:vAlign w:val="bottom"/>
            <w:tcBorders>
              <w:bottom w:val="single" w:sz="8" w:color="CCEEFF"/>
            </w:tcBorders>
          </w:tcPr>
          <w:p>
            <w:pPr>
              <w:spacing w:after="0"/>
              <w:rPr>
                <w:sz w:val="18"/>
                <w:szCs w:val="18"/>
                <w:color w:val="auto"/>
              </w:rPr>
            </w:pPr>
          </w:p>
        </w:tc>
        <w:tc>
          <w:tcPr>
            <w:tcW w:w="92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960" w:type="dxa"/>
            <w:vAlign w:val="bottom"/>
            <w:tcBorders>
              <w:bottom w:val="single" w:sz="8" w:color="CCEEFF"/>
            </w:tcBorders>
          </w:tcPr>
          <w:p>
            <w:pPr>
              <w:spacing w:after="0"/>
              <w:rPr>
                <w:sz w:val="18"/>
                <w:szCs w:val="18"/>
                <w:color w:val="auto"/>
              </w:rPr>
            </w:pPr>
          </w:p>
        </w:tc>
        <w:tc>
          <w:tcPr>
            <w:tcW w:w="4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gridSpan w:val="3"/>
          </w:tcPr>
          <w:p>
            <w:pPr>
              <w:jc w:val="right"/>
              <w:ind w:right="220"/>
              <w:spacing w:after="0"/>
              <w:rPr>
                <w:sz w:val="20"/>
                <w:szCs w:val="20"/>
                <w:color w:val="auto"/>
              </w:rPr>
            </w:pPr>
            <w:r>
              <w:rPr>
                <w:rFonts w:ascii="Arial" w:cs="Arial" w:eastAsia="Arial" w:hAnsi="Arial"/>
                <w:sz w:val="16"/>
                <w:szCs w:val="16"/>
                <w:color w:val="auto"/>
                <w:w w:val="95"/>
              </w:rPr>
              <w:t>September 30, 2021</w:t>
            </w:r>
          </w:p>
        </w:tc>
        <w:tc>
          <w:tcPr>
            <w:tcW w:w="60" w:type="dxa"/>
            <w:vAlign w:val="bottom"/>
            <w:tcBorders>
              <w:bottom w:val="single" w:sz="8" w:color="CCEEFF"/>
            </w:tcBorders>
          </w:tcPr>
          <w:p>
            <w:pPr>
              <w:spacing w:after="0"/>
              <w:rPr>
                <w:sz w:val="18"/>
                <w:szCs w:val="18"/>
                <w:color w:val="auto"/>
              </w:rPr>
            </w:pPr>
          </w:p>
        </w:tc>
        <w:tc>
          <w:tcPr>
            <w:tcW w:w="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6"/>
                <w:szCs w:val="16"/>
                <w:color w:val="auto"/>
              </w:rPr>
              <w:t>September 30, 2020</w:t>
            </w:r>
          </w:p>
        </w:tc>
        <w:tc>
          <w:tcPr>
            <w:tcW w:w="0" w:type="dxa"/>
            <w:vAlign w:val="bottom"/>
          </w:tcPr>
          <w:p>
            <w:pPr>
              <w:spacing w:after="0"/>
              <w:rPr>
                <w:sz w:val="1"/>
                <w:szCs w:val="1"/>
                <w:color w:val="auto"/>
              </w:rPr>
            </w:pPr>
          </w:p>
        </w:tc>
      </w:tr>
      <w:tr>
        <w:trPr>
          <w:trHeight w:val="213"/>
        </w:trPr>
        <w:tc>
          <w:tcPr>
            <w:tcW w:w="17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Net income (GAAP)</w:t>
            </w:r>
          </w:p>
        </w:tc>
        <w:tc>
          <w:tcPr>
            <w:tcW w:w="9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513.4</w:t>
            </w:r>
          </w:p>
        </w:tc>
        <w:tc>
          <w:tcPr>
            <w:tcW w:w="6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388.6</w:t>
            </w:r>
          </w:p>
        </w:tc>
        <w:tc>
          <w:tcPr>
            <w:tcW w:w="0" w:type="dxa"/>
            <w:vAlign w:val="bottom"/>
          </w:tcPr>
          <w:p>
            <w:pPr>
              <w:spacing w:after="0"/>
              <w:rPr>
                <w:sz w:val="1"/>
                <w:szCs w:val="1"/>
                <w:color w:val="auto"/>
              </w:rPr>
            </w:pPr>
          </w:p>
        </w:tc>
      </w:tr>
      <w:tr>
        <w:trPr>
          <w:trHeight w:val="213"/>
        </w:trPr>
        <w:tc>
          <w:tcPr>
            <w:tcW w:w="3340" w:type="dxa"/>
            <w:vAlign w:val="bottom"/>
            <w:gridSpan w:val="3"/>
          </w:tcPr>
          <w:p>
            <w:pPr>
              <w:ind w:left="140"/>
              <w:spacing w:after="0"/>
              <w:rPr>
                <w:sz w:val="20"/>
                <w:szCs w:val="20"/>
                <w:color w:val="auto"/>
              </w:rPr>
            </w:pPr>
            <w:r>
              <w:rPr>
                <w:rFonts w:ascii="Arial" w:cs="Arial" w:eastAsia="Arial" w:hAnsi="Arial"/>
                <w:sz w:val="16"/>
                <w:szCs w:val="16"/>
                <w:color w:val="auto"/>
                <w:w w:val="94"/>
              </w:rPr>
              <w:t>Income tax expense from continuing operations</w:t>
            </w: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159.8</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123.7</w:t>
            </w:r>
          </w:p>
        </w:tc>
        <w:tc>
          <w:tcPr>
            <w:tcW w:w="0" w:type="dxa"/>
            <w:vAlign w:val="bottom"/>
          </w:tcPr>
          <w:p>
            <w:pPr>
              <w:spacing w:after="0"/>
              <w:rPr>
                <w:sz w:val="1"/>
                <w:szCs w:val="1"/>
                <w:color w:val="auto"/>
              </w:rPr>
            </w:pPr>
          </w:p>
        </w:tc>
      </w:tr>
      <w:tr>
        <w:trPr>
          <w:trHeight w:val="219"/>
        </w:trPr>
        <w:tc>
          <w:tcPr>
            <w:tcW w:w="4240" w:type="dxa"/>
            <w:vAlign w:val="bottom"/>
            <w:gridSpan w:val="4"/>
            <w:shd w:val="clear" w:color="auto" w:fill="CCEEFF"/>
          </w:tcPr>
          <w:p>
            <w:pPr>
              <w:ind w:left="140"/>
              <w:spacing w:after="0"/>
              <w:rPr>
                <w:sz w:val="20"/>
                <w:szCs w:val="20"/>
                <w:color w:val="auto"/>
              </w:rPr>
            </w:pPr>
            <w:r>
              <w:rPr>
                <w:rFonts w:ascii="Arial" w:cs="Arial" w:eastAsia="Arial" w:hAnsi="Arial"/>
                <w:sz w:val="16"/>
                <w:szCs w:val="16"/>
                <w:color w:val="auto"/>
                <w:w w:val="98"/>
              </w:rPr>
              <w:t>Income tax expense (benefit) from discontinued operations</w:t>
            </w: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(8.4)</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13"/>
        </w:trPr>
        <w:tc>
          <w:tcPr>
            <w:tcW w:w="4240" w:type="dxa"/>
            <w:vAlign w:val="bottom"/>
            <w:gridSpan w:val="4"/>
          </w:tcPr>
          <w:p>
            <w:pPr>
              <w:ind w:left="140"/>
              <w:spacing w:after="0"/>
              <w:rPr>
                <w:sz w:val="20"/>
                <w:szCs w:val="20"/>
                <w:color w:val="auto"/>
              </w:rPr>
            </w:pPr>
            <w:r>
              <w:rPr>
                <w:rFonts w:ascii="Arial" w:cs="Arial" w:eastAsia="Arial" w:hAnsi="Arial"/>
                <w:sz w:val="16"/>
                <w:szCs w:val="16"/>
                <w:color w:val="auto"/>
                <w:w w:val="91"/>
              </w:rPr>
              <w:t>Loss on contingent consideration from discontinued operations</w:t>
            </w: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12.2</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7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rPr>
              <w:t>Costs related to refinancing</w:t>
            </w:r>
          </w:p>
        </w:tc>
        <w:tc>
          <w:tcPr>
            <w:tcW w:w="6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4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15.1</w:t>
            </w:r>
          </w:p>
        </w:tc>
        <w:tc>
          <w:tcPr>
            <w:tcW w:w="0" w:type="dxa"/>
            <w:vAlign w:val="bottom"/>
          </w:tcPr>
          <w:p>
            <w:pPr>
              <w:spacing w:after="0"/>
              <w:rPr>
                <w:sz w:val="1"/>
                <w:szCs w:val="1"/>
                <w:color w:val="auto"/>
              </w:rPr>
            </w:pPr>
          </w:p>
        </w:tc>
      </w:tr>
      <w:tr>
        <w:trPr>
          <w:trHeight w:val="213"/>
        </w:trPr>
        <w:tc>
          <w:tcPr>
            <w:tcW w:w="1720" w:type="dxa"/>
            <w:vAlign w:val="bottom"/>
          </w:tcPr>
          <w:p>
            <w:pPr>
              <w:ind w:left="140"/>
              <w:spacing w:after="0"/>
              <w:rPr>
                <w:sz w:val="20"/>
                <w:szCs w:val="20"/>
                <w:color w:val="auto"/>
              </w:rPr>
            </w:pPr>
            <w:r>
              <w:rPr>
                <w:rFonts w:ascii="Arial" w:cs="Arial" w:eastAsia="Arial" w:hAnsi="Arial"/>
                <w:sz w:val="16"/>
                <w:szCs w:val="16"/>
                <w:color w:val="auto"/>
              </w:rPr>
              <w:t>Interest expense</w:t>
            </w: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78.9</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79.6</w:t>
            </w:r>
          </w:p>
        </w:tc>
        <w:tc>
          <w:tcPr>
            <w:tcW w:w="0" w:type="dxa"/>
            <w:vAlign w:val="bottom"/>
          </w:tcPr>
          <w:p>
            <w:pPr>
              <w:spacing w:after="0"/>
              <w:rPr>
                <w:sz w:val="1"/>
                <w:szCs w:val="1"/>
                <w:color w:val="auto"/>
              </w:rPr>
            </w:pPr>
          </w:p>
        </w:tc>
      </w:tr>
      <w:tr>
        <w:trPr>
          <w:trHeight w:val="219"/>
        </w:trPr>
        <w:tc>
          <w:tcPr>
            <w:tcW w:w="1720" w:type="dxa"/>
            <w:vAlign w:val="bottom"/>
            <w:shd w:val="clear" w:color="auto" w:fill="CCEEFF"/>
          </w:tcPr>
          <w:p>
            <w:pPr>
              <w:ind w:left="140"/>
              <w:spacing w:after="0"/>
              <w:rPr>
                <w:sz w:val="20"/>
                <w:szCs w:val="20"/>
                <w:color w:val="auto"/>
              </w:rPr>
            </w:pPr>
            <w:r>
              <w:rPr>
                <w:rFonts w:ascii="Arial" w:cs="Arial" w:eastAsia="Arial" w:hAnsi="Arial"/>
                <w:sz w:val="16"/>
                <w:szCs w:val="16"/>
                <w:color w:val="auto"/>
              </w:rPr>
              <w:t>Depreciation</w:t>
            </w:r>
          </w:p>
        </w:tc>
        <w:tc>
          <w:tcPr>
            <w:tcW w:w="98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62.9</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62.2</w:t>
            </w:r>
          </w:p>
        </w:tc>
        <w:tc>
          <w:tcPr>
            <w:tcW w:w="0" w:type="dxa"/>
            <w:vAlign w:val="bottom"/>
          </w:tcPr>
          <w:p>
            <w:pPr>
              <w:spacing w:after="0"/>
              <w:rPr>
                <w:sz w:val="1"/>
                <w:szCs w:val="1"/>
                <w:color w:val="auto"/>
              </w:rPr>
            </w:pPr>
          </w:p>
        </w:tc>
      </w:tr>
      <w:tr>
        <w:trPr>
          <w:trHeight w:val="213"/>
        </w:trPr>
        <w:tc>
          <w:tcPr>
            <w:tcW w:w="1720" w:type="dxa"/>
            <w:vAlign w:val="bottom"/>
          </w:tcPr>
          <w:p>
            <w:pPr>
              <w:ind w:left="140"/>
              <w:spacing w:after="0"/>
              <w:rPr>
                <w:sz w:val="20"/>
                <w:szCs w:val="20"/>
                <w:color w:val="auto"/>
              </w:rPr>
            </w:pPr>
            <w:r>
              <w:rPr>
                <w:rFonts w:ascii="Arial" w:cs="Arial" w:eastAsia="Arial" w:hAnsi="Arial"/>
                <w:sz w:val="16"/>
                <w:szCs w:val="16"/>
                <w:color w:val="auto"/>
              </w:rPr>
              <w:t>Amortization</w:t>
            </w: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30.9</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32.5</w:t>
            </w:r>
          </w:p>
        </w:tc>
        <w:tc>
          <w:tcPr>
            <w:tcW w:w="0" w:type="dxa"/>
            <w:vAlign w:val="bottom"/>
          </w:tcPr>
          <w:p>
            <w:pPr>
              <w:spacing w:after="0"/>
              <w:rPr>
                <w:sz w:val="1"/>
                <w:szCs w:val="1"/>
                <w:color w:val="auto"/>
              </w:rPr>
            </w:pPr>
          </w:p>
        </w:tc>
      </w:tr>
      <w:tr>
        <w:trPr>
          <w:trHeight w:val="219"/>
        </w:trPr>
        <w:tc>
          <w:tcPr>
            <w:tcW w:w="4960" w:type="dxa"/>
            <w:vAlign w:val="bottom"/>
            <w:gridSpan w:val="6"/>
            <w:shd w:val="clear" w:color="auto" w:fill="CCEEFF"/>
          </w:tcPr>
          <w:p>
            <w:pPr>
              <w:ind w:left="140"/>
              <w:spacing w:after="0"/>
              <w:rPr>
                <w:sz w:val="20"/>
                <w:szCs w:val="20"/>
                <w:color w:val="auto"/>
              </w:rPr>
            </w:pPr>
            <w:r>
              <w:rPr>
                <w:rFonts w:ascii="Arial" w:cs="Arial" w:eastAsia="Arial" w:hAnsi="Arial"/>
                <w:sz w:val="16"/>
                <w:szCs w:val="16"/>
                <w:color w:val="auto"/>
                <w:w w:val="95"/>
              </w:rPr>
              <w:t>Impairment, restructuring and other charges from continuing operations</w:t>
            </w: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29.0</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w:t>
            </w:r>
          </w:p>
        </w:tc>
        <w:tc>
          <w:tcPr>
            <w:tcW w:w="0" w:type="dxa"/>
            <w:vAlign w:val="bottom"/>
          </w:tcPr>
          <w:p>
            <w:pPr>
              <w:spacing w:after="0"/>
              <w:rPr>
                <w:sz w:val="1"/>
                <w:szCs w:val="1"/>
                <w:color w:val="auto"/>
              </w:rPr>
            </w:pPr>
          </w:p>
        </w:tc>
      </w:tr>
      <w:tr>
        <w:trPr>
          <w:trHeight w:val="213"/>
        </w:trPr>
        <w:tc>
          <w:tcPr>
            <w:tcW w:w="5980" w:type="dxa"/>
            <w:vAlign w:val="bottom"/>
            <w:gridSpan w:val="8"/>
          </w:tcPr>
          <w:p>
            <w:pPr>
              <w:ind w:left="140"/>
              <w:spacing w:after="0"/>
              <w:rPr>
                <w:sz w:val="20"/>
                <w:szCs w:val="20"/>
                <w:color w:val="auto"/>
              </w:rPr>
            </w:pPr>
            <w:r>
              <w:rPr>
                <w:rFonts w:ascii="Arial" w:cs="Arial" w:eastAsia="Arial" w:hAnsi="Arial"/>
                <w:sz w:val="16"/>
                <w:szCs w:val="16"/>
                <w:color w:val="auto"/>
                <w:w w:val="95"/>
              </w:rPr>
              <w:t>Impairment, restructuring and other charges (recoveries) from discontinued operations</w:t>
            </w: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219"/>
        </w:trPr>
        <w:tc>
          <w:tcPr>
            <w:tcW w:w="3340" w:type="dxa"/>
            <w:vAlign w:val="bottom"/>
            <w:gridSpan w:val="3"/>
            <w:shd w:val="clear" w:color="auto" w:fill="CCEEFF"/>
          </w:tcPr>
          <w:p>
            <w:pPr>
              <w:ind w:left="140"/>
              <w:spacing w:after="0"/>
              <w:rPr>
                <w:sz w:val="20"/>
                <w:szCs w:val="20"/>
                <w:color w:val="auto"/>
              </w:rPr>
            </w:pPr>
            <w:r>
              <w:rPr>
                <w:rFonts w:ascii="Arial" w:cs="Arial" w:eastAsia="Arial" w:hAnsi="Arial"/>
                <w:sz w:val="16"/>
                <w:szCs w:val="16"/>
                <w:color w:val="auto"/>
              </w:rPr>
              <w:t>Other non-operating (income) expense, net</w:t>
            </w: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w:t>
            </w:r>
          </w:p>
        </w:tc>
        <w:tc>
          <w:tcPr>
            <w:tcW w:w="0" w:type="dxa"/>
            <w:vAlign w:val="bottom"/>
          </w:tcPr>
          <w:p>
            <w:pPr>
              <w:spacing w:after="0"/>
              <w:rPr>
                <w:sz w:val="1"/>
                <w:szCs w:val="1"/>
                <w:color w:val="auto"/>
              </w:rPr>
            </w:pPr>
          </w:p>
        </w:tc>
      </w:tr>
      <w:tr>
        <w:trPr>
          <w:trHeight w:val="213"/>
        </w:trPr>
        <w:tc>
          <w:tcPr>
            <w:tcW w:w="1720" w:type="dxa"/>
            <w:vAlign w:val="bottom"/>
          </w:tcPr>
          <w:p>
            <w:pPr>
              <w:ind w:left="140"/>
              <w:spacing w:after="0"/>
              <w:rPr>
                <w:sz w:val="20"/>
                <w:szCs w:val="20"/>
                <w:color w:val="auto"/>
              </w:rPr>
            </w:pPr>
            <w:r>
              <w:rPr>
                <w:rFonts w:ascii="Arial" w:cs="Arial" w:eastAsia="Arial" w:hAnsi="Arial"/>
                <w:sz w:val="16"/>
                <w:szCs w:val="16"/>
                <w:color w:val="auto"/>
              </w:rPr>
              <w:t>Interest income</w:t>
            </w: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(4.1)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(7.6)</w:t>
            </w:r>
          </w:p>
        </w:tc>
        <w:tc>
          <w:tcPr>
            <w:tcW w:w="0" w:type="dxa"/>
            <w:vAlign w:val="bottom"/>
          </w:tcPr>
          <w:p>
            <w:pPr>
              <w:spacing w:after="0"/>
              <w:rPr>
                <w:sz w:val="1"/>
                <w:szCs w:val="1"/>
                <w:color w:val="auto"/>
              </w:rPr>
            </w:pPr>
          </w:p>
        </w:tc>
      </w:tr>
      <w:tr>
        <w:trPr>
          <w:trHeight w:val="219"/>
        </w:trPr>
        <w:tc>
          <w:tcPr>
            <w:tcW w:w="2700" w:type="dxa"/>
            <w:vAlign w:val="bottom"/>
            <w:gridSpan w:val="2"/>
            <w:shd w:val="clear" w:color="auto" w:fill="CCEEFF"/>
          </w:tcPr>
          <w:p>
            <w:pPr>
              <w:ind w:left="140"/>
              <w:spacing w:after="0"/>
              <w:rPr>
                <w:sz w:val="20"/>
                <w:szCs w:val="20"/>
                <w:color w:val="auto"/>
              </w:rPr>
            </w:pPr>
            <w:r>
              <w:rPr>
                <w:rFonts w:ascii="Arial" w:cs="Arial" w:eastAsia="Arial" w:hAnsi="Arial"/>
                <w:sz w:val="16"/>
                <w:szCs w:val="16"/>
                <w:color w:val="auto"/>
                <w:w w:val="97"/>
              </w:rPr>
              <w:t>Share-based compensation expense</w:t>
            </w:r>
          </w:p>
        </w:tc>
        <w:tc>
          <w:tcPr>
            <w:tcW w:w="6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40.6</w:t>
            </w:r>
          </w:p>
        </w:tc>
        <w:tc>
          <w:tcPr>
            <w:tcW w:w="6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spacing w:after="0"/>
              <w:rPr>
                <w:sz w:val="19"/>
                <w:szCs w:val="19"/>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57.9</w:t>
            </w:r>
          </w:p>
        </w:tc>
        <w:tc>
          <w:tcPr>
            <w:tcW w:w="0" w:type="dxa"/>
            <w:vAlign w:val="bottom"/>
          </w:tcPr>
          <w:p>
            <w:pPr>
              <w:spacing w:after="0"/>
              <w:rPr>
                <w:sz w:val="1"/>
                <w:szCs w:val="1"/>
                <w:color w:val="auto"/>
              </w:rPr>
            </w:pPr>
          </w:p>
        </w:tc>
      </w:tr>
      <w:tr>
        <w:trPr>
          <w:trHeight w:val="207"/>
        </w:trPr>
        <w:tc>
          <w:tcPr>
            <w:tcW w:w="2700" w:type="dxa"/>
            <w:vAlign w:val="bottom"/>
            <w:gridSpan w:val="2"/>
          </w:tcPr>
          <w:p>
            <w:pPr>
              <w:ind w:left="20"/>
              <w:spacing w:after="0"/>
              <w:rPr>
                <w:sz w:val="20"/>
                <w:szCs w:val="20"/>
                <w:color w:val="auto"/>
              </w:rPr>
            </w:pPr>
            <w:r>
              <w:rPr>
                <w:rFonts w:ascii="Arial" w:cs="Arial" w:eastAsia="Arial" w:hAnsi="Arial"/>
                <w:sz w:val="16"/>
                <w:szCs w:val="16"/>
                <w:b w:val="1"/>
                <w:bCs w:val="1"/>
                <w:color w:val="auto"/>
              </w:rPr>
              <w:t>Adjusted EBITDA (Non-GAAP)</w:t>
            </w:r>
          </w:p>
        </w:tc>
        <w:tc>
          <w:tcPr>
            <w:tcW w:w="6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90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902.6</w:t>
            </w: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9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766.6</w:t>
            </w:r>
          </w:p>
        </w:tc>
        <w:tc>
          <w:tcPr>
            <w:tcW w:w="0" w:type="dxa"/>
            <w:vAlign w:val="bottom"/>
          </w:tcPr>
          <w:p>
            <w:pPr>
              <w:spacing w:after="0"/>
              <w:rPr>
                <w:sz w:val="1"/>
                <w:szCs w:val="1"/>
                <w:color w:val="auto"/>
              </w:rPr>
            </w:pPr>
          </w:p>
        </w:tc>
      </w:tr>
      <w:tr>
        <w:trPr>
          <w:trHeight w:val="23"/>
        </w:trPr>
        <w:tc>
          <w:tcPr>
            <w:tcW w:w="1720" w:type="dxa"/>
            <w:vAlign w:val="bottom"/>
          </w:tcPr>
          <w:p>
            <w:pPr>
              <w:spacing w:after="0"/>
              <w:rPr>
                <w:sz w:val="2"/>
                <w:szCs w:val="2"/>
                <w:color w:val="auto"/>
              </w:rPr>
            </w:pPr>
          </w:p>
        </w:tc>
        <w:tc>
          <w:tcPr>
            <w:tcW w:w="980" w:type="dxa"/>
            <w:vAlign w:val="bottom"/>
          </w:tcPr>
          <w:p>
            <w:pPr>
              <w:spacing w:after="0"/>
              <w:rPr>
                <w:sz w:val="2"/>
                <w:szCs w:val="2"/>
                <w:color w:val="auto"/>
              </w:rPr>
            </w:pPr>
          </w:p>
        </w:tc>
        <w:tc>
          <w:tcPr>
            <w:tcW w:w="6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60" w:type="dxa"/>
            <w:vAlign w:val="bottom"/>
          </w:tcPr>
          <w:p>
            <w:pPr>
              <w:spacing w:after="0"/>
              <w:rPr>
                <w:sz w:val="2"/>
                <w:szCs w:val="2"/>
                <w:color w:val="auto"/>
              </w:rPr>
            </w:pPr>
          </w:p>
        </w:tc>
        <w:tc>
          <w:tcPr>
            <w:tcW w:w="56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20"/>
        <w:spacing w:after="0"/>
        <w:rPr>
          <w:sz w:val="20"/>
          <w:szCs w:val="20"/>
          <w:color w:val="auto"/>
        </w:rPr>
      </w:pPr>
      <w:r>
        <w:rPr>
          <w:rFonts w:ascii="Arial" w:cs="Arial" w:eastAsia="Arial" w:hAnsi="Arial"/>
          <w:sz w:val="16"/>
          <w:szCs w:val="16"/>
          <w:color w:val="auto"/>
        </w:rPr>
        <w:t>Note: See accompanying footnotes on page 11.</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The sum of the components may not equal due to rounding.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40"/>
          </w:cols>
          <w:pgMar w:left="320" w:top="117" w:right="339" w:bottom="1440" w:gutter="0" w:footer="0" w:header="0"/>
        </w:sectPr>
      </w:pPr>
    </w:p>
    <w:bookmarkStart w:id="13" w:name="page14"/>
    <w:bookmarkEnd w:id="13"/>
    <w:p>
      <w:pPr>
        <w:jc w:val="center"/>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Reconciliation of Non-GAAP Disclosure Items (3)</w:t>
      </w: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millions, except per share data)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209"/>
        </w:trPr>
        <w:tc>
          <w:tcPr>
            <w:tcW w:w="7700" w:type="dxa"/>
            <w:vAlign w:val="bottom"/>
          </w:tcPr>
          <w:p>
            <w:pPr>
              <w:spacing w:after="0"/>
              <w:rPr>
                <w:sz w:val="18"/>
                <w:szCs w:val="18"/>
                <w:color w:val="auto"/>
              </w:rPr>
            </w:pPr>
          </w:p>
        </w:tc>
        <w:tc>
          <w:tcPr>
            <w:tcW w:w="2980" w:type="dxa"/>
            <w:vAlign w:val="bottom"/>
            <w:tcBorders>
              <w:bottom w:val="single" w:sz="8" w:color="auto"/>
            </w:tcBorders>
            <w:gridSpan w:val="4"/>
          </w:tcPr>
          <w:p>
            <w:pPr>
              <w:jc w:val="right"/>
              <w:ind w:right="259"/>
              <w:spacing w:after="0"/>
              <w:rPr>
                <w:sz w:val="20"/>
                <w:szCs w:val="20"/>
                <w:color w:val="auto"/>
              </w:rPr>
            </w:pPr>
            <w:r>
              <w:rPr>
                <w:rFonts w:ascii="Arial" w:cs="Arial" w:eastAsia="Arial" w:hAnsi="Arial"/>
                <w:sz w:val="16"/>
                <w:szCs w:val="16"/>
                <w:color w:val="auto"/>
              </w:rPr>
              <w:t>Year Ended September 30,</w:t>
            </w:r>
          </w:p>
        </w:tc>
        <w:tc>
          <w:tcPr>
            <w:tcW w:w="560" w:type="dxa"/>
            <w:vAlign w:val="bottom"/>
            <w:tcBorders>
              <w:bottom w:val="single" w:sz="8" w:color="auto"/>
            </w:tcBorders>
          </w:tcPr>
          <w:p>
            <w:pPr>
              <w:spacing w:after="0"/>
              <w:rPr>
                <w:sz w:val="18"/>
                <w:szCs w:val="18"/>
                <w:color w:val="auto"/>
              </w:rPr>
            </w:pPr>
          </w:p>
        </w:tc>
      </w:tr>
      <w:tr>
        <w:trPr>
          <w:trHeight w:val="207"/>
        </w:trPr>
        <w:tc>
          <w:tcPr>
            <w:tcW w:w="7700" w:type="dxa"/>
            <w:vAlign w:val="bottom"/>
          </w:tcPr>
          <w:p>
            <w:pPr>
              <w:spacing w:after="0"/>
              <w:rPr>
                <w:sz w:val="17"/>
                <w:szCs w:val="17"/>
                <w:color w:val="auto"/>
              </w:rPr>
            </w:pPr>
          </w:p>
        </w:tc>
        <w:tc>
          <w:tcPr>
            <w:tcW w:w="11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2021</w:t>
            </w:r>
          </w:p>
        </w:tc>
        <w:tc>
          <w:tcPr>
            <w:tcW w:w="58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2020</w:t>
            </w:r>
          </w:p>
        </w:tc>
        <w:tc>
          <w:tcPr>
            <w:tcW w:w="560" w:type="dxa"/>
            <w:vAlign w:val="bottom"/>
            <w:tcBorders>
              <w:bottom w:val="single" w:sz="8" w:color="auto"/>
            </w:tcBorders>
          </w:tcPr>
          <w:p>
            <w:pPr>
              <w:spacing w:after="0"/>
              <w:rPr>
                <w:sz w:val="17"/>
                <w:szCs w:val="17"/>
                <w:color w:val="auto"/>
              </w:rPr>
            </w:pPr>
          </w:p>
        </w:tc>
      </w:tr>
      <w:tr>
        <w:trPr>
          <w:trHeight w:val="199"/>
        </w:trPr>
        <w:tc>
          <w:tcPr>
            <w:tcW w:w="7700" w:type="dxa"/>
            <w:vAlign w:val="bottom"/>
          </w:tcPr>
          <w:p>
            <w:pPr>
              <w:ind w:left="20"/>
              <w:spacing w:after="0"/>
              <w:rPr>
                <w:sz w:val="20"/>
                <w:szCs w:val="20"/>
                <w:color w:val="auto"/>
              </w:rPr>
            </w:pPr>
            <w:r>
              <w:rPr>
                <w:rFonts w:ascii="Arial" w:cs="Arial" w:eastAsia="Arial" w:hAnsi="Arial"/>
                <w:sz w:val="16"/>
                <w:szCs w:val="16"/>
                <w:b w:val="1"/>
                <w:bCs w:val="1"/>
                <w:color w:val="auto"/>
              </w:rPr>
              <w:t>Calculation of free cash flow (3):</w:t>
            </w:r>
          </w:p>
        </w:tc>
        <w:tc>
          <w:tcPr>
            <w:tcW w:w="11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560" w:type="dxa"/>
            <w:vAlign w:val="bottom"/>
          </w:tcPr>
          <w:p>
            <w:pPr>
              <w:spacing w:after="0"/>
              <w:rPr>
                <w:sz w:val="17"/>
                <w:szCs w:val="17"/>
                <w:color w:val="auto"/>
              </w:rPr>
            </w:pPr>
          </w:p>
        </w:tc>
      </w:tr>
      <w:tr>
        <w:trPr>
          <w:trHeight w:val="219"/>
        </w:trPr>
        <w:tc>
          <w:tcPr>
            <w:tcW w:w="77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Net cash provided by operating activities (GAAP)</w:t>
            </w:r>
          </w:p>
        </w:tc>
        <w:tc>
          <w:tcPr>
            <w:tcW w:w="1120" w:type="dxa"/>
            <w:vAlign w:val="bottom"/>
            <w:shd w:val="clear" w:color="auto" w:fill="CCEEFF"/>
          </w:tcPr>
          <w:p>
            <w:pPr>
              <w:jc w:val="right"/>
              <w:ind w:right="939"/>
              <w:spacing w:after="0"/>
              <w:rPr>
                <w:sz w:val="20"/>
                <w:szCs w:val="20"/>
                <w:color w:val="auto"/>
              </w:rPr>
            </w:pPr>
            <w:r>
              <w:rPr>
                <w:rFonts w:ascii="Arial" w:cs="Arial" w:eastAsia="Arial" w:hAnsi="Arial"/>
                <w:sz w:val="16"/>
                <w:szCs w:val="16"/>
                <w:color w:val="auto"/>
                <w:w w:val="89"/>
              </w:rPr>
              <w:t>$</w:t>
            </w:r>
          </w:p>
        </w:tc>
        <w:tc>
          <w:tcPr>
            <w:tcW w:w="580" w:type="dxa"/>
            <w:vAlign w:val="bottom"/>
            <w:shd w:val="clear" w:color="auto" w:fill="CCEEFF"/>
          </w:tcPr>
          <w:p>
            <w:pPr>
              <w:jc w:val="center"/>
              <w:ind w:left="19"/>
              <w:spacing w:after="0"/>
              <w:rPr>
                <w:sz w:val="20"/>
                <w:szCs w:val="20"/>
                <w:color w:val="auto"/>
              </w:rPr>
            </w:pPr>
            <w:r>
              <w:rPr>
                <w:rFonts w:ascii="Arial" w:cs="Arial" w:eastAsia="Arial" w:hAnsi="Arial"/>
                <w:sz w:val="16"/>
                <w:szCs w:val="16"/>
                <w:color w:val="auto"/>
                <w:w w:val="89"/>
              </w:rPr>
              <w:t>271.5</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979"/>
              <w:spacing w:after="0"/>
              <w:rPr>
                <w:sz w:val="20"/>
                <w:szCs w:val="20"/>
                <w:color w:val="auto"/>
              </w:rPr>
            </w:pPr>
            <w:r>
              <w:rPr>
                <w:rFonts w:ascii="Arial" w:cs="Arial" w:eastAsia="Arial" w:hAnsi="Arial"/>
                <w:sz w:val="16"/>
                <w:szCs w:val="16"/>
                <w:color w:val="auto"/>
                <w:w w:val="89"/>
              </w:rPr>
              <w:t>$</w:t>
            </w:r>
          </w:p>
        </w:tc>
        <w:tc>
          <w:tcPr>
            <w:tcW w:w="5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558.0</w:t>
            </w:r>
          </w:p>
        </w:tc>
      </w:tr>
      <w:tr>
        <w:trPr>
          <w:trHeight w:val="213"/>
        </w:trPr>
        <w:tc>
          <w:tcPr>
            <w:tcW w:w="77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Investments in property, plant and equipment</w:t>
            </w:r>
          </w:p>
        </w:tc>
        <w:tc>
          <w:tcPr>
            <w:tcW w:w="1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4"/>
              </w:rPr>
              <w:t>(106.9)</w:t>
            </w:r>
          </w:p>
        </w:tc>
        <w:tc>
          <w:tcPr>
            <w:tcW w:w="120" w:type="dxa"/>
            <w:vAlign w:val="bottom"/>
            <w:tcBorders>
              <w:bottom w:val="single" w:sz="8" w:color="CCEEFF"/>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w w:val="95"/>
              </w:rPr>
              <w:t>(62.7)</w:t>
            </w:r>
          </w:p>
        </w:tc>
      </w:tr>
      <w:tr>
        <w:trPr>
          <w:trHeight w:val="211"/>
        </w:trPr>
        <w:tc>
          <w:tcPr>
            <w:tcW w:w="77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Free cash flow (Non-GAAP)</w:t>
            </w:r>
          </w:p>
        </w:tc>
        <w:tc>
          <w:tcPr>
            <w:tcW w:w="1120" w:type="dxa"/>
            <w:vAlign w:val="bottom"/>
            <w:tcBorders>
              <w:bottom w:val="single" w:sz="8" w:color="auto"/>
            </w:tcBorders>
            <w:shd w:val="clear" w:color="auto" w:fill="CCEEFF"/>
          </w:tcPr>
          <w:p>
            <w:pPr>
              <w:jc w:val="right"/>
              <w:ind w:right="939"/>
              <w:spacing w:after="0"/>
              <w:rPr>
                <w:sz w:val="20"/>
                <w:szCs w:val="20"/>
                <w:color w:val="auto"/>
              </w:rPr>
            </w:pPr>
            <w:r>
              <w:rPr>
                <w:rFonts w:ascii="Arial" w:cs="Arial" w:eastAsia="Arial" w:hAnsi="Arial"/>
                <w:sz w:val="16"/>
                <w:szCs w:val="16"/>
                <w:color w:val="auto"/>
                <w:w w:val="89"/>
              </w:rPr>
              <w:t>$</w:t>
            </w:r>
          </w:p>
        </w:tc>
        <w:tc>
          <w:tcPr>
            <w:tcW w:w="580" w:type="dxa"/>
            <w:vAlign w:val="bottom"/>
            <w:tcBorders>
              <w:bottom w:val="single" w:sz="8" w:color="auto"/>
            </w:tcBorders>
            <w:shd w:val="clear" w:color="auto" w:fill="CCEEFF"/>
          </w:tcPr>
          <w:p>
            <w:pPr>
              <w:jc w:val="center"/>
              <w:ind w:left="19"/>
              <w:spacing w:after="0"/>
              <w:rPr>
                <w:sz w:val="20"/>
                <w:szCs w:val="20"/>
                <w:color w:val="auto"/>
              </w:rPr>
            </w:pPr>
            <w:r>
              <w:rPr>
                <w:rFonts w:ascii="Arial" w:cs="Arial" w:eastAsia="Arial" w:hAnsi="Arial"/>
                <w:sz w:val="16"/>
                <w:szCs w:val="16"/>
                <w:color w:val="auto"/>
                <w:w w:val="89"/>
              </w:rPr>
              <w:t>164.6</w:t>
            </w:r>
          </w:p>
        </w:tc>
        <w:tc>
          <w:tcPr>
            <w:tcW w:w="12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auto"/>
            </w:tcBorders>
            <w:shd w:val="clear" w:color="auto" w:fill="CCEEFF"/>
          </w:tcPr>
          <w:p>
            <w:pPr>
              <w:jc w:val="right"/>
              <w:ind w:right="979"/>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495.3</w:t>
            </w:r>
          </w:p>
        </w:tc>
      </w:tr>
      <w:tr>
        <w:trPr>
          <w:trHeight w:val="20"/>
        </w:trPr>
        <w:tc>
          <w:tcPr>
            <w:tcW w:w="77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r>
    </w:tbl>
    <w:p>
      <w:pPr>
        <w:spacing w:after="0" w:line="224" w:lineRule="exact"/>
        <w:rPr>
          <w:sz w:val="20"/>
          <w:szCs w:val="20"/>
          <w:color w:val="auto"/>
        </w:rPr>
      </w:pPr>
    </w:p>
    <w:p>
      <w:pPr>
        <w:ind w:left="20"/>
        <w:spacing w:after="0"/>
        <w:rPr>
          <w:sz w:val="20"/>
          <w:szCs w:val="20"/>
          <w:color w:val="auto"/>
        </w:rPr>
      </w:pPr>
      <w:r>
        <w:rPr>
          <w:rFonts w:ascii="Arial" w:cs="Arial" w:eastAsia="Arial" w:hAnsi="Arial"/>
          <w:sz w:val="14"/>
          <w:szCs w:val="14"/>
          <w:color w:val="auto"/>
        </w:rPr>
        <w:t>Note: See accompanying footnotes on page 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320" w:top="117" w:right="339" w:bottom="1440" w:gutter="0" w:footer="0" w:header="0"/>
        </w:sectPr>
      </w:pPr>
    </w:p>
    <w:bookmarkStart w:id="14" w:name="page15"/>
    <w:bookmarkEnd w:id="14"/>
    <w:p>
      <w:pPr>
        <w:jc w:val="center"/>
        <w:ind w:right="150"/>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jc w:val="center"/>
        <w:ind w:right="150"/>
        <w:spacing w:after="0"/>
        <w:rPr>
          <w:sz w:val="20"/>
          <w:szCs w:val="20"/>
          <w:color w:val="auto"/>
        </w:rPr>
      </w:pPr>
      <w:r>
        <w:rPr>
          <w:rFonts w:ascii="Arial" w:cs="Arial" w:eastAsia="Arial" w:hAnsi="Arial"/>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both"/>
        <w:ind w:left="330" w:hanging="330"/>
        <w:spacing w:after="0" w:line="255" w:lineRule="auto"/>
        <w:tabs>
          <w:tab w:leader="none" w:pos="324" w:val="left"/>
        </w:tabs>
        <w:numPr>
          <w:ilvl w:val="0"/>
          <w:numId w:val="6"/>
        </w:numPr>
        <w:rPr>
          <w:rFonts w:ascii="Arial" w:cs="Arial" w:eastAsia="Arial" w:hAnsi="Arial"/>
          <w:sz w:val="18"/>
          <w:szCs w:val="18"/>
          <w:color w:val="auto"/>
        </w:rPr>
      </w:pPr>
      <w:r>
        <w:rPr>
          <w:rFonts w:ascii="Arial" w:cs="Arial" w:eastAsia="Arial" w:hAnsi="Arial"/>
          <w:sz w:val="18"/>
          <w:szCs w:val="18"/>
          <w:color w:val="auto"/>
        </w:rPr>
        <w:t>Basic income (loss) per common share amounts are calculated by dividing income (loss) attributable to controlling interest from continuing operations, income (loss) from discontinued operations and net income (loss) attributable to controlling interest by the weighted average number of common shares outstanding during the period.</w:t>
      </w:r>
    </w:p>
    <w:p>
      <w:pPr>
        <w:spacing w:after="0" w:line="2" w:lineRule="exact"/>
        <w:rPr>
          <w:rFonts w:ascii="Arial" w:cs="Arial" w:eastAsia="Arial" w:hAnsi="Arial"/>
          <w:sz w:val="18"/>
          <w:szCs w:val="18"/>
          <w:color w:val="auto"/>
        </w:rPr>
      </w:pPr>
    </w:p>
    <w:p>
      <w:pPr>
        <w:jc w:val="both"/>
        <w:ind w:left="330" w:hanging="330"/>
        <w:spacing w:after="0" w:line="250" w:lineRule="auto"/>
        <w:tabs>
          <w:tab w:leader="none" w:pos="324" w:val="left"/>
        </w:tabs>
        <w:numPr>
          <w:ilvl w:val="0"/>
          <w:numId w:val="6"/>
        </w:numPr>
        <w:rPr>
          <w:rFonts w:ascii="Arial" w:cs="Arial" w:eastAsia="Arial" w:hAnsi="Arial"/>
          <w:sz w:val="18"/>
          <w:szCs w:val="18"/>
          <w:color w:val="auto"/>
        </w:rPr>
      </w:pPr>
      <w:r>
        <w:rPr>
          <w:rFonts w:ascii="Arial" w:cs="Arial" w:eastAsia="Arial" w:hAnsi="Arial"/>
          <w:sz w:val="18"/>
          <w:szCs w:val="18"/>
          <w:color w:val="auto"/>
        </w:rPr>
        <w:t>Diluted income (loss) per common share amounts are calculated by dividing income (loss) attributable to controlling interest from continuing operations, income (loss) from discontinued operations and net income (loss) attributable to controlling interest by the weighted average number of common shares, plus all potential dilutive securities (common stock options, performance shares, performance units, restricted stock and restricted stock units) outstanding during the period.</w:t>
      </w:r>
    </w:p>
    <w:p>
      <w:pPr>
        <w:spacing w:after="0" w:line="1" w:lineRule="exact"/>
        <w:rPr>
          <w:rFonts w:ascii="Arial" w:cs="Arial" w:eastAsia="Arial" w:hAnsi="Arial"/>
          <w:sz w:val="18"/>
          <w:szCs w:val="18"/>
          <w:color w:val="auto"/>
        </w:rPr>
      </w:pPr>
    </w:p>
    <w:p>
      <w:pPr>
        <w:ind w:left="330" w:right="7920" w:hanging="330"/>
        <w:spacing w:after="0" w:line="589" w:lineRule="auto"/>
        <w:tabs>
          <w:tab w:leader="none" w:pos="324" w:val="left"/>
        </w:tabs>
        <w:numPr>
          <w:ilvl w:val="0"/>
          <w:numId w:val="6"/>
        </w:numPr>
        <w:rPr>
          <w:rFonts w:ascii="Arial" w:cs="Arial" w:eastAsia="Arial" w:hAnsi="Arial"/>
          <w:sz w:val="16"/>
          <w:szCs w:val="16"/>
          <w:color w:val="auto"/>
        </w:rPr>
      </w:pPr>
      <w:r>
        <w:rPr>
          <w:rFonts w:ascii="Arial" w:cs="Arial" w:eastAsia="Arial" w:hAnsi="Arial"/>
          <w:sz w:val="16"/>
          <w:szCs w:val="16"/>
          <w:i w:val="1"/>
          <w:iCs w:val="1"/>
          <w:color w:val="auto"/>
        </w:rPr>
        <w:t xml:space="preserve">Reconciliation of Non-GAAP Measures </w:t>
      </w:r>
      <w:r>
        <w:rPr>
          <w:rFonts w:ascii="Arial" w:cs="Arial" w:eastAsia="Arial" w:hAnsi="Arial"/>
          <w:sz w:val="16"/>
          <w:szCs w:val="16"/>
          <w:u w:val="single" w:color="auto"/>
          <w:color w:val="auto"/>
        </w:rPr>
        <w:t>Use of Non-GAAP Measures</w:t>
      </w:r>
    </w:p>
    <w:p>
      <w:pPr>
        <w:jc w:val="both"/>
        <w:ind w:left="330"/>
        <w:spacing w:after="0" w:line="254" w:lineRule="auto"/>
        <w:rPr>
          <w:rFonts w:ascii="Arial" w:cs="Arial" w:eastAsia="Arial" w:hAnsi="Arial"/>
          <w:sz w:val="16"/>
          <w:szCs w:val="16"/>
          <w:color w:val="auto"/>
        </w:rPr>
      </w:pPr>
      <w:r>
        <w:rPr>
          <w:rFonts w:ascii="Arial" w:cs="Arial" w:eastAsia="Arial" w:hAnsi="Arial"/>
          <w:sz w:val="18"/>
          <w:szCs w:val="18"/>
          <w:color w:val="auto"/>
        </w:rPr>
        <w:t>To supplement the financial measures prepared in accordance with U.S. generally accepted accounting principles (“GAAP”), the Company uses non-GAAP financial measures. The reconciliations of these non-GAAP financial measures to the most directly comparable financial measures calculated and presented in accordance with GAAP are shown in the tables above. These non-GAAP financial measures should not be considered in isolation from, or as a substitute for or superior to, financial measures reported in accordance with GAAP. Moreover, these non-GAAP financial measures have limitations in that they do not reflect all the items associated with the operations of the business as determined in accordance with GAAP. Other companies may calculate similarly titled non-GAAP financial measures differently than the Company, limiting the usefulness of those measures for comparative purposes.</w:t>
      </w:r>
    </w:p>
    <w:p>
      <w:pPr>
        <w:spacing w:after="0" w:line="221" w:lineRule="exact"/>
        <w:rPr>
          <w:rFonts w:ascii="Arial" w:cs="Arial" w:eastAsia="Arial" w:hAnsi="Arial"/>
          <w:sz w:val="16"/>
          <w:szCs w:val="16"/>
          <w:color w:val="auto"/>
        </w:rPr>
      </w:pPr>
    </w:p>
    <w:p>
      <w:pPr>
        <w:jc w:val="both"/>
        <w:ind w:left="330"/>
        <w:spacing w:after="0" w:line="286" w:lineRule="auto"/>
        <w:rPr>
          <w:rFonts w:ascii="Arial" w:cs="Arial" w:eastAsia="Arial" w:hAnsi="Arial"/>
          <w:sz w:val="16"/>
          <w:szCs w:val="16"/>
          <w:color w:val="auto"/>
        </w:rPr>
      </w:pPr>
      <w:r>
        <w:rPr>
          <w:rFonts w:ascii="Arial" w:cs="Arial" w:eastAsia="Arial" w:hAnsi="Arial"/>
          <w:sz w:val="17"/>
          <w:szCs w:val="17"/>
          <w:color w:val="auto"/>
        </w:rPr>
        <w:t>In addition to GAAP measures, management uses these non-GAAP financial measures to evaluate the Company’s performance, engage in financial and operational planning and determine incentive compensation because it believes that these measures provide additional perspective on and, in some circumstances are more closely correlated to, the performance of the Company’s underlying, ongoing business.</w:t>
      </w:r>
    </w:p>
    <w:p>
      <w:pPr>
        <w:spacing w:after="0" w:line="192" w:lineRule="exact"/>
        <w:rPr>
          <w:rFonts w:ascii="Arial" w:cs="Arial" w:eastAsia="Arial" w:hAnsi="Arial"/>
          <w:sz w:val="16"/>
          <w:szCs w:val="16"/>
          <w:color w:val="auto"/>
        </w:rPr>
      </w:pPr>
    </w:p>
    <w:p>
      <w:pPr>
        <w:jc w:val="both"/>
        <w:ind w:left="330"/>
        <w:spacing w:after="0" w:line="270" w:lineRule="auto"/>
        <w:rPr>
          <w:rFonts w:ascii="Arial" w:cs="Arial" w:eastAsia="Arial" w:hAnsi="Arial"/>
          <w:sz w:val="16"/>
          <w:szCs w:val="16"/>
          <w:color w:val="auto"/>
        </w:rPr>
      </w:pPr>
      <w:r>
        <w:rPr>
          <w:rFonts w:ascii="Arial" w:cs="Arial" w:eastAsia="Arial" w:hAnsi="Arial"/>
          <w:sz w:val="17"/>
          <w:szCs w:val="17"/>
          <w:color w:val="auto"/>
        </w:rPr>
        <w:t>Management believes that these non-GAAP financial measures are useful to investors in their assessment of operating performance and the valuation of the Company. In addition, these non-GAAP financial measures address questions routinely received from analysts and investors and, in order to ensure that all investors have access to the same data, management has determined that it is appropriate to make this data available to all investors. Non-GAAP financial measures exclude the impact of certain items (as further described below) and provide supplemental information regarding operating performance. By disclosing these non-GAAP financial measures, management intends to provide investors with a supplemental comparison of operating results and trends for the periods presented. Management believes these measures are also useful to investors as such measures allow investors to evaluate performance using the same metrics that management uses to evaluate past performance and prospects for future performance. Management views free cash flow as an important measure because it is one factor used in determining the amount of cash available for dividends and discretionary investment.</w:t>
      </w:r>
    </w:p>
    <w:p>
      <w:pPr>
        <w:spacing w:after="0" w:line="207" w:lineRule="exact"/>
        <w:rPr>
          <w:rFonts w:ascii="Arial" w:cs="Arial" w:eastAsia="Arial" w:hAnsi="Arial"/>
          <w:sz w:val="16"/>
          <w:szCs w:val="16"/>
          <w:color w:val="auto"/>
        </w:rPr>
      </w:pPr>
    </w:p>
    <w:p>
      <w:pPr>
        <w:ind w:left="330"/>
        <w:spacing w:after="0"/>
        <w:rPr>
          <w:rFonts w:ascii="Arial" w:cs="Arial" w:eastAsia="Arial" w:hAnsi="Arial"/>
          <w:sz w:val="16"/>
          <w:szCs w:val="16"/>
          <w:color w:val="auto"/>
        </w:rPr>
      </w:pPr>
      <w:r>
        <w:rPr>
          <w:rFonts w:ascii="Arial" w:cs="Arial" w:eastAsia="Arial" w:hAnsi="Arial"/>
          <w:sz w:val="18"/>
          <w:szCs w:val="18"/>
          <w:u w:val="single" w:color="auto"/>
          <w:color w:val="auto"/>
        </w:rPr>
        <w:t>Exclusions from Non-GAAP Financial Measures</w:t>
      </w:r>
    </w:p>
    <w:p>
      <w:pPr>
        <w:spacing w:after="0" w:line="252" w:lineRule="exact"/>
        <w:rPr>
          <w:rFonts w:ascii="Arial" w:cs="Arial" w:eastAsia="Arial" w:hAnsi="Arial"/>
          <w:sz w:val="16"/>
          <w:szCs w:val="16"/>
          <w:color w:val="auto"/>
        </w:rPr>
      </w:pPr>
    </w:p>
    <w:p>
      <w:pPr>
        <w:ind w:left="330"/>
        <w:spacing w:after="0"/>
        <w:rPr>
          <w:rFonts w:ascii="Arial" w:cs="Arial" w:eastAsia="Arial" w:hAnsi="Arial"/>
          <w:sz w:val="16"/>
          <w:szCs w:val="16"/>
          <w:color w:val="auto"/>
        </w:rPr>
      </w:pPr>
      <w:r>
        <w:rPr>
          <w:rFonts w:ascii="Arial" w:cs="Arial" w:eastAsia="Arial" w:hAnsi="Arial"/>
          <w:sz w:val="18"/>
          <w:szCs w:val="18"/>
          <w:color w:val="auto"/>
        </w:rPr>
        <w:t>Non-GAAP financial measures reflect adjustments based on the following items:</w:t>
      </w:r>
    </w:p>
    <w:p>
      <w:pPr>
        <w:spacing w:after="0" w:line="252" w:lineRule="exact"/>
        <w:rPr>
          <w:rFonts w:ascii="Arial" w:cs="Arial" w:eastAsia="Arial" w:hAnsi="Arial"/>
          <w:sz w:val="16"/>
          <w:szCs w:val="16"/>
          <w:color w:val="auto"/>
        </w:rPr>
      </w:pPr>
    </w:p>
    <w:p>
      <w:pPr>
        <w:ind w:left="970" w:right="20" w:hanging="322"/>
        <w:spacing w:after="0" w:line="291" w:lineRule="auto"/>
        <w:tabs>
          <w:tab w:leader="none" w:pos="965" w:val="left"/>
        </w:tabs>
        <w:numPr>
          <w:ilvl w:val="1"/>
          <w:numId w:val="6"/>
        </w:numPr>
        <w:rPr>
          <w:rFonts w:ascii="Arial" w:cs="Arial" w:eastAsia="Arial" w:hAnsi="Arial"/>
          <w:sz w:val="16"/>
          <w:szCs w:val="16"/>
          <w:color w:val="auto"/>
        </w:rPr>
      </w:pPr>
      <w:r>
        <w:rPr>
          <w:rFonts w:ascii="Arial" w:cs="Arial" w:eastAsia="Arial" w:hAnsi="Arial"/>
          <w:sz w:val="16"/>
          <w:szCs w:val="16"/>
          <w:color w:val="auto"/>
        </w:rPr>
        <w:t>Impairments, which are excluded because they do not occur in or reflect the ordinary course of the Company’s ongoing business operations and their exclusion results in a metric that provides supplemental information about the sustainability of operating performance.</w:t>
      </w:r>
    </w:p>
    <w:p>
      <w:pPr>
        <w:jc w:val="both"/>
        <w:ind w:left="970" w:hanging="322"/>
        <w:spacing w:after="0" w:line="250" w:lineRule="auto"/>
        <w:tabs>
          <w:tab w:leader="none" w:pos="965" w:val="left"/>
        </w:tabs>
        <w:numPr>
          <w:ilvl w:val="1"/>
          <w:numId w:val="6"/>
        </w:numPr>
        <w:rPr>
          <w:rFonts w:ascii="Arial" w:cs="Arial" w:eastAsia="Arial" w:hAnsi="Arial"/>
          <w:sz w:val="18"/>
          <w:szCs w:val="18"/>
          <w:color w:val="auto"/>
        </w:rPr>
      </w:pPr>
      <w:r>
        <w:rPr>
          <w:rFonts w:ascii="Arial" w:cs="Arial" w:eastAsia="Arial" w:hAnsi="Arial"/>
          <w:sz w:val="18"/>
          <w:szCs w:val="18"/>
          <w:color w:val="auto"/>
        </w:rPr>
        <w:t>Restructuring and employee severance costs, which include charges for discrete projects or transactions that fundamentally change the Company’s operations and are excluded because they are not part of the ongoing operations of its underlying business, which includes normal levels of reinvestment in the business.</w:t>
      </w:r>
    </w:p>
    <w:p>
      <w:pPr>
        <w:spacing w:after="0" w:line="1" w:lineRule="exact"/>
        <w:rPr>
          <w:rFonts w:ascii="Arial" w:cs="Arial" w:eastAsia="Arial" w:hAnsi="Arial"/>
          <w:sz w:val="18"/>
          <w:szCs w:val="18"/>
          <w:color w:val="auto"/>
        </w:rPr>
      </w:pPr>
    </w:p>
    <w:p>
      <w:pPr>
        <w:jc w:val="both"/>
        <w:ind w:left="970" w:hanging="322"/>
        <w:spacing w:after="0" w:line="250" w:lineRule="auto"/>
        <w:tabs>
          <w:tab w:leader="none" w:pos="965" w:val="left"/>
        </w:tabs>
        <w:numPr>
          <w:ilvl w:val="1"/>
          <w:numId w:val="6"/>
        </w:numPr>
        <w:rPr>
          <w:rFonts w:ascii="Arial" w:cs="Arial" w:eastAsia="Arial" w:hAnsi="Arial"/>
          <w:sz w:val="18"/>
          <w:szCs w:val="18"/>
          <w:color w:val="auto"/>
        </w:rPr>
      </w:pPr>
      <w:r>
        <w:rPr>
          <w:rFonts w:ascii="Arial" w:cs="Arial" w:eastAsia="Arial" w:hAnsi="Arial"/>
          <w:sz w:val="18"/>
          <w:szCs w:val="18"/>
          <w:color w:val="auto"/>
        </w:rPr>
        <w:t>Costs related to refinancing, which are excluded because they do not typically occur in the normal course of business and may obscure analysis of trends and financial performance. Additionally, the amount and frequency of these types of charges is not consistent and is significantly impacted by the timing and size of debt financing transactions.</w:t>
      </w:r>
    </w:p>
    <w:p>
      <w:pPr>
        <w:spacing w:after="0" w:line="1" w:lineRule="exact"/>
        <w:rPr>
          <w:rFonts w:ascii="Arial" w:cs="Arial" w:eastAsia="Arial" w:hAnsi="Arial"/>
          <w:sz w:val="18"/>
          <w:szCs w:val="18"/>
          <w:color w:val="auto"/>
        </w:rPr>
      </w:pPr>
    </w:p>
    <w:p>
      <w:pPr>
        <w:jc w:val="both"/>
        <w:ind w:left="970" w:hanging="322"/>
        <w:spacing w:after="0" w:line="255" w:lineRule="auto"/>
        <w:tabs>
          <w:tab w:leader="none" w:pos="965" w:val="left"/>
        </w:tabs>
        <w:numPr>
          <w:ilvl w:val="1"/>
          <w:numId w:val="6"/>
        </w:numPr>
        <w:rPr>
          <w:rFonts w:ascii="Arial" w:cs="Arial" w:eastAsia="Arial" w:hAnsi="Arial"/>
          <w:sz w:val="18"/>
          <w:szCs w:val="18"/>
          <w:color w:val="auto"/>
        </w:rPr>
      </w:pPr>
      <w:r>
        <w:rPr>
          <w:rFonts w:ascii="Arial" w:cs="Arial" w:eastAsia="Arial" w:hAnsi="Arial"/>
          <w:sz w:val="18"/>
          <w:szCs w:val="18"/>
          <w:color w:val="auto"/>
        </w:rPr>
        <w:t>Discontinued operations and other unusual items, which include costs or gains related to discrete projects or transactions and are excluded because they are not comparable from one period to the next and are not part of the ongoing operations of the Company’s underlying business.</w:t>
      </w:r>
    </w:p>
    <w:p>
      <w:pPr>
        <w:spacing w:after="0" w:line="217" w:lineRule="exact"/>
        <w:rPr>
          <w:sz w:val="20"/>
          <w:szCs w:val="20"/>
          <w:color w:val="auto"/>
        </w:rPr>
      </w:pPr>
    </w:p>
    <w:p>
      <w:pPr>
        <w:ind w:left="330"/>
        <w:spacing w:after="0" w:line="277" w:lineRule="auto"/>
        <w:rPr>
          <w:sz w:val="20"/>
          <w:szCs w:val="20"/>
          <w:color w:val="auto"/>
        </w:rPr>
      </w:pPr>
      <w:r>
        <w:rPr>
          <w:rFonts w:ascii="Arial" w:cs="Arial" w:eastAsia="Arial" w:hAnsi="Arial"/>
          <w:sz w:val="18"/>
          <w:szCs w:val="18"/>
          <w:color w:val="auto"/>
        </w:rPr>
        <w:t>The tax effect for each of the items listed above is determined using the tax rate and other tax attributes applicable to the item and the jurisdiction(s) in which the item is recorded.</w:t>
      </w:r>
    </w:p>
    <w:p>
      <w:pPr>
        <w:spacing w:after="0" w:line="200" w:lineRule="exact"/>
        <w:rPr>
          <w:sz w:val="20"/>
          <w:szCs w:val="20"/>
          <w:color w:val="auto"/>
        </w:rPr>
      </w:pPr>
    </w:p>
    <w:p>
      <w:pPr>
        <w:spacing w:after="0" w:line="348" w:lineRule="exact"/>
        <w:rPr>
          <w:sz w:val="20"/>
          <w:szCs w:val="20"/>
          <w:color w:val="auto"/>
        </w:rPr>
      </w:pPr>
    </w:p>
    <w:p>
      <w:pPr>
        <w:jc w:val="center"/>
        <w:ind w:right="15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070"/>
          </w:cols>
          <w:pgMar w:left="490" w:top="117" w:right="339" w:bottom="1440" w:gutter="0" w:footer="0" w:header="0"/>
        </w:sectPr>
      </w:pPr>
    </w:p>
    <w:bookmarkStart w:id="15" w:name="page16"/>
    <w:bookmarkEnd w:id="15"/>
    <w:p>
      <w:pPr>
        <w:jc w:val="center"/>
        <w:ind w:right="480"/>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ind w:left="3520"/>
        <w:spacing w:after="0"/>
        <w:rPr>
          <w:sz w:val="20"/>
          <w:szCs w:val="20"/>
          <w:color w:val="auto"/>
        </w:rPr>
      </w:pPr>
      <w:r>
        <w:rPr>
          <w:rFonts w:ascii="Arial" w:cs="Arial" w:eastAsia="Arial" w:hAnsi="Arial"/>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Definitions of Non-GAAP Financial Measures</w:t>
      </w:r>
    </w:p>
    <w:p>
      <w:pPr>
        <w:spacing w:after="0" w:line="25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reconciliations of non-GAAP disclosure items include the following financial measures that are not calculated in accordance with GAAP and are utilized by management in evaluating the performance of the business, engaging in financial and operational planning, the determination of incentive compensation, and by investors and analysts in evaluating performance of the business:</w:t>
      </w:r>
    </w:p>
    <w:p>
      <w:pPr>
        <w:spacing w:after="0" w:line="207"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Adjusted gross profit</w:t>
      </w:r>
      <w:r>
        <w:rPr>
          <w:rFonts w:ascii="Arial" w:cs="Arial" w:eastAsia="Arial" w:hAnsi="Arial"/>
          <w:sz w:val="18"/>
          <w:szCs w:val="18"/>
          <w:color w:val="auto"/>
        </w:rPr>
        <w:t>: Gross profit excluding impairment, restructuring and other charges / recoveries.</w:t>
      </w:r>
    </w:p>
    <w:p>
      <w:pPr>
        <w:spacing w:after="0" w:line="27" w:lineRule="exact"/>
        <w:rPr>
          <w:sz w:val="20"/>
          <w:szCs w:val="20"/>
          <w:color w:val="auto"/>
        </w:rPr>
      </w:pPr>
    </w:p>
    <w:p>
      <w:pPr>
        <w:ind w:left="320"/>
        <w:spacing w:after="0"/>
        <w:rPr>
          <w:sz w:val="20"/>
          <w:szCs w:val="20"/>
          <w:color w:val="auto"/>
        </w:rPr>
      </w:pPr>
      <w:r>
        <w:rPr>
          <w:rFonts w:ascii="Arial" w:cs="Arial" w:eastAsia="Arial" w:hAnsi="Arial"/>
          <w:sz w:val="16"/>
          <w:szCs w:val="16"/>
          <w:b w:val="1"/>
          <w:bCs w:val="1"/>
          <w:color w:val="auto"/>
        </w:rPr>
        <w:t>Adjusted income (loss) from operations</w:t>
      </w:r>
      <w:r>
        <w:rPr>
          <w:rFonts w:ascii="Arial" w:cs="Arial" w:eastAsia="Arial" w:hAnsi="Arial"/>
          <w:sz w:val="16"/>
          <w:szCs w:val="16"/>
          <w:color w:val="auto"/>
        </w:rPr>
        <w:t>: Income (loss) from operations excluding impairment, restructuring and other charges / recoveries.</w:t>
      </w:r>
    </w:p>
    <w:p>
      <w:pPr>
        <w:spacing w:after="0" w:line="32" w:lineRule="exact"/>
        <w:rPr>
          <w:sz w:val="20"/>
          <w:szCs w:val="20"/>
          <w:color w:val="auto"/>
        </w:rPr>
      </w:pPr>
    </w:p>
    <w:p>
      <w:pPr>
        <w:jc w:val="both"/>
        <w:ind w:left="320" w:right="20"/>
        <w:spacing w:after="0" w:line="250" w:lineRule="auto"/>
        <w:rPr>
          <w:sz w:val="20"/>
          <w:szCs w:val="20"/>
          <w:color w:val="auto"/>
        </w:rPr>
      </w:pPr>
      <w:r>
        <w:rPr>
          <w:rFonts w:ascii="Arial" w:cs="Arial" w:eastAsia="Arial" w:hAnsi="Arial"/>
          <w:sz w:val="18"/>
          <w:szCs w:val="18"/>
          <w:b w:val="1"/>
          <w:bCs w:val="1"/>
          <w:color w:val="auto"/>
        </w:rPr>
        <w:t>Adjusted income (loss) from continuing operations before income taxes</w:t>
      </w:r>
      <w:r>
        <w:rPr>
          <w:rFonts w:ascii="Arial" w:cs="Arial" w:eastAsia="Arial" w:hAnsi="Arial"/>
          <w:sz w:val="18"/>
          <w:szCs w:val="18"/>
          <w:color w:val="auto"/>
        </w:rPr>
        <w:t>: Income (loss) from continuing operations before income taxes</w:t>
      </w:r>
      <w:r>
        <w:rPr>
          <w:rFonts w:ascii="Arial" w:cs="Arial" w:eastAsia="Arial" w:hAnsi="Arial"/>
          <w:sz w:val="18"/>
          <w:szCs w:val="18"/>
          <w:b w:val="1"/>
          <w:bCs w:val="1"/>
          <w:color w:val="auto"/>
        </w:rPr>
        <w:t xml:space="preserve"> </w:t>
      </w:r>
      <w:r>
        <w:rPr>
          <w:rFonts w:ascii="Arial" w:cs="Arial" w:eastAsia="Arial" w:hAnsi="Arial"/>
          <w:sz w:val="18"/>
          <w:szCs w:val="18"/>
          <w:color w:val="auto"/>
        </w:rPr>
        <w:t>excluding impairment, restructuring and other charges / recoveries and costs related to refinancing.</w:t>
      </w:r>
    </w:p>
    <w:p>
      <w:pPr>
        <w:spacing w:after="0" w:line="1" w:lineRule="exact"/>
        <w:rPr>
          <w:sz w:val="20"/>
          <w:szCs w:val="20"/>
          <w:color w:val="auto"/>
        </w:rPr>
      </w:pPr>
    </w:p>
    <w:p>
      <w:pPr>
        <w:jc w:val="both"/>
        <w:ind w:left="320"/>
        <w:spacing w:after="0" w:line="250" w:lineRule="auto"/>
        <w:rPr>
          <w:sz w:val="20"/>
          <w:szCs w:val="20"/>
          <w:color w:val="auto"/>
        </w:rPr>
      </w:pPr>
      <w:r>
        <w:rPr>
          <w:rFonts w:ascii="Arial" w:cs="Arial" w:eastAsia="Arial" w:hAnsi="Arial"/>
          <w:sz w:val="18"/>
          <w:szCs w:val="18"/>
          <w:b w:val="1"/>
          <w:bCs w:val="1"/>
          <w:color w:val="auto"/>
        </w:rPr>
        <w:t>Adjusted income tax expense (benefit) from continuing operations</w:t>
      </w:r>
      <w:r>
        <w:rPr>
          <w:rFonts w:ascii="Arial" w:cs="Arial" w:eastAsia="Arial" w:hAnsi="Arial"/>
          <w:sz w:val="18"/>
          <w:szCs w:val="18"/>
          <w:color w:val="auto"/>
        </w:rPr>
        <w:t>: Income tax expense (benefit) from continuing operations excluding the</w:t>
      </w:r>
      <w:r>
        <w:rPr>
          <w:rFonts w:ascii="Arial" w:cs="Arial" w:eastAsia="Arial" w:hAnsi="Arial"/>
          <w:sz w:val="18"/>
          <w:szCs w:val="18"/>
          <w:b w:val="1"/>
          <w:bCs w:val="1"/>
          <w:color w:val="auto"/>
        </w:rPr>
        <w:t xml:space="preserve"> </w:t>
      </w:r>
      <w:r>
        <w:rPr>
          <w:rFonts w:ascii="Arial" w:cs="Arial" w:eastAsia="Arial" w:hAnsi="Arial"/>
          <w:sz w:val="18"/>
          <w:szCs w:val="18"/>
          <w:color w:val="auto"/>
        </w:rPr>
        <w:t>tax effect of impairment, restructuring and other charges / recoveries and costs related to refinancing.</w:t>
      </w:r>
    </w:p>
    <w:p>
      <w:pPr>
        <w:spacing w:after="0" w:line="1" w:lineRule="exact"/>
        <w:rPr>
          <w:sz w:val="20"/>
          <w:szCs w:val="20"/>
          <w:color w:val="auto"/>
        </w:rPr>
      </w:pPr>
    </w:p>
    <w:p>
      <w:pPr>
        <w:jc w:val="both"/>
        <w:ind w:left="320"/>
        <w:spacing w:after="0" w:line="250" w:lineRule="auto"/>
        <w:rPr>
          <w:sz w:val="20"/>
          <w:szCs w:val="20"/>
          <w:color w:val="auto"/>
        </w:rPr>
      </w:pPr>
      <w:r>
        <w:rPr>
          <w:rFonts w:ascii="Arial" w:cs="Arial" w:eastAsia="Arial" w:hAnsi="Arial"/>
          <w:sz w:val="18"/>
          <w:szCs w:val="18"/>
          <w:b w:val="1"/>
          <w:bCs w:val="1"/>
          <w:color w:val="auto"/>
        </w:rPr>
        <w:t>Adjusted income (loss) from continuing operations</w:t>
      </w:r>
      <w:r>
        <w:rPr>
          <w:rFonts w:ascii="Arial" w:cs="Arial" w:eastAsia="Arial" w:hAnsi="Arial"/>
          <w:sz w:val="18"/>
          <w:szCs w:val="18"/>
          <w:color w:val="auto"/>
        </w:rPr>
        <w:t>: Income (loss) from continuing operations excluding impairment, restructuring and other</w:t>
      </w:r>
      <w:r>
        <w:rPr>
          <w:rFonts w:ascii="Arial" w:cs="Arial" w:eastAsia="Arial" w:hAnsi="Arial"/>
          <w:sz w:val="18"/>
          <w:szCs w:val="18"/>
          <w:b w:val="1"/>
          <w:bCs w:val="1"/>
          <w:color w:val="auto"/>
        </w:rPr>
        <w:t xml:space="preserve"> </w:t>
      </w:r>
      <w:r>
        <w:rPr>
          <w:rFonts w:ascii="Arial" w:cs="Arial" w:eastAsia="Arial" w:hAnsi="Arial"/>
          <w:sz w:val="18"/>
          <w:szCs w:val="18"/>
          <w:color w:val="auto"/>
        </w:rPr>
        <w:t>charges / recoveries and costs related to refinancing, each net of tax.</w:t>
      </w:r>
    </w:p>
    <w:p>
      <w:pPr>
        <w:spacing w:after="0" w:line="1" w:lineRule="exact"/>
        <w:rPr>
          <w:sz w:val="20"/>
          <w:szCs w:val="20"/>
          <w:color w:val="auto"/>
        </w:rPr>
      </w:pPr>
    </w:p>
    <w:p>
      <w:pPr>
        <w:jc w:val="both"/>
        <w:ind w:left="320"/>
        <w:spacing w:after="0" w:line="250" w:lineRule="auto"/>
        <w:rPr>
          <w:sz w:val="20"/>
          <w:szCs w:val="20"/>
          <w:color w:val="auto"/>
        </w:rPr>
      </w:pPr>
      <w:r>
        <w:rPr>
          <w:rFonts w:ascii="Arial" w:cs="Arial" w:eastAsia="Arial" w:hAnsi="Arial"/>
          <w:sz w:val="18"/>
          <w:szCs w:val="18"/>
          <w:b w:val="1"/>
          <w:bCs w:val="1"/>
          <w:color w:val="auto"/>
        </w:rPr>
        <w:t>Adjusted net income (loss) attributable to controlling interest from continuing operations</w:t>
      </w:r>
      <w:r>
        <w:rPr>
          <w:rFonts w:ascii="Arial" w:cs="Arial" w:eastAsia="Arial" w:hAnsi="Arial"/>
          <w:sz w:val="18"/>
          <w:szCs w:val="18"/>
          <w:color w:val="auto"/>
        </w:rPr>
        <w:t>: Net income (loss) attributable to controlling</w:t>
      </w:r>
      <w:r>
        <w:rPr>
          <w:rFonts w:ascii="Arial" w:cs="Arial" w:eastAsia="Arial" w:hAnsi="Arial"/>
          <w:sz w:val="18"/>
          <w:szCs w:val="18"/>
          <w:b w:val="1"/>
          <w:bCs w:val="1"/>
          <w:color w:val="auto"/>
        </w:rPr>
        <w:t xml:space="preserve"> </w:t>
      </w:r>
      <w:r>
        <w:rPr>
          <w:rFonts w:ascii="Arial" w:cs="Arial" w:eastAsia="Arial" w:hAnsi="Arial"/>
          <w:sz w:val="18"/>
          <w:szCs w:val="18"/>
          <w:color w:val="auto"/>
        </w:rPr>
        <w:t>interest excluding impairment, restructuring and other charges / recoveries, costs related to refinancing and discontinued operations, each net of tax.</w:t>
      </w:r>
    </w:p>
    <w:p>
      <w:pPr>
        <w:spacing w:after="0" w:line="1" w:lineRule="exact"/>
        <w:rPr>
          <w:sz w:val="20"/>
          <w:szCs w:val="20"/>
          <w:color w:val="auto"/>
        </w:rPr>
      </w:pPr>
    </w:p>
    <w:p>
      <w:pPr>
        <w:ind w:left="320"/>
        <w:spacing w:after="0" w:line="265" w:lineRule="auto"/>
        <w:rPr>
          <w:sz w:val="20"/>
          <w:szCs w:val="20"/>
          <w:color w:val="auto"/>
        </w:rPr>
      </w:pPr>
      <w:r>
        <w:rPr>
          <w:rFonts w:ascii="Arial" w:cs="Arial" w:eastAsia="Arial" w:hAnsi="Arial"/>
          <w:sz w:val="17"/>
          <w:szCs w:val="17"/>
          <w:b w:val="1"/>
          <w:bCs w:val="1"/>
          <w:color w:val="auto"/>
        </w:rPr>
        <w:t>Adjusted diluted income (loss) per common share from continuing operations</w:t>
      </w:r>
      <w:r>
        <w:rPr>
          <w:rFonts w:ascii="Arial" w:cs="Arial" w:eastAsia="Arial" w:hAnsi="Arial"/>
          <w:sz w:val="17"/>
          <w:szCs w:val="17"/>
          <w:color w:val="auto"/>
        </w:rPr>
        <w:t>: Diluted net income (loss) per common share from</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continuing operations excluding impairment, restructuring and other charges / recoveries and costs related to refinancing, each net of tax. </w:t>
      </w:r>
      <w:r>
        <w:rPr>
          <w:rFonts w:ascii="Arial" w:cs="Arial" w:eastAsia="Arial" w:hAnsi="Arial"/>
          <w:sz w:val="17"/>
          <w:szCs w:val="17"/>
          <w:b w:val="1"/>
          <w:bCs w:val="1"/>
          <w:color w:val="auto"/>
        </w:rPr>
        <w:t>Adjusted EBITDA</w:t>
      </w:r>
      <w:r>
        <w:rPr>
          <w:rFonts w:ascii="Arial" w:cs="Arial" w:eastAsia="Arial" w:hAnsi="Arial"/>
          <w:sz w:val="17"/>
          <w:szCs w:val="17"/>
          <w:color w:val="auto"/>
        </w:rPr>
        <w:t>: Net income (loss) before interest, taxes, depreciation and amortization as well as certain other items such as the impact of</w:t>
      </w:r>
      <w:r>
        <w:rPr>
          <w:rFonts w:ascii="Arial" w:cs="Arial" w:eastAsia="Arial" w:hAnsi="Arial"/>
          <w:sz w:val="17"/>
          <w:szCs w:val="17"/>
          <w:b w:val="1"/>
          <w:bCs w:val="1"/>
          <w:color w:val="auto"/>
        </w:rPr>
        <w:t xml:space="preserve"> </w:t>
      </w:r>
      <w:r>
        <w:rPr>
          <w:rFonts w:ascii="Arial" w:cs="Arial" w:eastAsia="Arial" w:hAnsi="Arial"/>
          <w:sz w:val="17"/>
          <w:szCs w:val="17"/>
          <w:color w:val="auto"/>
        </w:rPr>
        <w:t>the cumulative effect of changes in accounting, costs associated with debt refinancing and other non-recurring or non-cash items affecting net income (loss). The presentation of adjusted EBITDA is intended to be consistent with the calculation of that measure as required by the Company’s borrowing arrangements, and used to calculate a leverage ratio (maximum of 4.50 at September 30, 2021) and an interest coverage ratio (minimum of 3.00 for the twelve months ended September 30, 2021).</w:t>
      </w:r>
    </w:p>
    <w:p>
      <w:pPr>
        <w:spacing w:after="0" w:line="1"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Free cash flow</w:t>
      </w:r>
      <w:r>
        <w:rPr>
          <w:rFonts w:ascii="Arial" w:cs="Arial" w:eastAsia="Arial" w:hAnsi="Arial"/>
          <w:sz w:val="18"/>
          <w:szCs w:val="18"/>
          <w:color w:val="auto"/>
        </w:rPr>
        <w:t>: Net cash provided by (used in) operating activities reduced by investments in property, plant and equipment.</w:t>
      </w:r>
    </w:p>
    <w:p>
      <w:pPr>
        <w:spacing w:after="0" w:line="23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For the three and twelve months ended September 30, 2021, the following items were adjusted, in accordance with the definitions above, to arrive at the non-GAAP financial measures:</w:t>
      </w:r>
    </w:p>
    <w:p>
      <w:pPr>
        <w:spacing w:after="0" w:line="197" w:lineRule="exact"/>
        <w:rPr>
          <w:sz w:val="20"/>
          <w:szCs w:val="20"/>
          <w:color w:val="auto"/>
        </w:rPr>
      </w:pPr>
    </w:p>
    <w:p>
      <w:pPr>
        <w:jc w:val="both"/>
        <w:ind w:left="640" w:hanging="322"/>
        <w:spacing w:after="0" w:line="266" w:lineRule="auto"/>
        <w:tabs>
          <w:tab w:leader="none" w:pos="635" w:val="left"/>
        </w:tabs>
        <w:numPr>
          <w:ilvl w:val="0"/>
          <w:numId w:val="7"/>
        </w:numPr>
        <w:rPr>
          <w:rFonts w:ascii="Arial" w:cs="Arial" w:eastAsia="Arial" w:hAnsi="Arial"/>
          <w:sz w:val="17"/>
          <w:szCs w:val="17"/>
          <w:i w:val="1"/>
          <w:iCs w:val="1"/>
          <w:color w:val="auto"/>
        </w:rPr>
      </w:pPr>
      <w:r>
        <w:rPr>
          <w:rFonts w:ascii="Arial" w:cs="Arial" w:eastAsia="Arial" w:hAnsi="Arial"/>
          <w:sz w:val="17"/>
          <w:szCs w:val="17"/>
          <w:color w:val="auto"/>
        </w:rPr>
        <w:t>The COVID-19 pandemic has had, and continues to have, an impact on financial markets, economic conditions, and portions of the Company’s business and industry. The Company has actively addressed the pandemic’s ongoing impact on its employees, operations, customers, consumers, and communities, by, among other things, implementing contingency plans, making operational adjustments where necessary, and providing assistance to organizations that support front-line workers. During the three and twelve months ended September 30, 2021, the Company incurred costs of $2.5 million and $25.0 million, respectively, in the “Cost of sales—impairment, restructuring and other” line in the Condensed Consolidated Statements of Operations and incurred costs of $0.6 million and $4.2 million, respectively, in the “Impairment, restructuring and other” line in the Condensed Consolidated Statements of Operations associated with the COVID-19 pandemic primarily related to premium pay. These direct and incremental costs were excluded from the Company’s non-GAAP financial measures because they are not comparable from one period to the next and are not expected to be part of the ongoing operations of the Company’s underlying business.</w:t>
      </w:r>
    </w:p>
    <w:p>
      <w:pPr>
        <w:spacing w:after="0" w:line="7" w:lineRule="exact"/>
        <w:rPr>
          <w:rFonts w:ascii="Arial" w:cs="Arial" w:eastAsia="Arial" w:hAnsi="Arial"/>
          <w:sz w:val="17"/>
          <w:szCs w:val="17"/>
          <w:i w:val="1"/>
          <w:iCs w:val="1"/>
          <w:color w:val="auto"/>
        </w:rPr>
      </w:pPr>
    </w:p>
    <w:p>
      <w:pPr>
        <w:jc w:val="both"/>
        <w:ind w:left="640" w:hanging="322"/>
        <w:spacing w:after="0" w:line="268" w:lineRule="auto"/>
        <w:tabs>
          <w:tab w:leader="none" w:pos="635" w:val="left"/>
        </w:tabs>
        <w:numPr>
          <w:ilvl w:val="0"/>
          <w:numId w:val="7"/>
        </w:numPr>
        <w:rPr>
          <w:rFonts w:ascii="Arial" w:cs="Arial" w:eastAsia="Arial" w:hAnsi="Arial"/>
          <w:sz w:val="17"/>
          <w:szCs w:val="17"/>
          <w:i w:val="1"/>
          <w:iCs w:val="1"/>
          <w:color w:val="auto"/>
        </w:rPr>
      </w:pPr>
      <w:r>
        <w:rPr>
          <w:rFonts w:ascii="Arial" w:cs="Arial" w:eastAsia="Arial" w:hAnsi="Arial"/>
          <w:sz w:val="17"/>
          <w:szCs w:val="17"/>
          <w:color w:val="auto"/>
        </w:rPr>
        <w:t>On December 31, 2020, pursuant to the terms of the Contribution and Unit Purchase Agreement between the Company and Alabama Farmers Cooperative, Inc. (“AFC”), the Company acquired a 50% equity interest in the Bonnie Plants business through a newly formed joint venture with AFC (“Bonnie Plants, LLC”) in exchange for a cash payment of $100.7 million, forgiveness of the Company’s outstanding loan receivable with AFC and termination of the Company’s options to increase its economic interest in the Bonnie Plants business. The Company’s loan receivable with AFC, which was previously recognized in the “Other assets” line in the Condensed Consolidated Balance Sheets, had a carrying value of $66.4 million on December 31, 2020 and the Company recognized a gain of $12.5 million during the first quarter of fiscal 2021 to write-up the value of the loan to its closing date fair value in the “Other non-operating income, net” line in the Condensed Consolidated Statements of Operations. The Company’s interest in Bonnie Plants, LLC had an initial fair value of $202.9 million and is recorded in the “Investment in unconsolidated</w:t>
      </w:r>
    </w:p>
    <w:p>
      <w:pPr>
        <w:spacing w:after="0" w:line="200" w:lineRule="exact"/>
        <w:rPr>
          <w:sz w:val="20"/>
          <w:szCs w:val="20"/>
          <w:color w:val="auto"/>
        </w:rPr>
      </w:pPr>
    </w:p>
    <w:p>
      <w:pPr>
        <w:spacing w:after="0" w:line="359"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740"/>
          </w:cols>
          <w:pgMar w:left="820" w:top="117" w:right="339" w:bottom="1440" w:gutter="0" w:footer="0" w:header="0"/>
        </w:sectPr>
      </w:pPr>
    </w:p>
    <w:bookmarkStart w:id="16" w:name="page17"/>
    <w:bookmarkEnd w:id="16"/>
    <w:p>
      <w:pPr>
        <w:jc w:val="center"/>
        <w:ind w:right="480"/>
        <w:spacing w:after="0"/>
        <w:rPr>
          <w:sz w:val="20"/>
          <w:szCs w:val="20"/>
          <w:color w:val="auto"/>
        </w:rPr>
      </w:pPr>
      <w:r>
        <w:rPr>
          <w:rFonts w:ascii="Arial" w:cs="Arial" w:eastAsia="Arial" w:hAnsi="Arial"/>
          <w:sz w:val="25"/>
          <w:szCs w:val="25"/>
          <w:b w:val="1"/>
          <w:bCs w:val="1"/>
          <w:color w:val="auto"/>
        </w:rPr>
        <w:t>THE SCOTTS MIRACLE-GRO COMPANY</w:t>
      </w:r>
    </w:p>
    <w:p>
      <w:pPr>
        <w:spacing w:after="0" w:line="34" w:lineRule="exact"/>
        <w:rPr>
          <w:sz w:val="20"/>
          <w:szCs w:val="20"/>
          <w:color w:val="auto"/>
        </w:rPr>
      </w:pPr>
    </w:p>
    <w:p>
      <w:pPr>
        <w:ind w:left="3520"/>
        <w:spacing w:after="0"/>
        <w:rPr>
          <w:sz w:val="20"/>
          <w:szCs w:val="20"/>
          <w:color w:val="auto"/>
        </w:rPr>
      </w:pPr>
      <w:r>
        <w:rPr>
          <w:rFonts w:ascii="Arial" w:cs="Arial" w:eastAsia="Arial" w:hAnsi="Arial"/>
          <w:sz w:val="18"/>
          <w:szCs w:val="18"/>
          <w:color w:val="auto"/>
        </w:rPr>
        <w:t>Footnotes to Preceding Financial Statements</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both"/>
        <w:ind w:left="640" w:right="20"/>
        <w:spacing w:after="0" w:line="263" w:lineRule="auto"/>
        <w:rPr>
          <w:sz w:val="20"/>
          <w:szCs w:val="20"/>
          <w:color w:val="auto"/>
        </w:rPr>
      </w:pPr>
      <w:r>
        <w:rPr>
          <w:rFonts w:ascii="Arial" w:cs="Arial" w:eastAsia="Arial" w:hAnsi="Arial"/>
          <w:sz w:val="18"/>
          <w:szCs w:val="18"/>
          <w:color w:val="auto"/>
        </w:rPr>
        <w:t>affiliates” line in the Condensed Consolidated Balance Sheets. The Company’s interest is accounted for using the equity method of accounting, with the Company’s proportionate share of Bonnie Plants, LLC earnings subsequent to December 31, 2020 reflected in the Condensed Consolidated Statements of Operations.</w:t>
      </w:r>
    </w:p>
    <w:p>
      <w:pPr>
        <w:spacing w:after="0" w:line="21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For the three and twelve months ended September 30, 2020, the following items were adjusted, in accordance with the definitions above, to arrive at the non-GAAP financial measures:</w:t>
      </w:r>
    </w:p>
    <w:p>
      <w:pPr>
        <w:spacing w:after="0" w:line="197" w:lineRule="exact"/>
        <w:rPr>
          <w:sz w:val="20"/>
          <w:szCs w:val="20"/>
          <w:color w:val="auto"/>
        </w:rPr>
      </w:pPr>
    </w:p>
    <w:p>
      <w:pPr>
        <w:jc w:val="both"/>
        <w:ind w:left="640" w:hanging="322"/>
        <w:spacing w:after="0" w:line="253" w:lineRule="auto"/>
        <w:tabs>
          <w:tab w:leader="none" w:pos="635" w:val="left"/>
        </w:tabs>
        <w:numPr>
          <w:ilvl w:val="0"/>
          <w:numId w:val="8"/>
        </w:numPr>
        <w:rPr>
          <w:rFonts w:ascii="Arial" w:cs="Arial" w:eastAsia="Arial" w:hAnsi="Arial"/>
          <w:sz w:val="18"/>
          <w:szCs w:val="18"/>
          <w:i w:val="1"/>
          <w:iCs w:val="1"/>
          <w:color w:val="auto"/>
        </w:rPr>
      </w:pPr>
      <w:r>
        <w:rPr>
          <w:rFonts w:ascii="Arial" w:cs="Arial" w:eastAsia="Arial" w:hAnsi="Arial"/>
          <w:sz w:val="18"/>
          <w:szCs w:val="18"/>
          <w:color w:val="auto"/>
        </w:rPr>
        <w:t>Costs associated with the COVID-19 pandemic during the three months ended September 30, 2020 were not material. During the twelve months ended September 30, 2020, the Company incurred costs of $15.5 million in the “Cost of sales—impairment, restructuring and other” line in the Condensed Consolidated Statements of Operations and incurred costs of $3.9 million in the “Impairment, restructuring and other” line in the Condensed Consolidated Statements of Operations associated with the COVID-19 pandemic primarily related to premium pay.</w:t>
      </w:r>
    </w:p>
    <w:p>
      <w:pPr>
        <w:spacing w:after="0" w:line="3" w:lineRule="exact"/>
        <w:rPr>
          <w:rFonts w:ascii="Arial" w:cs="Arial" w:eastAsia="Arial" w:hAnsi="Arial"/>
          <w:sz w:val="18"/>
          <w:szCs w:val="18"/>
          <w:i w:val="1"/>
          <w:iCs w:val="1"/>
          <w:color w:val="auto"/>
        </w:rPr>
      </w:pPr>
    </w:p>
    <w:p>
      <w:pPr>
        <w:jc w:val="both"/>
        <w:ind w:left="640" w:hanging="322"/>
        <w:spacing w:after="0" w:line="250"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During the three and twelve months ended September 30, 2020, the Company received zero and $2.6 million, respectively, from the final settlement of escrow funds related to a previous Hawthorne acquisition that was recognized in the “Impairment, restructuring and other” line in the Condensed Consolidated Statements of Operations.</w:t>
      </w:r>
    </w:p>
    <w:p>
      <w:pPr>
        <w:spacing w:after="0" w:line="1" w:lineRule="exact"/>
        <w:rPr>
          <w:rFonts w:ascii="Arial" w:cs="Arial" w:eastAsia="Arial" w:hAnsi="Arial"/>
          <w:sz w:val="18"/>
          <w:szCs w:val="18"/>
          <w:color w:val="auto"/>
        </w:rPr>
      </w:pPr>
    </w:p>
    <w:p>
      <w:pPr>
        <w:jc w:val="both"/>
        <w:ind w:left="640" w:hanging="322"/>
        <w:spacing w:after="0" w:line="265" w:lineRule="auto"/>
        <w:tabs>
          <w:tab w:leader="none" w:pos="635" w:val="left"/>
        </w:tabs>
        <w:numPr>
          <w:ilvl w:val="0"/>
          <w:numId w:val="8"/>
        </w:numPr>
        <w:rPr>
          <w:rFonts w:ascii="Arial" w:cs="Arial" w:eastAsia="Arial" w:hAnsi="Arial"/>
          <w:sz w:val="17"/>
          <w:szCs w:val="17"/>
          <w:color w:val="auto"/>
        </w:rPr>
      </w:pPr>
      <w:r>
        <w:rPr>
          <w:rFonts w:ascii="Arial" w:cs="Arial" w:eastAsia="Arial" w:hAnsi="Arial"/>
          <w:sz w:val="17"/>
          <w:szCs w:val="17"/>
          <w:color w:val="auto"/>
        </w:rPr>
        <w:t>On October 23, 2019, the Company redeemed all of its outstanding 6.000% Senior Notes for a redemption price of $412.5 million, comprised of $0.5 million of accrued and unpaid interest, $12.0 million of redemption premium, and $400.0 million for outstanding principal amount. The $12.0 million redemption premium was recognized in the “Costs related to refinancing” line in the Condensed Consolidated Statements of Operations during the first quarter of fiscal 2020. Additionally, the Company had $3.1 million in unamortized bond issuance costs associated with the 6.000% Senior Notes, which were written-off during the first quarter of fiscal 2020 and were recognized in the “Costs related to refinancing” line in the Condensed Consolidated Statements of Operations.</w:t>
      </w:r>
    </w:p>
    <w:p>
      <w:pPr>
        <w:jc w:val="both"/>
        <w:ind w:left="640" w:hanging="322"/>
        <w:spacing w:after="0" w:line="255" w:lineRule="auto"/>
        <w:tabs>
          <w:tab w:leader="none" w:pos="635"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The Company recognized insurance recoveries of zero and $1.5 million related to the previously disclosed legal matter </w:t>
      </w:r>
      <w:r>
        <w:rPr>
          <w:rFonts w:ascii="Arial" w:cs="Arial" w:eastAsia="Arial" w:hAnsi="Arial"/>
          <w:sz w:val="18"/>
          <w:szCs w:val="18"/>
          <w:i w:val="1"/>
          <w:iCs w:val="1"/>
          <w:color w:val="auto"/>
        </w:rPr>
        <w:t>In re Morning Song</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Bird Food Litigation </w:t>
      </w:r>
      <w:r>
        <w:rPr>
          <w:rFonts w:ascii="Arial" w:cs="Arial" w:eastAsia="Arial" w:hAnsi="Arial"/>
          <w:sz w:val="18"/>
          <w:szCs w:val="18"/>
          <w:color w:val="auto"/>
        </w:rPr>
        <w:t>during the three and twelve months ended September 30, 2020, respectively, in the “Income (loss) from discontinued</w:t>
      </w:r>
      <w:r>
        <w:rPr>
          <w:rFonts w:ascii="Arial" w:cs="Arial" w:eastAsia="Arial" w:hAnsi="Arial"/>
          <w:sz w:val="18"/>
          <w:szCs w:val="18"/>
          <w:i w:val="1"/>
          <w:iCs w:val="1"/>
          <w:color w:val="auto"/>
        </w:rPr>
        <w:t xml:space="preserve"> </w:t>
      </w:r>
      <w:r>
        <w:rPr>
          <w:rFonts w:ascii="Arial" w:cs="Arial" w:eastAsia="Arial" w:hAnsi="Arial"/>
          <w:sz w:val="18"/>
          <w:szCs w:val="18"/>
          <w:color w:val="auto"/>
        </w:rPr>
        <w:t>operations, net of tax” line in the Condensed Consolidated Statements of Operations.</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Forward Looking Non-GAAP Measures</w:t>
      </w:r>
    </w:p>
    <w:p>
      <w:pPr>
        <w:spacing w:after="0" w:line="23"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In this earnings release, the Company presents its outlook for fiscal 2022 non-GAAP adjusted EPS. The Company does not provide a GAAP EPS outlook, which is the most directly comparable GAAP measure to non-GAAP adjusted EPS, because changes in the items that the Company excludes from GAAP EPS to calculate non-GAAP adjusted EPS, described above, can be dependent on future events that are less capable of being controlled or reliably predicted by management and are not part of the Company’s routine operating activities. Additionally, due to their unpredictability, management does not forecast the excluded items for internal use and therefore cannot create or rely on a GAAP EPS outlook without unreasonable efforts. The timing and amount of any of the excluded items could significantly impact the Company’s GAAP EPS. As a result, the Company does not provide a reconciliation of guidance for non-GAAP adjusted EPS to GAAP EPS, in reliance on the unreasonable efforts exception provided under Item 10(e)(1)(i)(B) of Regulation S-K.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13</w:t>
      </w:r>
    </w:p>
    <w:sectPr>
      <w:pgSz w:w="11900" w:h="16838" w:orient="portrait"/>
      <w:cols w:equalWidth="0" w:num="1">
        <w:col w:w="10740"/>
      </w:cols>
      <w:pgMar w:left="8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
      <w:numFmt w:val="bullet"/>
      <w:start w:val="1"/>
    </w:lvl>
  </w:abstractNum>
  <w:abstractNum w:abstractNumId="1">
    <w:nsid w:val="46E87CCD"/>
    <w:multiLevelType w:val="hybridMultilevel"/>
    <w:lvl w:ilvl="0">
      <w:lvlJc w:val="left"/>
      <w:lvlText w:val="(%1)"/>
      <w:numFmt w:val="lowerLetter"/>
      <w:start w:val="1"/>
    </w:lvl>
  </w:abstractNum>
  <w:abstractNum w:abstractNumId="2">
    <w:nsid w:val="3D1B58BA"/>
    <w:multiLevelType w:val="hybridMultilevel"/>
    <w:lvl w:ilvl="0">
      <w:lvlJc w:val="left"/>
      <w:lvlText w:val="(%1)"/>
      <w:numFmt w:val="lowerLetter"/>
      <w:start w:val="3"/>
    </w:lvl>
  </w:abstractNum>
  <w:abstractNum w:abstractNumId="3">
    <w:nsid w:val="507ED7AB"/>
    <w:multiLevelType w:val="hybridMultilevel"/>
    <w:lvl w:ilvl="0">
      <w:lvlJc w:val="left"/>
      <w:lvlText w:val="•"/>
      <w:numFmt w:val="bullet"/>
      <w:start w:val="1"/>
    </w:lvl>
  </w:abstractNum>
  <w:abstractNum w:abstractNumId="4">
    <w:nsid w:val="2EB141F2"/>
    <w:multiLevelType w:val="hybridMultilevel"/>
    <w:lvl w:ilvl="0">
      <w:lvlJc w:val="left"/>
      <w:lvlText w:val="•"/>
      <w:numFmt w:val="bullet"/>
      <w:start w:val="1"/>
    </w:lvl>
  </w:abstractNum>
  <w:abstractNum w:abstractNumId="5">
    <w:nsid w:val="41B71EFB"/>
    <w:multiLevelType w:val="hybridMultilevel"/>
    <w:lvl w:ilvl="0">
      <w:lvlJc w:val="left"/>
      <w:lvlText w:val="(%1)"/>
      <w:numFmt w:val="decimal"/>
      <w:start w:val="1"/>
    </w:lvl>
    <w:lvl w:ilvl="1">
      <w:lvlJc w:val="left"/>
      <w:lvlText w:val="•"/>
      <w:numFmt w:val="bullet"/>
      <w:start w:val="1"/>
    </w:lvl>
  </w:abstractNum>
  <w:abstractNum w:abstractNumId="6">
    <w:nsid w:val="79E2A9E3"/>
    <w:multiLevelType w:val="hybridMultilevel"/>
    <w:lvl w:ilvl="0">
      <w:lvlJc w:val="left"/>
      <w:lvlText w:val="•"/>
      <w:numFmt w:val="bullet"/>
      <w:start w:val="1"/>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2021-11-03T06:40:33Z</dcterms:created>
  <dcterms:modified xsi:type="dcterms:W3CDTF">2021-11-03T06:40:33Z</dcterms:modified>
</cp:coreProperties>
</file>