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42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ind w:left="4120"/>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460" w:right="3000"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QUARTERLY PERIOD ENDED APRIL 3, 2010</w:t>
      </w:r>
    </w:p>
    <w:p>
      <w:pPr>
        <w:spacing w:after="0" w:line="198"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2980"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1460"/>
        <w:spacing w:after="0"/>
        <w:tabs>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-7620</wp:posOffset>
            </wp:positionV>
            <wp:extent cx="1363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6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COMMISSION FILE NUMBER: 1-11593</w:t>
      </w:r>
    </w:p>
    <w:p>
      <w:pPr>
        <w:spacing w:after="0" w:line="173" w:lineRule="exact"/>
        <w:rPr>
          <w:sz w:val="20"/>
          <w:szCs w:val="20"/>
          <w:color w:val="auto"/>
        </w:rPr>
      </w:pPr>
    </w:p>
    <w:p>
      <w:pPr>
        <w:jc w:val="center"/>
        <w:ind w:right="1420"/>
        <w:spacing w:after="0"/>
        <w:rPr>
          <w:sz w:val="20"/>
          <w:szCs w:val="20"/>
          <w:color w:val="auto"/>
        </w:rPr>
      </w:pPr>
      <w:r>
        <w:rPr>
          <w:rFonts w:ascii="Arial" w:cs="Arial" w:eastAsia="Arial" w:hAnsi="Arial"/>
          <w:sz w:val="43"/>
          <w:szCs w:val="43"/>
          <w:b w:val="1"/>
          <w:bCs w:val="1"/>
          <w:color w:val="auto"/>
        </w:rPr>
        <w:t>THE SCOTTS MIRACLE-GRO COMPANY</w:t>
      </w:r>
    </w:p>
    <w:p>
      <w:pPr>
        <w:spacing w:after="0" w:line="50"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9"/>
              </w:rPr>
              <w:t>OHIO</w:t>
            </w:r>
          </w:p>
        </w:tc>
        <w:tc>
          <w:tcPr>
            <w:tcW w:w="2740" w:type="dxa"/>
            <w:vAlign w:val="bottom"/>
          </w:tcPr>
          <w:p>
            <w:pPr>
              <w:jc w:val="right"/>
              <w:ind w:right="150"/>
              <w:spacing w:after="0"/>
              <w:rPr>
                <w:sz w:val="20"/>
                <w:szCs w:val="20"/>
                <w:color w:val="auto"/>
              </w:rPr>
            </w:pPr>
            <w:r>
              <w:rPr>
                <w:rFonts w:ascii="Arial" w:cs="Arial" w:eastAsia="Arial" w:hAnsi="Arial"/>
                <w:sz w:val="18"/>
                <w:szCs w:val="18"/>
                <w:color w:val="auto"/>
              </w:rPr>
              <w:t>31-1414921</w:t>
            </w:r>
          </w:p>
        </w:tc>
      </w:tr>
      <w:tr>
        <w:trPr>
          <w:trHeight w:val="216"/>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3"/>
              </w:rPr>
              <w:t>(State or other jurisdiction of</w:t>
            </w:r>
          </w:p>
        </w:tc>
        <w:tc>
          <w:tcPr>
            <w:tcW w:w="2740" w:type="dxa"/>
            <w:vAlign w:val="bottom"/>
          </w:tcPr>
          <w:p>
            <w:pPr>
              <w:jc w:val="center"/>
              <w:ind w:left="1290"/>
              <w:spacing w:after="0"/>
              <w:rPr>
                <w:sz w:val="20"/>
                <w:szCs w:val="20"/>
                <w:color w:val="auto"/>
              </w:rPr>
            </w:pPr>
            <w:r>
              <w:rPr>
                <w:rFonts w:ascii="Arial" w:cs="Arial" w:eastAsia="Arial" w:hAnsi="Arial"/>
                <w:sz w:val="18"/>
                <w:szCs w:val="18"/>
                <w:color w:val="auto"/>
                <w:w w:val="93"/>
              </w:rPr>
              <w:t>(I.R.S. Employer</w:t>
            </w:r>
          </w:p>
        </w:tc>
      </w:tr>
      <w:tr>
        <w:trPr>
          <w:trHeight w:val="230"/>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3"/>
              </w:rPr>
              <w:t>incorporation or organization)</w:t>
            </w: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260" w:type="dxa"/>
            <w:vAlign w:val="bottom"/>
          </w:tcPr>
          <w:p>
            <w:pPr>
              <w:jc w:val="center"/>
              <w:ind w:right="1370"/>
              <w:spacing w:after="0"/>
              <w:rPr>
                <w:sz w:val="20"/>
                <w:szCs w:val="20"/>
                <w:color w:val="auto"/>
              </w:rPr>
            </w:pPr>
            <w:r>
              <w:rPr>
                <w:rFonts w:ascii="Arial" w:cs="Arial" w:eastAsia="Arial" w:hAnsi="Arial"/>
                <w:sz w:val="18"/>
                <w:szCs w:val="18"/>
                <w:color w:val="auto"/>
                <w:w w:val="94"/>
              </w:rPr>
              <w:t>14111 SCOTTSLAWN ROAD,</w:t>
            </w:r>
          </w:p>
        </w:tc>
        <w:tc>
          <w:tcPr>
            <w:tcW w:w="2740" w:type="dxa"/>
            <w:vAlign w:val="bottom"/>
          </w:tcPr>
          <w:p>
            <w:pPr>
              <w:spacing w:after="0"/>
              <w:rPr>
                <w:sz w:val="24"/>
                <w:szCs w:val="24"/>
                <w:color w:val="auto"/>
              </w:rPr>
            </w:pPr>
          </w:p>
        </w:tc>
      </w:tr>
      <w:tr>
        <w:trPr>
          <w:trHeight w:val="216"/>
        </w:trPr>
        <w:tc>
          <w:tcPr>
            <w:tcW w:w="4260" w:type="dxa"/>
            <w:vAlign w:val="bottom"/>
          </w:tcPr>
          <w:p>
            <w:pPr>
              <w:jc w:val="center"/>
              <w:ind w:right="1310"/>
              <w:spacing w:after="0"/>
              <w:rPr>
                <w:sz w:val="20"/>
                <w:szCs w:val="20"/>
                <w:color w:val="auto"/>
              </w:rPr>
            </w:pPr>
            <w:r>
              <w:rPr>
                <w:rFonts w:ascii="Arial" w:cs="Arial" w:eastAsia="Arial" w:hAnsi="Arial"/>
                <w:sz w:val="18"/>
                <w:szCs w:val="18"/>
                <w:color w:val="auto"/>
              </w:rPr>
              <w:t>MARYSVILLE, OHIO</w:t>
            </w:r>
          </w:p>
        </w:tc>
        <w:tc>
          <w:tcPr>
            <w:tcW w:w="2740" w:type="dxa"/>
            <w:vAlign w:val="bottom"/>
          </w:tcPr>
          <w:p>
            <w:pPr>
              <w:jc w:val="right"/>
              <w:ind w:right="370"/>
              <w:spacing w:after="0"/>
              <w:rPr>
                <w:sz w:val="20"/>
                <w:szCs w:val="20"/>
                <w:color w:val="auto"/>
              </w:rPr>
            </w:pPr>
            <w:r>
              <w:rPr>
                <w:rFonts w:ascii="Arial" w:cs="Arial" w:eastAsia="Arial" w:hAnsi="Arial"/>
                <w:sz w:val="18"/>
                <w:szCs w:val="18"/>
                <w:color w:val="auto"/>
              </w:rPr>
              <w:t>43041</w:t>
            </w:r>
          </w:p>
        </w:tc>
      </w:tr>
      <w:tr>
        <w:trPr>
          <w:trHeight w:val="230"/>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2"/>
              </w:rPr>
              <w:t>(Address of principal executive offices)</w:t>
            </w:r>
          </w:p>
        </w:tc>
        <w:tc>
          <w:tcPr>
            <w:tcW w:w="2740" w:type="dxa"/>
            <w:vAlign w:val="bottom"/>
          </w:tcPr>
          <w:p>
            <w:pPr>
              <w:jc w:val="center"/>
              <w:ind w:left="1290"/>
              <w:spacing w:after="0"/>
              <w:rPr>
                <w:sz w:val="20"/>
                <w:szCs w:val="20"/>
                <w:color w:val="auto"/>
              </w:rPr>
            </w:pPr>
            <w:r>
              <w:rPr>
                <w:rFonts w:ascii="Arial" w:cs="Arial" w:eastAsia="Arial" w:hAnsi="Arial"/>
                <w:sz w:val="18"/>
                <w:szCs w:val="18"/>
                <w:color w:val="auto"/>
                <w:w w:val="94"/>
              </w:rPr>
              <w:t>(Zip Code)</w:t>
            </w:r>
          </w:p>
        </w:tc>
      </w:tr>
    </w:tbl>
    <w:p>
      <w:pPr>
        <w:spacing w:after="0" w:line="161"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(937) 644-0011</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NO CHANGE</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84" w:lineRule="exact"/>
        <w:rPr>
          <w:sz w:val="20"/>
          <w:szCs w:val="20"/>
          <w:color w:val="auto"/>
        </w:rPr>
      </w:pPr>
    </w:p>
    <w:p>
      <w:pPr>
        <w:jc w:val="both"/>
        <w:ind w:left="340" w:right="1760"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1760" w:firstLine="373"/>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46" w:lineRule="exact"/>
        <w:rPr>
          <w:sz w:val="20"/>
          <w:szCs w:val="20"/>
          <w:color w:val="auto"/>
        </w:rPr>
      </w:pPr>
    </w:p>
    <w:p>
      <w:pPr>
        <w:jc w:val="both"/>
        <w:ind w:left="340" w:right="1760" w:firstLine="37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1700" w:type="dxa"/>
            <w:vAlign w:val="bottom"/>
          </w:tcPr>
          <w:p>
            <w:pPr>
              <w:ind w:left="200"/>
              <w:spacing w:after="0"/>
              <w:rPr>
                <w:sz w:val="20"/>
                <w:szCs w:val="20"/>
                <w:color w:val="auto"/>
              </w:rPr>
            </w:pPr>
            <w:r>
              <w:rPr>
                <w:rFonts w:ascii="Arial" w:cs="Arial" w:eastAsia="Arial" w:hAnsi="Arial"/>
                <w:sz w:val="18"/>
                <w:szCs w:val="18"/>
                <w:color w:val="auto"/>
              </w:rPr>
              <w:t>Accelerated filer o</w:t>
            </w:r>
          </w:p>
        </w:tc>
        <w:tc>
          <w:tcPr>
            <w:tcW w:w="3640" w:type="dxa"/>
            <w:vAlign w:val="bottom"/>
          </w:tcPr>
          <w:p>
            <w:pPr>
              <w:jc w:val="center"/>
              <w:ind w:left="10"/>
              <w:spacing w:after="0"/>
              <w:rPr>
                <w:sz w:val="20"/>
                <w:szCs w:val="20"/>
                <w:color w:val="auto"/>
              </w:rPr>
            </w:pPr>
            <w:r>
              <w:rPr>
                <w:rFonts w:ascii="Arial" w:cs="Arial" w:eastAsia="Arial" w:hAnsi="Arial"/>
                <w:sz w:val="18"/>
                <w:szCs w:val="18"/>
                <w:color w:val="auto"/>
                <w:w w:val="91"/>
              </w:rPr>
              <w:t>Non-accelerated filer o</w:t>
            </w:r>
          </w:p>
        </w:tc>
        <w:tc>
          <w:tcPr>
            <w:tcW w:w="2200" w:type="dxa"/>
            <w:vAlign w:val="bottom"/>
          </w:tcPr>
          <w:p>
            <w:pPr>
              <w:ind w:left="100"/>
              <w:spacing w:after="0"/>
              <w:rPr>
                <w:sz w:val="20"/>
                <w:szCs w:val="20"/>
                <w:color w:val="auto"/>
              </w:rPr>
            </w:pPr>
            <w:r>
              <w:rPr>
                <w:rFonts w:ascii="Arial" w:cs="Arial" w:eastAsia="Arial" w:hAnsi="Arial"/>
                <w:sz w:val="18"/>
                <w:szCs w:val="18"/>
                <w:color w:val="auto"/>
                <w:w w:val="90"/>
              </w:rPr>
              <w:t>Smaller reporting company o</w:t>
            </w:r>
          </w:p>
        </w:tc>
        <w:tc>
          <w:tcPr>
            <w:tcW w:w="0" w:type="dxa"/>
            <w:vAlign w:val="bottom"/>
          </w:tcPr>
          <w:p>
            <w:pPr>
              <w:spacing w:after="0"/>
              <w:rPr>
                <w:sz w:val="1"/>
                <w:szCs w:val="1"/>
                <w:color w:val="auto"/>
              </w:rPr>
            </w:pPr>
          </w:p>
        </w:tc>
      </w:tr>
      <w:tr>
        <w:trPr>
          <w:trHeight w:val="283"/>
        </w:trPr>
        <w:tc>
          <w:tcPr>
            <w:tcW w:w="17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70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92"/>
              </w:rPr>
              <w:t>(Do not check if a smaller reporting company)</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4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1760" w:firstLine="373"/>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 at May 10, 2010</w:t>
            </w:r>
          </w:p>
        </w:tc>
        <w:tc>
          <w:tcPr>
            <w:tcW w:w="176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Common Shares, $0.01 stated value, no par value</w:t>
            </w:r>
          </w:p>
        </w:tc>
        <w:tc>
          <w:tcPr>
            <w:tcW w:w="4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88"/>
              </w:rPr>
              <w:t>66,871,934 common shares</w:t>
            </w:r>
          </w:p>
        </w:tc>
        <w:tc>
          <w:tcPr>
            <w:tcW w:w="1760" w:type="dxa"/>
            <w:vAlign w:val="bottom"/>
          </w:tcPr>
          <w:p>
            <w:pPr>
              <w:spacing w:after="0"/>
              <w:rPr>
                <w:sz w:val="19"/>
                <w:szCs w:val="19"/>
                <w:color w:val="auto"/>
              </w:rPr>
            </w:pPr>
          </w:p>
        </w:tc>
      </w:tr>
      <w:tr>
        <w:trPr>
          <w:trHeight w:val="236"/>
        </w:trPr>
        <w:tc>
          <w:tcPr>
            <w:tcW w:w="34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c>
          <w:tcPr>
            <w:tcW w:w="17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492"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8"/>
          </w:tcPr>
          <w:p>
            <w:pPr>
              <w:jc w:val="center"/>
              <w:ind w:right="1820"/>
              <w:spacing w:after="0"/>
              <w:rPr>
                <w:sz w:val="20"/>
                <w:szCs w:val="20"/>
                <w:color w:val="auto"/>
              </w:rPr>
            </w:pPr>
            <w:r>
              <w:rPr>
                <w:rFonts w:ascii="Arial" w:cs="Arial" w:eastAsia="Arial" w:hAnsi="Arial"/>
                <w:sz w:val="18"/>
                <w:szCs w:val="18"/>
                <w:color w:val="auto"/>
                <w:w w:val="95"/>
              </w:rPr>
              <w:t>THE SCOTTS MIRACLE-GRO COMPANY</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80" w:type="dxa"/>
            <w:vAlign w:val="bottom"/>
            <w:gridSpan w:val="7"/>
          </w:tcPr>
          <w:p>
            <w:pPr>
              <w:jc w:val="center"/>
              <w:ind w:right="3140"/>
              <w:spacing w:after="0"/>
              <w:rPr>
                <w:sz w:val="20"/>
                <w:szCs w:val="20"/>
                <w:color w:val="auto"/>
              </w:rPr>
            </w:pPr>
            <w:r>
              <w:rPr>
                <w:rFonts w:ascii="Arial" w:cs="Arial" w:eastAsia="Arial" w:hAnsi="Arial"/>
                <w:sz w:val="18"/>
                <w:szCs w:val="18"/>
                <w:color w:val="auto"/>
              </w:rPr>
              <w:t>INDEX</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20" w:type="dxa"/>
            <w:vAlign w:val="bottom"/>
            <w:gridSpan w:val="23"/>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69"/>
        </w:trPr>
        <w:tc>
          <w:tcPr>
            <w:tcW w:w="8220" w:type="dxa"/>
            <w:vAlign w:val="bottom"/>
            <w:gridSpan w:val="23"/>
            <w:vMerge w:val="continue"/>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860" w:type="dxa"/>
            <w:vAlign w:val="bottom"/>
            <w:tcBorders>
              <w:top w:val="single" w:sz="8" w:color="0000EE"/>
            </w:tcBorders>
            <w:gridSpan w:val="3"/>
          </w:tcPr>
          <w:p>
            <w:pPr>
              <w:spacing w:after="0"/>
              <w:rPr>
                <w:sz w:val="24"/>
                <w:szCs w:val="24"/>
                <w:color w:val="auto"/>
              </w:rPr>
            </w:pPr>
          </w:p>
        </w:tc>
        <w:tc>
          <w:tcPr>
            <w:tcW w:w="5300" w:type="dxa"/>
            <w:vAlign w:val="bottom"/>
            <w:gridSpan w:val="8"/>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 Three and six months ended April 3, 2010 and</w:t>
              </w:r>
            </w:hyperlink>
          </w:p>
        </w:tc>
        <w:tc>
          <w:tcPr>
            <w:tcW w:w="70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March 28, 2009</w:t>
              </w:r>
            </w:hyperlink>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2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Cash Flows — Six months ended April 3, 2010 and March 28,</w:t>
              </w:r>
            </w:hyperlink>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gridSpan w:val="4"/>
          </w:tcPr>
          <w:p>
            <w:pPr>
              <w:ind w:left="40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2009</w:t>
              </w:r>
            </w:hyperlink>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Balance Sheets — April 3, 2010, March 28, 2009 and September 30, 2009</w:t>
              </w:r>
            </w:hyperlink>
          </w:p>
        </w:tc>
        <w:tc>
          <w:tcPr>
            <w:tcW w:w="780" w:type="dxa"/>
            <w:vAlign w:val="bottom"/>
            <w:gridSpan w:val="3"/>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980" w:type="dxa"/>
            <w:vAlign w:val="bottom"/>
            <w:gridSpan w:val="7"/>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8220" w:type="dxa"/>
            <w:vAlign w:val="bottom"/>
            <w:gridSpan w:val="2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 Management’s Discussion and Analysis of Financial Condition and Results of Operations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48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1220" w:type="dxa"/>
            <w:vAlign w:val="bottom"/>
            <w:gridSpan w:val="4"/>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2"/>
        </w:trPr>
        <w:tc>
          <w:tcPr>
            <w:tcW w:w="23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Item 4. Controls and Procedures</w:t>
              </w:r>
            </w:hyperlink>
          </w:p>
        </w:tc>
        <w:tc>
          <w:tcPr>
            <w:tcW w:w="5900" w:type="dxa"/>
            <w:vAlign w:val="bottom"/>
            <w:gridSpan w:val="10"/>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2"/>
        </w:trPr>
        <w:tc>
          <w:tcPr>
            <w:tcW w:w="262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PART II. OTHER INFORMATION:</w:t>
              </w:r>
            </w:hyperlink>
          </w:p>
        </w:tc>
        <w:tc>
          <w:tcPr>
            <w:tcW w:w="5600" w:type="dxa"/>
            <w:vAlign w:val="bottom"/>
            <w:gridSpan w:val="9"/>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20" w:type="dxa"/>
            <w:vAlign w:val="bottom"/>
            <w:gridSpan w:val="2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 Legal Proceedings</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tcBorders>
            <w:gridSpan w:val="1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1A. Risk Factors</w:t>
              </w:r>
            </w:hyperlink>
          </w:p>
        </w:tc>
        <w:tc>
          <w:tcPr>
            <w:tcW w:w="6340" w:type="dxa"/>
            <w:vAlign w:val="bottom"/>
            <w:gridSpan w:val="12"/>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Item 2. Unregistered Sales of Equity Securities and Use of Proceeds</w:t>
              </w:r>
            </w:hyperlink>
          </w:p>
        </w:tc>
        <w:tc>
          <w:tcPr>
            <w:tcW w:w="3320" w:type="dxa"/>
            <w:vAlign w:val="bottom"/>
            <w:gridSpan w:val="5"/>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2"/>
        </w:trPr>
        <w:tc>
          <w:tcPr>
            <w:tcW w:w="8220" w:type="dxa"/>
            <w:vAlign w:val="bottom"/>
            <w:gridSpan w:val="2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5. Other Information</w:t>
              </w:r>
            </w:hyperlink>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2"/>
        </w:trPr>
        <w:tc>
          <w:tcPr>
            <w:tcW w:w="1860" w:type="dxa"/>
            <w:vAlign w:val="bottom"/>
            <w:tcBorders>
              <w:top w:val="single" w:sz="8" w:color="0000EE"/>
            </w:tcBorders>
            <w:gridSpan w:val="1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6. Exhibits</w:t>
              </w:r>
            </w:hyperlink>
          </w:p>
        </w:tc>
        <w:tc>
          <w:tcPr>
            <w:tcW w:w="6360" w:type="dxa"/>
            <w:vAlign w:val="bottom"/>
            <w:gridSpan w:val="13"/>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7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47">
              <w:r>
                <w:rPr>
                  <w:rFonts w:ascii="Arial" w:cs="Arial" w:eastAsia="Arial" w:hAnsi="Arial"/>
                  <w:sz w:val="18"/>
                  <w:szCs w:val="18"/>
                  <w:color w:val="0000EE"/>
                  <w:w w:val="85"/>
                </w:rPr>
                <w:t>Signatures</w:t>
              </w:r>
            </w:hyperlink>
          </w:p>
        </w:tc>
        <w:tc>
          <w:tcPr>
            <w:tcW w:w="360" w:type="dxa"/>
            <w:vAlign w:val="bottom"/>
            <w:tcBorders>
              <w:top w:val="single" w:sz="8" w:color="0000EE"/>
            </w:tcBorders>
            <w:gridSpan w:val="2"/>
          </w:tcPr>
          <w:p>
            <w:pPr>
              <w:spacing w:after="0"/>
              <w:rPr>
                <w:sz w:val="24"/>
                <w:szCs w:val="24"/>
                <w:color w:val="auto"/>
              </w:rPr>
            </w:pPr>
          </w:p>
        </w:tc>
        <w:tc>
          <w:tcPr>
            <w:tcW w:w="7080" w:type="dxa"/>
            <w:vAlign w:val="bottom"/>
            <w:gridSpan w:val="17"/>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12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Index to Exhibits</w:t>
            </w:r>
          </w:p>
        </w:tc>
        <w:tc>
          <w:tcPr>
            <w:tcW w:w="6980" w:type="dxa"/>
            <w:vAlign w:val="bottom"/>
            <w:gridSpan w:val="16"/>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Arial" w:cs="Arial" w:eastAsia="Arial" w:hAnsi="Arial"/>
                <w:sz w:val="18"/>
                <w:szCs w:val="18"/>
                <w:color w:val="0000EE"/>
              </w:rPr>
              <w:t>Exhibit 10.1</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7320" w:type="dxa"/>
            <w:vAlign w:val="bottom"/>
            <w:gridSpan w:val="1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180" w:type="dxa"/>
            <w:vAlign w:val="bottom"/>
            <w:gridSpan w:val="22"/>
          </w:tcPr>
          <w:p>
            <w:pPr>
              <w:spacing w:after="0" w:line="196" w:lineRule="exact"/>
              <w:rPr>
                <w:sz w:val="20"/>
                <w:szCs w:val="20"/>
                <w:color w:val="auto"/>
              </w:rPr>
            </w:pPr>
            <w:r>
              <w:rPr>
                <w:rFonts w:ascii="Arial" w:cs="Arial" w:eastAsia="Arial" w:hAnsi="Arial"/>
                <w:sz w:val="18"/>
                <w:szCs w:val="18"/>
                <w:color w:val="0000EE"/>
              </w:rPr>
              <w:t>Exhibit 10.6</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7320" w:type="dxa"/>
            <w:vAlign w:val="bottom"/>
            <w:gridSpan w:val="1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180" w:type="dxa"/>
            <w:vAlign w:val="bottom"/>
            <w:gridSpan w:val="22"/>
          </w:tcPr>
          <w:p>
            <w:pPr>
              <w:spacing w:after="0" w:line="196" w:lineRule="exact"/>
              <w:rPr>
                <w:sz w:val="20"/>
                <w:szCs w:val="20"/>
                <w:color w:val="auto"/>
              </w:rPr>
            </w:pPr>
            <w:r>
              <w:rPr>
                <w:rFonts w:ascii="Arial" w:cs="Arial" w:eastAsia="Arial" w:hAnsi="Arial"/>
                <w:sz w:val="18"/>
                <w:szCs w:val="18"/>
                <w:color w:val="0000EE"/>
              </w:rPr>
              <w:t>Exhibit 10.7</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w:t>
      </w:r>
    </w:p>
    <w:p>
      <w:pPr>
        <w:spacing w:after="0" w:line="200" w:lineRule="exact"/>
        <w:rPr>
          <w:sz w:val="20"/>
          <w:szCs w:val="20"/>
          <w:color w:val="auto"/>
        </w:rPr>
      </w:pPr>
    </w:p>
    <w:p>
      <w:pPr>
        <w:spacing w:after="0" w:line="3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PART I — FINANCIAL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 FINANCIAL STATEMENTS</w:t>
      </w:r>
    </w:p>
    <w:p>
      <w:pPr>
        <w:spacing w:after="0" w:line="185" w:lineRule="exact"/>
        <w:rPr>
          <w:sz w:val="20"/>
          <w:szCs w:val="20"/>
          <w:color w:val="auto"/>
        </w:rPr>
      </w:pPr>
    </w:p>
    <w:p>
      <w:pPr>
        <w:jc w:val="center"/>
        <w:ind w:left="580" w:right="2080"/>
        <w:spacing w:after="0" w:line="262" w:lineRule="auto"/>
        <w:rPr>
          <w:sz w:val="20"/>
          <w:szCs w:val="20"/>
          <w:color w:val="auto"/>
        </w:rPr>
      </w:pPr>
      <w:r>
        <w:rPr>
          <w:rFonts w:ascii="Arial" w:cs="Arial" w:eastAsia="Arial" w:hAnsi="Arial"/>
          <w:sz w:val="18"/>
          <w:szCs w:val="18"/>
          <w:color w:val="auto"/>
        </w:rPr>
        <w:t>THE SCOTTS MIRACLE-GRO COMPANY CONDENSED, CONSOLIDATED STATEMENTS OF OPERATIONS (IN MILLIONS EXCEPT PER SHARE DATA) (UNAUDITED)</w:t>
      </w:r>
    </w:p>
    <w:p>
      <w:pPr>
        <w:spacing w:after="0" w:line="39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60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2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3"/>
          </w:tcPr>
          <w:p>
            <w:pPr>
              <w:jc w:val="right"/>
              <w:ind w:right="460"/>
              <w:spacing w:after="0" w:line="191" w:lineRule="exact"/>
              <w:rPr>
                <w:sz w:val="20"/>
                <w:szCs w:val="20"/>
                <w:color w:val="auto"/>
              </w:rPr>
            </w:pPr>
            <w:r>
              <w:rPr>
                <w:rFonts w:ascii="Arial" w:cs="Arial" w:eastAsia="Arial" w:hAnsi="Arial"/>
                <w:sz w:val="18"/>
                <w:szCs w:val="18"/>
                <w:b w:val="1"/>
                <w:bCs w:val="1"/>
                <w:color w:val="auto"/>
                <w:w w:val="97"/>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7"/>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1,123.1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1,425.3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1,226.8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686.5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922.7</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789.4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product registration and recall matters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4"/>
        </w:trPr>
        <w:tc>
          <w:tcPr>
            <w:tcW w:w="4400" w:type="dxa"/>
            <w:vAlign w:val="bottom"/>
          </w:tcPr>
          <w:p>
            <w:pPr>
              <w:ind w:left="40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501.1</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228.4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366.0</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registration and recall matters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continuing operations before taxes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Income tax expense from continuing operations</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71.3</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100" w:type="dxa"/>
            <w:vAlign w:val="bottom"/>
          </w:tcPr>
          <w:p>
            <w:pPr>
              <w:spacing w:after="0"/>
              <w:rPr>
                <w:sz w:val="24"/>
                <w:szCs w:val="24"/>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BASIC NET INCOME (LOSS) PER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0"/>
              <w:spacing w:after="0"/>
              <w:rPr>
                <w:sz w:val="20"/>
                <w:szCs w:val="20"/>
                <w:color w:val="auto"/>
              </w:rPr>
            </w:pPr>
            <w:r>
              <w:rPr>
                <w:rFonts w:ascii="Arial" w:cs="Arial" w:eastAsia="Arial" w:hAnsi="Arial"/>
                <w:sz w:val="18"/>
                <w:szCs w:val="18"/>
                <w:color w:val="auto"/>
              </w:rPr>
              <w:t>SHARE:</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shares outstanding during</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period</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00"/>
              <w:spacing w:after="0"/>
              <w:rPr>
                <w:sz w:val="20"/>
                <w:szCs w:val="20"/>
                <w:color w:val="auto"/>
              </w:rPr>
            </w:pPr>
            <w:r>
              <w:rPr>
                <w:rFonts w:ascii="Arial" w:cs="Arial" w:eastAsia="Arial" w:hAnsi="Arial"/>
                <w:sz w:val="18"/>
                <w:szCs w:val="18"/>
                <w:color w:val="auto"/>
              </w:rPr>
              <w:t>Basic income per common share from continuing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600"/>
              <w:spacing w:after="0"/>
              <w:rPr>
                <w:sz w:val="20"/>
                <w:szCs w:val="20"/>
                <w:color w:val="auto"/>
              </w:rPr>
            </w:pPr>
            <w:r>
              <w:rPr>
                <w:rFonts w:ascii="Arial" w:cs="Arial" w:eastAsia="Arial" w:hAnsi="Arial"/>
                <w:sz w:val="18"/>
                <w:szCs w:val="18"/>
                <w:color w:val="auto"/>
              </w:rPr>
              <w:t>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Basic loss per common share from discontinued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INCOME (LOSS) PER COMMON</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00" w:type="dxa"/>
            <w:vAlign w:val="bottom"/>
          </w:tcPr>
          <w:p>
            <w:pPr>
              <w:spacing w:after="0" w:line="201" w:lineRule="exact"/>
              <w:rPr>
                <w:sz w:val="20"/>
                <w:szCs w:val="20"/>
                <w:color w:val="auto"/>
              </w:rPr>
            </w:pPr>
            <w:r>
              <w:rPr>
                <w:rFonts w:ascii="Arial" w:cs="Arial" w:eastAsia="Arial" w:hAnsi="Arial"/>
                <w:sz w:val="18"/>
                <w:szCs w:val="18"/>
                <w:color w:val="auto"/>
              </w:rPr>
              <w:t>Weighted-average common shares outstanding during</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0"/>
              <w:spacing w:after="0"/>
              <w:rPr>
                <w:sz w:val="20"/>
                <w:szCs w:val="20"/>
                <w:color w:val="auto"/>
              </w:rPr>
            </w:pPr>
            <w:r>
              <w:rPr>
                <w:rFonts w:ascii="Arial" w:cs="Arial" w:eastAsia="Arial" w:hAnsi="Arial"/>
                <w:sz w:val="18"/>
                <w:szCs w:val="18"/>
                <w:color w:val="auto"/>
              </w:rPr>
              <w:t>the period plus dilutive potential common shares</w:t>
            </w: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67.4</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Diluted income per common share from continuing</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2"/>
        </w:trPr>
        <w:tc>
          <w:tcPr>
            <w:tcW w:w="4400" w:type="dxa"/>
            <w:vAlign w:val="bottom"/>
          </w:tcPr>
          <w:p>
            <w:pPr>
              <w:ind w:left="400"/>
              <w:spacing w:after="0" w:line="201" w:lineRule="exact"/>
              <w:rPr>
                <w:sz w:val="20"/>
                <w:szCs w:val="20"/>
                <w:color w:val="auto"/>
              </w:rPr>
            </w:pPr>
            <w:r>
              <w:rPr>
                <w:rFonts w:ascii="Arial" w:cs="Arial" w:eastAsia="Arial" w:hAnsi="Arial"/>
                <w:sz w:val="18"/>
                <w:szCs w:val="18"/>
                <w:color w:val="auto"/>
              </w:rPr>
              <w:t>Diluted loss per common share from discontinued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60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0.125</w:t>
            </w:r>
          </w:p>
        </w:tc>
        <w:tc>
          <w:tcPr>
            <w:tcW w:w="3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0.125</w:t>
            </w:r>
          </w:p>
        </w:tc>
        <w:tc>
          <w:tcPr>
            <w:tcW w:w="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0.250</w:t>
            </w:r>
          </w:p>
        </w:tc>
        <w:tc>
          <w:tcPr>
            <w:tcW w:w="3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0" w:type="dxa"/>
            <w:vAlign w:val="bottom"/>
            <w:gridSpan w:val="8"/>
          </w:tcPr>
          <w:p>
            <w:pPr>
              <w:ind w:left="2580"/>
              <w:spacing w:after="0"/>
              <w:rPr>
                <w:sz w:val="20"/>
                <w:szCs w:val="20"/>
                <w:color w:val="auto"/>
              </w:rPr>
            </w:pPr>
            <w:r>
              <w:rPr>
                <w:rFonts w:ascii="Arial" w:cs="Arial" w:eastAsia="Arial" w:hAnsi="Arial"/>
                <w:sz w:val="18"/>
                <w:szCs w:val="18"/>
                <w:color w:val="auto"/>
                <w:w w:val="93"/>
              </w:rPr>
              <w:t>See notes to condensed, consolidated financial statements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20" w:type="dxa"/>
            <w:vAlign w:val="bottom"/>
          </w:tcPr>
          <w:p>
            <w:pPr>
              <w:jc w:val="center"/>
              <w:ind w:left="1370"/>
              <w:spacing w:after="0"/>
              <w:rPr>
                <w:sz w:val="20"/>
                <w:szCs w:val="20"/>
                <w:color w:val="auto"/>
              </w:rPr>
            </w:pPr>
            <w:r>
              <w:rPr>
                <w:rFonts w:ascii="Arial" w:cs="Arial" w:eastAsia="Arial" w:hAnsi="Arial"/>
                <w:sz w:val="18"/>
                <w:szCs w:val="18"/>
                <w:color w:val="auto"/>
                <w:w w:val="95"/>
              </w:rPr>
              <w:t>THE SCOTTS MIRACLE-GRO COMPANY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160" w:type="dxa"/>
            <w:vAlign w:val="bottom"/>
            <w:gridSpan w:val="4"/>
          </w:tcPr>
          <w:p>
            <w:pPr>
              <w:jc w:val="center"/>
              <w:ind w:left="30"/>
              <w:spacing w:after="0"/>
              <w:rPr>
                <w:sz w:val="20"/>
                <w:szCs w:val="20"/>
                <w:color w:val="auto"/>
              </w:rPr>
            </w:pPr>
            <w:r>
              <w:rPr>
                <w:rFonts w:ascii="Arial" w:cs="Arial" w:eastAsia="Arial" w:hAnsi="Arial"/>
                <w:sz w:val="18"/>
                <w:szCs w:val="18"/>
                <w:color w:val="auto"/>
                <w:w w:val="95"/>
              </w:rPr>
              <w:t>CONDENSED, CONSOLIDATED STATEMENTS OF CASH FLOWS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20" w:type="dxa"/>
            <w:vAlign w:val="bottom"/>
          </w:tcPr>
          <w:p>
            <w:pPr>
              <w:jc w:val="center"/>
              <w:ind w:left="137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tcPr>
          <w:p>
            <w:pPr>
              <w:jc w:val="center"/>
              <w:ind w:left="135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99"/>
              </w:rPr>
              <w:t>APRIL 3,</w:t>
            </w:r>
          </w:p>
        </w:tc>
        <w:tc>
          <w:tcPr>
            <w:tcW w:w="10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rPr>
              <w:t>MARCH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60.8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sale of long-lived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Changes in assets and liabilities, net of acquired businesses: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(699.4)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ind w:left="4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(136.0)</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ind w:left="4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133.2</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ind w:left="400"/>
              <w:spacing w:after="0"/>
              <w:rPr>
                <w:sz w:val="20"/>
                <w:szCs w:val="20"/>
                <w:color w:val="auto"/>
              </w:rPr>
            </w:pPr>
            <w:r>
              <w:rPr>
                <w:rFonts w:ascii="Arial" w:cs="Arial" w:eastAsia="Arial" w:hAnsi="Arial"/>
                <w:sz w:val="18"/>
                <w:szCs w:val="18"/>
                <w:color w:val="auto"/>
              </w:rPr>
              <w:t>Restructuring reserves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non-current items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ind w:left="4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(611.4)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sale of long-lived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Investments in property, plant and equipment</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intellectual property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Investments in acquired businesses, net of cash acquired</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Borrowings under revolving and bank lines of credit and term loans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845.5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Repayments under revolving and bank lines of credit and term loans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(440.4)</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issuance of 7.25% Senior Notes, net of discount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Financing and issuance fees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Payments on seller notes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payment arrangements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Cash received from exercise of stock options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597.1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71.6</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8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paid, net of interest capitalized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Income taxes (paid) refunded</w:t>
            </w:r>
          </w:p>
        </w:tc>
        <w:tc>
          <w:tcPr>
            <w:tcW w:w="10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6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540" w:type="dxa"/>
            <w:vAlign w:val="bottom"/>
            <w:gridSpan w:val="5"/>
          </w:tcPr>
          <w:p>
            <w:pPr>
              <w:jc w:val="center"/>
              <w:ind w:left="1650"/>
              <w:spacing w:after="0"/>
              <w:rPr>
                <w:sz w:val="20"/>
                <w:szCs w:val="20"/>
                <w:color w:val="auto"/>
              </w:rPr>
            </w:pPr>
            <w:r>
              <w:rPr>
                <w:rFonts w:ascii="Arial" w:cs="Arial" w:eastAsia="Arial" w:hAnsi="Arial"/>
                <w:sz w:val="18"/>
                <w:szCs w:val="18"/>
                <w:color w:val="auto"/>
                <w:w w:val="95"/>
              </w:rPr>
              <w:t>THE SCOTTS MIRACLE-GRO COMPANY</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80" w:type="dxa"/>
            <w:vAlign w:val="bottom"/>
            <w:gridSpan w:val="6"/>
          </w:tcPr>
          <w:p>
            <w:pPr>
              <w:jc w:val="center"/>
              <w:ind w:left="1410"/>
              <w:spacing w:after="0"/>
              <w:rPr>
                <w:sz w:val="20"/>
                <w:szCs w:val="20"/>
                <w:color w:val="auto"/>
              </w:rPr>
            </w:pPr>
            <w:r>
              <w:rPr>
                <w:rFonts w:ascii="Arial" w:cs="Arial" w:eastAsia="Arial" w:hAnsi="Arial"/>
                <w:sz w:val="18"/>
                <w:szCs w:val="18"/>
                <w:color w:val="auto"/>
                <w:w w:val="96"/>
              </w:rPr>
              <w:t>CONDENSED, CONSOLIDATED BALANCE SHEETS</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5"/>
          </w:tcPr>
          <w:p>
            <w:pPr>
              <w:jc w:val="center"/>
              <w:ind w:left="1630"/>
              <w:spacing w:after="0"/>
              <w:rPr>
                <w:sz w:val="20"/>
                <w:szCs w:val="20"/>
                <w:color w:val="auto"/>
              </w:rPr>
            </w:pPr>
            <w:r>
              <w:rPr>
                <w:rFonts w:ascii="Arial" w:cs="Arial" w:eastAsia="Arial" w:hAnsi="Arial"/>
                <w:sz w:val="18"/>
                <w:szCs w:val="18"/>
                <w:color w:val="auto"/>
                <w:w w:val="96"/>
              </w:rPr>
              <w:t>(IN MILLIONS EXCEPT PER SHARE DATA)</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7"/>
              </w:rPr>
              <w:t>APRIL 3,</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28,</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(SEE NOTE 1)</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300" w:type="dxa"/>
            <w:vAlign w:val="bottom"/>
            <w:shd w:val="clear" w:color="auto" w:fill="CCEEFF"/>
          </w:tcPr>
          <w:p>
            <w:pPr>
              <w:jc w:val="center"/>
              <w:ind w:left="2890"/>
              <w:spacing w:after="0"/>
              <w:rPr>
                <w:sz w:val="20"/>
                <w:szCs w:val="20"/>
                <w:color w:val="auto"/>
              </w:rPr>
            </w:pPr>
            <w:r>
              <w:rPr>
                <w:rFonts w:ascii="Arial" w:cs="Arial" w:eastAsia="Arial" w:hAnsi="Arial"/>
                <w:sz w:val="18"/>
                <w:szCs w:val="18"/>
                <w:b w:val="1"/>
                <w:bCs w:val="1"/>
                <w:color w:val="auto"/>
                <w:w w:val="94"/>
              </w:rPr>
              <w:t>ASSETS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r>
      <w:tr>
        <w:trPr>
          <w:trHeight w:val="202"/>
        </w:trPr>
        <w:tc>
          <w:tcPr>
            <w:tcW w:w="340" w:type="dxa"/>
            <w:vAlign w:val="bottom"/>
          </w:tcPr>
          <w:p>
            <w:pPr>
              <w:spacing w:after="0"/>
              <w:rPr>
                <w:sz w:val="17"/>
                <w:szCs w:val="17"/>
                <w:color w:val="auto"/>
              </w:rPr>
            </w:pPr>
          </w:p>
        </w:tc>
        <w:tc>
          <w:tcPr>
            <w:tcW w:w="53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Accounts receivable, less allowances of $13.7, $13.6 and $11.1,</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320" w:type="dxa"/>
            <w:vAlign w:val="bottom"/>
            <w:gridSpan w:val="2"/>
          </w:tcPr>
          <w:p>
            <w:pPr>
              <w:ind w:left="40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1,012.9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637.5</w:t>
            </w:r>
          </w:p>
        </w:tc>
        <w:tc>
          <w:tcPr>
            <w:tcW w:w="10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384.3</w:t>
            </w: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 pledged</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370.9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r>
      <w:tr>
        <w:trPr>
          <w:trHeight w:val="216"/>
        </w:trPr>
        <w:tc>
          <w:tcPr>
            <w:tcW w:w="34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Inventories, net</w:t>
            </w: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589.4</w:t>
            </w: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458.9</w:t>
            </w: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and other current assets</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198.5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159.1</w:t>
            </w:r>
          </w:p>
        </w:tc>
      </w:tr>
      <w:tr>
        <w:trPr>
          <w:trHeight w:val="224"/>
        </w:trPr>
        <w:tc>
          <w:tcPr>
            <w:tcW w:w="340" w:type="dxa"/>
            <w:vAlign w:val="bottom"/>
          </w:tcPr>
          <w:p>
            <w:pPr>
              <w:spacing w:after="0"/>
              <w:rPr>
                <w:sz w:val="19"/>
                <w:szCs w:val="19"/>
                <w:color w:val="auto"/>
              </w:rPr>
            </w:pPr>
          </w:p>
        </w:tc>
        <w:tc>
          <w:tcPr>
            <w:tcW w:w="5320" w:type="dxa"/>
            <w:vAlign w:val="bottom"/>
            <w:gridSpan w:val="2"/>
          </w:tcPr>
          <w:p>
            <w:pPr>
              <w:ind w:left="40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1,884.0</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1,090.9</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5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Property, plant and equipment, net of accumulated depreciation of</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$473.1, $467.6 and $492.3, respectively</w:t>
            </w:r>
          </w:p>
        </w:tc>
        <w:tc>
          <w:tcPr>
            <w:tcW w:w="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377.1</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335.5</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369.7</w:t>
            </w:r>
          </w:p>
        </w:tc>
      </w:tr>
      <w:tr>
        <w:trPr>
          <w:trHeight w:val="216"/>
        </w:trPr>
        <w:tc>
          <w:tcPr>
            <w:tcW w:w="34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371.3</w:t>
            </w: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375.2</w:t>
            </w: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353.5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361.5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364.2</w:t>
            </w:r>
          </w:p>
        </w:tc>
      </w:tr>
      <w:tr>
        <w:trPr>
          <w:trHeight w:val="216"/>
        </w:trPr>
        <w:tc>
          <w:tcPr>
            <w:tcW w:w="34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w:t>
            </w:r>
          </w:p>
        </w:tc>
        <w:tc>
          <w:tcPr>
            <w:tcW w:w="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20.1</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2,967.</w:t>
            </w:r>
            <w:r>
              <w:rPr>
                <w:rFonts w:ascii="Arial" w:cs="Arial" w:eastAsia="Arial" w:hAnsi="Arial"/>
                <w:sz w:val="18"/>
                <w:szCs w:val="18"/>
                <w:u w:val="single" w:color="auto"/>
                <w:color w:val="auto"/>
              </w:rPr>
              <w:t>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2,220.1</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80" w:type="dxa"/>
            <w:vAlign w:val="bottom"/>
            <w:gridSpan w:val="6"/>
          </w:tcPr>
          <w:p>
            <w:pPr>
              <w:jc w:val="center"/>
              <w:ind w:left="1410"/>
              <w:spacing w:after="0"/>
              <w:rPr>
                <w:sz w:val="20"/>
                <w:szCs w:val="20"/>
                <w:color w:val="auto"/>
              </w:rPr>
            </w:pPr>
            <w:r>
              <w:rPr>
                <w:rFonts w:ascii="Arial" w:cs="Arial" w:eastAsia="Arial" w:hAnsi="Arial"/>
                <w:sz w:val="18"/>
                <w:szCs w:val="18"/>
                <w:b w:val="1"/>
                <w:bCs w:val="1"/>
                <w:color w:val="auto"/>
              </w:rPr>
              <w:t>LIABILITIES AND SHAREHOLDERS’ EQUITY</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Current portion of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244.3</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396.0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160.4</w:t>
            </w: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319.6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352.3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w:t>
            </w:r>
          </w:p>
        </w:tc>
      </w:tr>
      <w:tr>
        <w:trPr>
          <w:trHeight w:val="216"/>
        </w:trPr>
        <w:tc>
          <w:tcPr>
            <w:tcW w:w="34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441.5</w:t>
            </w:r>
          </w:p>
        </w:tc>
        <w:tc>
          <w:tcPr>
            <w:tcW w:w="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382.7</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406.4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1,131.0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756.8</w:t>
            </w:r>
          </w:p>
        </w:tc>
      </w:tr>
      <w:tr>
        <w:trPr>
          <w:trHeight w:val="432"/>
        </w:trPr>
        <w:tc>
          <w:tcPr>
            <w:tcW w:w="34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1,156.0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1,196.2</w:t>
            </w:r>
          </w:p>
        </w:tc>
        <w:tc>
          <w:tcPr>
            <w:tcW w:w="100" w:type="dxa"/>
            <w:vAlign w:val="bottom"/>
          </w:tcPr>
          <w:p>
            <w:pPr>
              <w:spacing w:after="0"/>
              <w:rPr>
                <w:sz w:val="24"/>
                <w:szCs w:val="2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649.7</w:t>
            </w: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216.5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229.1</w:t>
            </w:r>
          </w:p>
        </w:tc>
      </w:tr>
      <w:tr>
        <w:trPr>
          <w:trHeight w:val="224"/>
        </w:trPr>
        <w:tc>
          <w:tcPr>
            <w:tcW w:w="340" w:type="dxa"/>
            <w:vAlign w:val="bottom"/>
          </w:tcPr>
          <w:p>
            <w:pPr>
              <w:spacing w:after="0"/>
              <w:rPr>
                <w:sz w:val="19"/>
                <w:szCs w:val="19"/>
                <w:color w:val="auto"/>
              </w:rPr>
            </w:pPr>
          </w:p>
        </w:tc>
        <w:tc>
          <w:tcPr>
            <w:tcW w:w="532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2,377.9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2,514.7</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1,635.6</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(notes 3 and 11)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53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shares and capital in excess of $.01 stated value per</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share, 66.9, 65.6 and 66.2 shares issued and outstanding,</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5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435.9</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460.8</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451.5</w:t>
            </w:r>
          </w:p>
        </w:tc>
      </w:tr>
      <w:tr>
        <w:trPr>
          <w:trHeight w:val="216"/>
        </w:trPr>
        <w:tc>
          <w:tcPr>
            <w:tcW w:w="34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381.4</w:t>
            </w: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337.5</w:t>
            </w: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Treasury shares, at cost: 1.7, 3.0 and 2.4 shares, respectively</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(131.7)</w:t>
            </w:r>
          </w:p>
        </w:tc>
      </w:tr>
      <w:tr>
        <w:trPr>
          <w:trHeight w:val="216"/>
        </w:trPr>
        <w:tc>
          <w:tcPr>
            <w:tcW w:w="34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(72.8)</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3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453.2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584.5</w:t>
            </w:r>
          </w:p>
        </w:tc>
      </w:tr>
      <w:tr>
        <w:trPr>
          <w:trHeight w:val="223"/>
        </w:trPr>
        <w:tc>
          <w:tcPr>
            <w:tcW w:w="340" w:type="dxa"/>
            <w:vAlign w:val="bottom"/>
          </w:tcPr>
          <w:p>
            <w:pPr>
              <w:spacing w:after="0"/>
              <w:rPr>
                <w:sz w:val="19"/>
                <w:szCs w:val="19"/>
                <w:color w:val="auto"/>
              </w:rPr>
            </w:pPr>
          </w:p>
        </w:tc>
        <w:tc>
          <w:tcPr>
            <w:tcW w:w="5320" w:type="dxa"/>
            <w:vAlign w:val="bottom"/>
            <w:gridSpan w:val="2"/>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3,051.6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2,967.9</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2,220.1</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94" w:lineRule="exact"/>
        <w:rPr>
          <w:sz w:val="20"/>
          <w:szCs w:val="20"/>
          <w:color w:val="auto"/>
        </w:rPr>
      </w:pPr>
    </w:p>
    <w:p>
      <w:pPr>
        <w:ind w:left="340" w:right="4459"/>
        <w:spacing w:after="0" w:line="456" w:lineRule="auto"/>
        <w:rPr>
          <w:sz w:val="20"/>
          <w:szCs w:val="20"/>
          <w:color w:val="auto"/>
        </w:rPr>
      </w:pPr>
      <w:r>
        <w:rPr>
          <w:rFonts w:ascii="Arial" w:cs="Arial" w:eastAsia="Arial" w:hAnsi="Arial"/>
          <w:sz w:val="18"/>
          <w:szCs w:val="18"/>
          <w:b w:val="1"/>
          <w:bCs w:val="1"/>
          <w:color w:val="auto"/>
        </w:rPr>
        <w:t xml:space="preserve">NOTE 1. SUMMARY OF SIGNIFICANT ACCOUNTING POLICIES </w:t>
      </w:r>
      <w:r>
        <w:rPr>
          <w:rFonts w:ascii="Arial" w:cs="Arial" w:eastAsia="Arial" w:hAnsi="Arial"/>
          <w:sz w:val="18"/>
          <w:szCs w:val="18"/>
          <w:color w:val="auto"/>
        </w:rPr>
        <w:t>NATURE OF OPERATIONS</w:t>
      </w:r>
    </w:p>
    <w:p>
      <w:pPr>
        <w:spacing w:after="0" w:line="1" w:lineRule="exact"/>
        <w:rPr>
          <w:sz w:val="20"/>
          <w:szCs w:val="20"/>
          <w:color w:val="auto"/>
        </w:rPr>
      </w:pPr>
    </w:p>
    <w:p>
      <w:pPr>
        <w:jc w:val="both"/>
        <w:ind w:left="340" w:right="559"/>
        <w:spacing w:after="0" w:line="237" w:lineRule="auto"/>
        <w:rPr>
          <w:sz w:val="20"/>
          <w:szCs w:val="20"/>
          <w:color w:val="auto"/>
        </w:rPr>
      </w:pPr>
      <w:r>
        <w:rPr>
          <w:rFonts w:ascii="Arial" w:cs="Arial" w:eastAsia="Arial" w:hAnsi="Arial"/>
          <w:sz w:val="18"/>
          <w:szCs w:val="18"/>
          <w:color w:val="auto"/>
        </w:rPr>
        <w:t>The Scotts Miracle-Gro Company (“Scotts Miracle-Gro”) and its subsidiaries (collectively, together with Scotts Miracle-Gro, the “Company”) are engaged in the manufacturing, marketing and sale of lawn and garden care products. The Company’s primary customers include home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The Company also operates the Scotts LawnService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business, which provides residential lawn care, lawn aeration, tree and shrub care and limited pest control services in the United States.</w:t>
      </w:r>
    </w:p>
    <w:p>
      <w:pPr>
        <w:spacing w:after="0" w:line="180" w:lineRule="exact"/>
        <w:rPr>
          <w:sz w:val="20"/>
          <w:szCs w:val="20"/>
          <w:color w:val="auto"/>
        </w:rPr>
      </w:pPr>
    </w:p>
    <w:p>
      <w:pPr>
        <w:jc w:val="both"/>
        <w:ind w:left="340" w:right="559"/>
        <w:spacing w:after="0" w:line="263" w:lineRule="auto"/>
        <w:rPr>
          <w:sz w:val="20"/>
          <w:szCs w:val="20"/>
          <w:color w:val="auto"/>
        </w:rPr>
      </w:pPr>
      <w:r>
        <w:rPr>
          <w:rFonts w:ascii="Arial" w:cs="Arial" w:eastAsia="Arial" w:hAnsi="Arial"/>
          <w:sz w:val="16"/>
          <w:szCs w:val="16"/>
          <w:color w:val="auto"/>
        </w:rPr>
        <w:t>After its acquisition in fiscal 2005, the Company operated Smith &amp; Hawken</w:t>
      </w:r>
      <w:r>
        <w:rPr>
          <w:rFonts w:ascii="Arial" w:cs="Arial" w:eastAsia="Arial" w:hAnsi="Arial"/>
          <w:sz w:val="23"/>
          <w:szCs w:val="23"/>
          <w:color w:val="auto"/>
          <w:vertAlign w:val="superscript"/>
        </w:rPr>
        <w:t>®</w:t>
      </w:r>
      <w:r>
        <w:rPr>
          <w:rFonts w:ascii="Arial" w:cs="Arial" w:eastAsia="Arial" w:hAnsi="Arial"/>
          <w:sz w:val="14"/>
          <w:szCs w:val="14"/>
          <w:color w:val="auto"/>
        </w:rPr>
        <w:t>(1)</w:t>
      </w:r>
      <w:r>
        <w:rPr>
          <w:rFonts w:ascii="Arial" w:cs="Arial" w:eastAsia="Arial" w:hAnsi="Arial"/>
          <w:sz w:val="16"/>
          <w:szCs w:val="16"/>
          <w:color w:val="auto"/>
        </w:rPr>
        <w:t>, an outdoor living and garden lifestyle category brand. As discussed in “NOTE 2. DISCONTINUED OPERATIONS,” on July 8, 2009, Scotts Miracle-Gro announced its intention to close the Smith &amp; Hawken business by the end of calendar 2009. During the Company’s first quarter of fiscal 2010, all Smith &amp; Hawken stores were closed and substantially all operational activities of Smith &amp; Hawken were discontinued.</w:t>
      </w:r>
    </w:p>
    <w:p>
      <w:pPr>
        <w:spacing w:after="0" w:line="14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Due to the nature of the lawn and garden business, the majority of sales to customers occur in the Company’s second and third fiscal quarters. On a combined basis, net sales for the second and third fiscal quarters generally represent 70% to 75% of annual net sales.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ORGANIZATION AND BASIS OF PRESENTATION</w:t>
      </w:r>
    </w:p>
    <w:p>
      <w:pPr>
        <w:spacing w:after="0" w:line="198"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The Company’s condensed, consolidated financial statements are unaudited; however, in the opinion of management, these financial statements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Interim results reflect all normal and recurring adjustments and are not necessarily indicative of results for a full year. The interim financial statements and notes are presented as specified by Regulation S-X of the Securities and Exchange Commission, and should be read in conjunction with the consolidated financial statements and accompanying notes in Scotts Miracle-Gro’s Annual Report on Form 10-K for the fiscal year ended September 30, 2009.</w:t>
      </w:r>
    </w:p>
    <w:p>
      <w:pPr>
        <w:spacing w:after="0" w:line="12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Company’s Condensed, Consolidated Balance Sheet at September 30, 2009 has been derived from the Company’s audited Consolidated Balance Sheet at that date, but does not include all of the information and footnotes required by GAAP for complete financial statements.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USE OF ESTIMATES</w:t>
      </w:r>
    </w:p>
    <w:p>
      <w:pPr>
        <w:spacing w:after="0" w:line="19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RECOGNITION</w:t>
      </w:r>
    </w:p>
    <w:p>
      <w:pPr>
        <w:spacing w:after="0" w:line="185"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Revenue is recognized when title and risk of loss transfer, which generally occurs when products or services are received by the customer. Provisions for estimated returns and allowances are recorded at the time revenue is recognized based on historical rates and are periodically adjusted for known changes in return levels. Shipping and handling costs are included in cost of sales.</w:t>
      </w:r>
    </w:p>
    <w:p>
      <w:pPr>
        <w:spacing w:after="0" w:line="120" w:lineRule="exact"/>
        <w:rPr>
          <w:sz w:val="20"/>
          <w:szCs w:val="20"/>
          <w:color w:val="auto"/>
        </w:rPr>
      </w:pPr>
    </w:p>
    <w:p>
      <w:pPr>
        <w:jc w:val="both"/>
        <w:ind w:left="340" w:right="559"/>
        <w:spacing w:after="0" w:line="238" w:lineRule="auto"/>
        <w:rPr>
          <w:sz w:val="20"/>
          <w:szCs w:val="20"/>
          <w:color w:val="auto"/>
        </w:rPr>
      </w:pPr>
      <w:r>
        <w:rPr>
          <w:rFonts w:ascii="Arial" w:cs="Arial" w:eastAsia="Arial" w:hAnsi="Arial"/>
          <w:sz w:val="18"/>
          <w:szCs w:val="18"/>
          <w:color w:val="auto"/>
        </w:rPr>
        <w:t>Under the terms of the Amended and Restated Exclusive Agency and Marketing Agreement (the “Marketing Agreement”) between the Company and Monsanto Company (“Monsanto”), the Company, in its role as exclusive agent, performs certain functions, primarily manufacturing conversion, distribution and logistics, and selling and marketing support on behalf of Monsanto in the conduct of the consumer Roundup</w:t>
      </w:r>
      <w:r>
        <w:rPr>
          <w:rFonts w:ascii="Arial" w:cs="Arial" w:eastAsia="Arial" w:hAnsi="Arial"/>
          <w:sz w:val="26"/>
          <w:szCs w:val="26"/>
          <w:color w:val="auto"/>
          <w:vertAlign w:val="superscript"/>
        </w:rPr>
        <w:t>®</w:t>
      </w:r>
      <w:r>
        <w:rPr>
          <w:rFonts w:ascii="Arial" w:cs="Arial" w:eastAsia="Arial" w:hAnsi="Arial"/>
          <w:sz w:val="15"/>
          <w:szCs w:val="15"/>
          <w:color w:val="auto"/>
        </w:rPr>
        <w:t>(2)</w:t>
      </w:r>
      <w:r>
        <w:rPr>
          <w:rFonts w:ascii="Arial" w:cs="Arial" w:eastAsia="Arial" w:hAnsi="Arial"/>
          <w:sz w:val="18"/>
          <w:szCs w:val="18"/>
          <w:color w:val="auto"/>
        </w:rPr>
        <w:t xml:space="preserve"> business. The actual costs incurred by the Company on behalf of the consumer Roundup</w:t>
      </w:r>
      <w:r>
        <w:rPr>
          <w:rFonts w:ascii="Arial" w:cs="Arial" w:eastAsia="Arial" w:hAnsi="Arial"/>
          <w:sz w:val="26"/>
          <w:szCs w:val="26"/>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176530</wp:posOffset>
            </wp:positionV>
            <wp:extent cx="10636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78" w:lineRule="exact"/>
        <w:rPr>
          <w:sz w:val="20"/>
          <w:szCs w:val="20"/>
          <w:color w:val="auto"/>
        </w:rPr>
      </w:pPr>
    </w:p>
    <w:p>
      <w:pPr>
        <w:jc w:val="both"/>
        <w:ind w:left="680" w:right="559" w:hanging="348"/>
        <w:spacing w:after="0" w:line="233"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Smith &amp; Hawken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a registered trademark of Target Brands, Inc. As discussed in “NOTE 2. DISCONTINUED OPERATIONS,” the Company sold the Smith &amp; Hawken brand and certain intellectual property rights related thereto on December 30, 2009, and subsequently changed the name of the subsidiary entity formerly known as Smith &amp; Hawken, Ltd. to Teak 2, Ltd. References in this Quarterly Report on Form 10-Q to Smith &amp; Hawken refer to Scotts Miracle-Gro’s subsidiary entity, not the brand itself.</w:t>
      </w:r>
    </w:p>
    <w:p>
      <w:pPr>
        <w:spacing w:after="0" w:line="53" w:lineRule="exact"/>
        <w:rPr>
          <w:rFonts w:ascii="Arial" w:cs="Arial" w:eastAsia="Arial" w:hAnsi="Arial"/>
          <w:sz w:val="18"/>
          <w:szCs w:val="18"/>
          <w:color w:val="auto"/>
        </w:rPr>
      </w:pPr>
    </w:p>
    <w:p>
      <w:pPr>
        <w:ind w:left="680" w:hanging="348"/>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Roundup is a registered trademark of Monsanto Technology LLC, a company affiliated with Monsanto.</w:t>
      </w:r>
    </w:p>
    <w:p>
      <w:pPr>
        <w:sectPr>
          <w:pgSz w:w="11900" w:h="16838" w:orient="portrait"/>
          <w:cols w:equalWidth="0" w:num="1">
            <w:col w:w="10219"/>
          </w:cols>
          <w:pgMar w:left="240" w:top="419" w:right="1440" w:bottom="848"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48"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business are recovered from Monsanto through the terms of the Marketing Agreement. The reimbursement of costs for which the Company is considered the primary obligor is included in net sales.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PROMOTIONAL ALLOWANCES</w:t>
      </w:r>
    </w:p>
    <w:p>
      <w:pPr>
        <w:spacing w:after="0" w:line="18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The Company promotes its branded products through, among other things, cooperative advertising programs with retailers. Retailers may also be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Company’s Condensed, Consolidated Balance Sheets.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w:t>
      </w:r>
    </w:p>
    <w:p>
      <w:pPr>
        <w:spacing w:after="0" w:line="198"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Advertising costs incurred during the year by our Global Consumer segment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106" w:lineRule="exact"/>
        <w:rPr>
          <w:sz w:val="20"/>
          <w:szCs w:val="20"/>
          <w:color w:val="auto"/>
        </w:rPr>
      </w:pPr>
    </w:p>
    <w:p>
      <w:pPr>
        <w:jc w:val="both"/>
        <w:ind w:left="340" w:right="559"/>
        <w:spacing w:after="0" w:line="235" w:lineRule="auto"/>
        <w:rPr>
          <w:sz w:val="20"/>
          <w:szCs w:val="20"/>
          <w:color w:val="auto"/>
        </w:rPr>
      </w:pPr>
      <w:r>
        <w:rPr>
          <w:rFonts w:ascii="Arial" w:cs="Arial" w:eastAsia="Arial" w:hAnsi="Arial"/>
          <w:sz w:val="18"/>
          <w:szCs w:val="18"/>
          <w:color w:val="auto"/>
        </w:rPr>
        <w:t>Scotts LawnService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Costs that do not qualify as direct response advertising costs are expensed within the fiscal year in which such costs are incurred on a monthly basis in proportion to net sales. The costs deferred at April 3, 2010, March 28, 2009 and September 30, 2009 were $3.4 million, $8.3 million and $2.1 million, respectively.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AWARDS</w:t>
      </w:r>
    </w:p>
    <w:p>
      <w:pPr>
        <w:spacing w:after="0" w:line="19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fair value of awards is expensed ratably over the vesting period, generally three years. The Company uses a binomial model to determine the fair value of its option grants.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AND INDEFINITE-LIVED INTANGIBLE ASSETS</w:t>
      </w:r>
    </w:p>
    <w:p>
      <w:pPr>
        <w:spacing w:after="0" w:line="185"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Goodwill and intangible assets determined to have indefinite lives are not subject to amortization. Goodwill and indefinite-lived intangible assets are reviewed for impairment by applying a fair-value based test on an annual basis, as of the first day of the Company’s fiscal fourth quarter, or more frequently if circumstances indicate a potential impairment. If it is determined that an impairment has occurred, an impairment loss would be recognized for the amount by which the carrying amount of the asset exceeds its estimated fair value and classified as “Impairment, restructuring and other charges” in the Consolidated Statements of Operations. No impairment, restructuring or other charges from continuing operations were recorded for the three or six months ended April 3, 2010 or March 28, 2009.</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TAXES</w:t>
      </w:r>
    </w:p>
    <w:p>
      <w:pPr>
        <w:spacing w:after="0" w:line="185"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effective tax rate for continuing operations for the three and six months ended April 3, 2010 was 37.3% and 37.9%, respectively, compared to 35.5% for the three and six months ended March 28, 2009. The increase in the effective tax rate for the three and six months ended April 3, 2010 was partially due to the discrete item related to the Medicare Part D subsidy as discussed in “NOTE 10. INCOME TAXES.” The effective tax rate used for interim reporting purposes was based on management’s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as well as other items. The estimated effective tax rate is subject to revision in later interim periods and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PER COMMON SHARE</w:t>
      </w:r>
    </w:p>
    <w:p>
      <w:pPr>
        <w:spacing w:after="0" w:line="198"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The following table (in millions, except per share data) presents information necessary to calculate basic and diluted net income per common share. Basic net income per common share is computed based on the weighted-average number of common shares outstanding each period. Diluted net income per common share is computed based on the weighted-average number of common shares and dilutive potential common shares (stock options, restricted stock, restricted stock units, performance shares and stock appreciation rights) outstanding each period. Stock options with exercise prices greater than the average market price of the underlying common shares are excluded from the computation of diluted net income per common share because the effect of their inclusion would be anti-dilutive. The number of stock options excluded was 0.7 million and 2.4 million for the three-month periods, and 0.7 million and 3.0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7000" w:type="dxa"/>
            <w:vAlign w:val="bottom"/>
            <w:gridSpan w:val="9"/>
          </w:tcPr>
          <w:p>
            <w:pPr>
              <w:spacing w:after="0"/>
              <w:rPr>
                <w:sz w:val="20"/>
                <w:szCs w:val="20"/>
                <w:color w:val="auto"/>
              </w:rPr>
            </w:pPr>
            <w:r>
              <w:rPr>
                <w:rFonts w:ascii="Arial" w:cs="Arial" w:eastAsia="Arial" w:hAnsi="Arial"/>
                <w:sz w:val="18"/>
                <w:szCs w:val="18"/>
                <w:color w:val="auto"/>
              </w:rPr>
              <w:t>million for the six-month periods ended April 3, 2010 and March 28, 2009, respectively.</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22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3"/>
          </w:tcPr>
          <w:p>
            <w:pPr>
              <w:jc w:val="right"/>
              <w:ind w:right="460"/>
              <w:spacing w:after="0" w:line="191" w:lineRule="exact"/>
              <w:rPr>
                <w:sz w:val="20"/>
                <w:szCs w:val="20"/>
                <w:color w:val="auto"/>
              </w:rPr>
            </w:pPr>
            <w:r>
              <w:rPr>
                <w:rFonts w:ascii="Arial" w:cs="Arial" w:eastAsia="Arial" w:hAnsi="Arial"/>
                <w:sz w:val="18"/>
                <w:szCs w:val="18"/>
                <w:b w:val="1"/>
                <w:bCs w:val="1"/>
                <w:color w:val="auto"/>
                <w:w w:val="97"/>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7"/>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3980" w:type="dxa"/>
            <w:vAlign w:val="bottom"/>
            <w:gridSpan w:val="11"/>
          </w:tcPr>
          <w:p>
            <w:pPr>
              <w:jc w:val="right"/>
              <w:ind w:right="640"/>
              <w:spacing w:after="0"/>
              <w:rPr>
                <w:sz w:val="20"/>
                <w:szCs w:val="20"/>
                <w:color w:val="auto"/>
              </w:rPr>
            </w:pPr>
            <w:r>
              <w:rPr>
                <w:rFonts w:ascii="Arial" w:cs="Arial" w:eastAsia="Arial" w:hAnsi="Arial"/>
                <w:sz w:val="18"/>
                <w:szCs w:val="18"/>
                <w:b w:val="1"/>
                <w:bCs w:val="1"/>
                <w:color w:val="auto"/>
                <w:w w:val="97"/>
              </w:rPr>
              <w:t>MILLIONS, EXCEPT PER SHARE DATA)</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Determination of diluted weighted-average common</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outstanding:</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66.0</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Assumed conversion of dilutive potential common</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Diluted weighted-average common shares outstanding</w:t>
            </w: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Basic income per common share from continuing</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Basic loss per common share from discontinued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2"/>
          </w:tcPr>
          <w:p>
            <w:pPr>
              <w:ind w:left="40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gridSpan w:val="2"/>
            <w:vMerge w:val="restart"/>
          </w:tcPr>
          <w:p>
            <w:pPr>
              <w:ind w:left="200"/>
              <w:spacing w:after="0"/>
              <w:rPr>
                <w:sz w:val="20"/>
                <w:szCs w:val="20"/>
                <w:color w:val="auto"/>
              </w:rPr>
            </w:pPr>
            <w:r>
              <w:rPr>
                <w:rFonts w:ascii="Arial" w:cs="Arial" w:eastAsia="Arial" w:hAnsi="Arial"/>
                <w:sz w:val="18"/>
                <w:szCs w:val="18"/>
                <w:color w:val="auto"/>
              </w:rPr>
              <w:t>Diluted income per common share from continuing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2"/>
          </w:tcPr>
          <w:p>
            <w:pPr>
              <w:ind w:left="400"/>
              <w:spacing w:after="0"/>
              <w:rPr>
                <w:sz w:val="20"/>
                <w:szCs w:val="20"/>
                <w:color w:val="auto"/>
              </w:rPr>
            </w:pPr>
            <w:r>
              <w:rPr>
                <w:rFonts w:ascii="Arial" w:cs="Arial" w:eastAsia="Arial" w:hAnsi="Arial"/>
                <w:sz w:val="18"/>
                <w:szCs w:val="18"/>
                <w:color w:val="auto"/>
              </w:rPr>
              <w:t>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Diluted loss per common share from discontinued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Diluted net income per common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RECENT ACCOUNTING PRONOUNCEMENTS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85"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In December 2007, the Financial Accounting Standards Board (the “FASB”) issued new accounting guidance on business combinations and noncontrolling interests in consolidated financial statements. The objective is to improve the relevance, representational faithfulness and comparability of the information that a reporting entity provides in its financial reports about a business combination and its effects. The guidance applies to all transactions or other events in which an entity (the “acquirer”) obtains control of one or more businesses (the “acquiree”), including those sometimes referred to as “true mergers” or “mergers of equals” and combinations achieved without the transfer of consideration. In April 2009, the FASB issued additional guidance which addresses application issues arising from contingencies in a business combination. The Company adopted the new guidance beginning October 1, 2009. The Company had no acquisition activity for the six months ended April 3, 2010, and the adoption of the new guidance did not impact the Company’s financial statements and related disclosures.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Noncontrolling Interests in Consolidated Financial Statements</w:t>
      </w:r>
    </w:p>
    <w:p>
      <w:pPr>
        <w:spacing w:after="0" w:line="185"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In December 2007, the FASB issued new accounting and reporting guidance for the noncontrolling interest in a subsidiary and for the deconsolidation of a subsidiary. The new guidance also changes the way the consolidated financial statements are presented, establishes a single method of accounting for changes in a parent’s ownership interest in a subsidiary that do not result in deconsolidation, requires that a parent recognize a gain or loss in net income when a subsidiary is deconsolidated and expands disclosures in the consolidated financial statements that clearly identify and distinguish between the parent’s ownership interest and the interest of the noncontrolling owners of a subsidiary. The provisions are to be applied prospectively as of the beginning of the fiscal year in which the guidance is adopted, except for the presentation and disclosure requirements, which are to be applied retrospectively for all periods presented. The Company adopted the new guidance beginning October 1, 2009, and the adoption of the new guidance did not impact the Company’s financial statements and related disclosures.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Determination of the Useful Life of Intangible Assets</w:t>
      </w:r>
    </w:p>
    <w:p>
      <w:pPr>
        <w:spacing w:after="0" w:line="198"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In April 2008, the FASB issued new accounting guidance which amends the list of factors an entity should consider in developing renewal or extension assumptions used in determining the useful life of recognized intangible assets. The new guidance applies to: (a) intangible assets that are acquired individually or with a group of other assets and (b) intangible assets acquired in both business combinations and asset acquisitions. Entities estimating the useful life of a recognized intangible asset must consider their historical experience in renewing or extending similar arrangements or, in the absence of historical experience, must consider assumptions that market participants would use about renewal or extension. The new guidance requires certain additional disclosures beginning October 1, 2009 and prospective application to useful life estimates for intangible assets acquired after September 30, 2009. The adoption of the new guidance did not have a material effect on the Company’s financial statements and related disclosures.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Employers’ Disclosures About Postretirement Benefit Plan Assets</w:t>
      </w:r>
    </w:p>
    <w:p>
      <w:pPr>
        <w:spacing w:after="0" w:line="18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December 2008, the FASB issued new accounting guidance on employers’ disclosures about assets of a defined benefit pension or other postretirement plan. It requires employers to disclose information about fair value measurements of plan assets. The objectives</w:t>
      </w:r>
    </w:p>
    <w:p>
      <w:pPr>
        <w:sectPr>
          <w:pgSz w:w="11900" w:h="16838" w:orient="portrait"/>
          <w:cols w:equalWidth="0" w:num="1">
            <w:col w:w="10219"/>
          </w:cols>
          <w:pgMar w:left="240" w:top="405" w:right="144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spacing w:after="0" w:line="255" w:lineRule="auto"/>
        <w:rPr>
          <w:sz w:val="20"/>
          <w:szCs w:val="20"/>
          <w:color w:val="auto"/>
        </w:rPr>
      </w:pPr>
      <w:r>
        <w:rPr>
          <w:rFonts w:ascii="Arial" w:cs="Arial" w:eastAsia="Arial" w:hAnsi="Arial"/>
          <w:sz w:val="18"/>
          <w:szCs w:val="18"/>
          <w:color w:val="auto"/>
        </w:rPr>
        <w:t>of the disclosures are to provide an understanding of: (a) how investment allocation decisions are made, including the factors that are pertinent to an understanding of investment policies and strategies; (b) the major categories of plan assets; (c) the inputs and valuation techniques used to measure the fair value of plan assets; (d) the effect of fair value measurements using significant unobservable inputs on changes in plan assets for the period; and (e) significant concentrations of risk within plan assets. The Company will adopt this new guidance at September 30, 2010, the next fair value measurement date of its defined benefit pension and retiree medical plans.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Accounting for Transfers of Financial Assets</w:t>
      </w:r>
    </w:p>
    <w:p>
      <w:pPr>
        <w:spacing w:after="0" w:line="185" w:lineRule="exact"/>
        <w:rPr>
          <w:sz w:val="20"/>
          <w:szCs w:val="20"/>
          <w:color w:val="auto"/>
        </w:rPr>
      </w:pPr>
    </w:p>
    <w:p>
      <w:pPr>
        <w:jc w:val="both"/>
        <w:ind w:left="340" w:right="1760"/>
        <w:spacing w:after="0" w:line="276" w:lineRule="auto"/>
        <w:rPr>
          <w:sz w:val="20"/>
          <w:szCs w:val="20"/>
          <w:color w:val="auto"/>
        </w:rPr>
      </w:pPr>
      <w:r>
        <w:rPr>
          <w:rFonts w:ascii="Arial" w:cs="Arial" w:eastAsia="Arial" w:hAnsi="Arial"/>
          <w:sz w:val="17"/>
          <w:szCs w:val="17"/>
          <w:color w:val="auto"/>
        </w:rPr>
        <w:t>In June 2009, the FASB issued new accounting guidance to improve the information provided in financial statements concerning transfers of financial assets, including the effects of transfers on financial position, financial performance and cash flows, and any continuing involvement of the transferor with the transferred financial assets. The provisions are effective for the Company’s financial statements for the fiscal year beginning October 1, 2010. The Company is in the process of evaluating the impact that the guidance may have on its financial statements and related disclosures.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Variable Interest Entities</w:t>
      </w:r>
    </w:p>
    <w:p>
      <w:pPr>
        <w:spacing w:after="0" w:line="198" w:lineRule="exact"/>
        <w:rPr>
          <w:sz w:val="20"/>
          <w:szCs w:val="20"/>
          <w:color w:val="auto"/>
        </w:rPr>
      </w:pPr>
    </w:p>
    <w:p>
      <w:pPr>
        <w:jc w:val="both"/>
        <w:ind w:left="340" w:right="1760"/>
        <w:spacing w:after="0" w:line="255" w:lineRule="auto"/>
        <w:rPr>
          <w:sz w:val="20"/>
          <w:szCs w:val="20"/>
          <w:color w:val="auto"/>
        </w:rPr>
      </w:pPr>
      <w:r>
        <w:rPr>
          <w:rFonts w:ascii="Arial" w:cs="Arial" w:eastAsia="Arial" w:hAnsi="Arial"/>
          <w:sz w:val="18"/>
          <w:szCs w:val="18"/>
          <w:color w:val="auto"/>
        </w:rPr>
        <w:t>In June 2009, the FASB issued new accounting guidance requiring an enterprise to perform an analysis to determine whether the enterprise’s variable interest or interests give it a controlling financial interest in a variable interest entity. The new guidance also requires enhanced disclosures that will provide users of financial statements with more transparent information about an enterprise’s involvement in a variable interest entity. The provisions are effective for the Company’s financial statements for the fiscal year beginning October 1, 2010. The Company is in the process of evaluating the impact that the guidance may have on its financial statements and related disclosures.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DISCONTINUED OPERATIONS</w:t>
      </w:r>
    </w:p>
    <w:p>
      <w:pPr>
        <w:spacing w:after="0" w:line="189" w:lineRule="exact"/>
        <w:rPr>
          <w:sz w:val="20"/>
          <w:szCs w:val="20"/>
          <w:color w:val="auto"/>
        </w:rPr>
      </w:pPr>
    </w:p>
    <w:p>
      <w:pPr>
        <w:jc w:val="both"/>
        <w:ind w:left="340" w:right="1760"/>
        <w:spacing w:after="0" w:line="273" w:lineRule="auto"/>
        <w:rPr>
          <w:sz w:val="20"/>
          <w:szCs w:val="20"/>
          <w:color w:val="auto"/>
        </w:rPr>
      </w:pPr>
      <w:r>
        <w:rPr>
          <w:rFonts w:ascii="Arial" w:cs="Arial" w:eastAsia="Arial" w:hAnsi="Arial"/>
          <w:sz w:val="17"/>
          <w:szCs w:val="17"/>
          <w:color w:val="auto"/>
        </w:rPr>
        <w:t>On July 8, 2009, Scotts Miracle-Gro announced that its wholly-owned subsidiary, Smith &amp; Hawken, Ltd., had adopted a plan to close the Smith &amp; Hawken business. During the Company’s first quarter of fiscal 2010, all Smith &amp; Hawken stores were closed and substantially all operational activities of Smith &amp; Hawken were discontinued. As a result, effective in its first quarter of fiscal 2010, the Company classified Smith &amp; Hawken as discontinued operations. Accordingly, the Company has reclassified its results of operations for the three and six months ended March 28, 2009 to reflect Smith &amp; Hawken as discontinued operations separate from the Company’s results of continuing operations.</w:t>
      </w:r>
    </w:p>
    <w:p>
      <w:pPr>
        <w:spacing w:after="0" w:line="151"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In the first six months of fiscal 2010, the Company incurred charges related to the liquidation of the Smith &amp; Hawken business primarily associated with the termination of retail site lease obligations, third-party agency fees and severance and benefit commitments. These charges were partially offset by a gain of approximately $18 million from the sale of the Smith &amp; Hawken intellectual property on December 30, 2009.</w:t>
      </w:r>
    </w:p>
    <w:p>
      <w:pPr>
        <w:spacing w:after="0" w:line="146" w:lineRule="exact"/>
        <w:rPr>
          <w:sz w:val="20"/>
          <w:szCs w:val="20"/>
          <w:color w:val="auto"/>
        </w:rPr>
      </w:pPr>
    </w:p>
    <w:p>
      <w:pPr>
        <w:jc w:val="both"/>
        <w:ind w:left="340" w:right="1760"/>
        <w:spacing w:after="0" w:line="342" w:lineRule="auto"/>
        <w:rPr>
          <w:sz w:val="20"/>
          <w:szCs w:val="20"/>
          <w:color w:val="auto"/>
        </w:rPr>
      </w:pPr>
      <w:r>
        <w:rPr>
          <w:rFonts w:ascii="Arial" w:cs="Arial" w:eastAsia="Arial" w:hAnsi="Arial"/>
          <w:sz w:val="16"/>
          <w:szCs w:val="16"/>
          <w:color w:val="auto"/>
        </w:rPr>
        <w:t>The following table summarizes results of Smith &amp; Hawken classified as discontinued operations in the Company’s Condensed, Consolidated Statements of Operations for the three and six months ended April 3, 2010 and March 28, 2009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2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SIX MONTHS ENDED</w:t>
            </w:r>
          </w:p>
        </w:tc>
        <w:tc>
          <w:tcPr>
            <w:tcW w:w="176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99"/>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7"/>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Operating costs</w:t>
            </w:r>
          </w:p>
        </w:tc>
        <w:tc>
          <w:tcPr>
            <w:tcW w:w="10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68.8</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Impairment, restructuring and other charges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discontinued operations before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176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tax expense (benefit) from discontinued</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17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760" w:type="dxa"/>
            <w:vAlign w:val="bottom"/>
            <w:gridSpan w:val="7"/>
          </w:tcPr>
          <w:p>
            <w:pPr>
              <w:spacing w:after="0"/>
              <w:rPr>
                <w:sz w:val="20"/>
                <w:szCs w:val="20"/>
                <w:color w:val="auto"/>
              </w:rPr>
            </w:pPr>
            <w:r>
              <w:rPr>
                <w:rFonts w:ascii="Arial" w:cs="Arial" w:eastAsia="Arial" w:hAnsi="Arial"/>
                <w:sz w:val="18"/>
                <w:szCs w:val="18"/>
                <w:color w:val="auto"/>
                <w:w w:val="93"/>
              </w:rPr>
              <w:t>The major classes of assets and liabilities of Smith &amp; Hawken were as follows (in millions):</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APRIL 3,</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28,</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4"/>
          </w:tcPr>
          <w:p>
            <w:pPr>
              <w:ind w:left="80"/>
              <w:spacing w:after="0"/>
              <w:rPr>
                <w:sz w:val="20"/>
                <w:szCs w:val="20"/>
                <w:color w:val="auto"/>
              </w:rPr>
            </w:pPr>
            <w:r>
              <w:rPr>
                <w:rFonts w:ascii="Arial" w:cs="Arial" w:eastAsia="Arial" w:hAnsi="Arial"/>
                <w:sz w:val="18"/>
                <w:szCs w:val="18"/>
                <w:b w:val="1"/>
                <w:bCs w:val="1"/>
                <w:color w:val="auto"/>
              </w:rPr>
              <w:t>(IN MILLIONS)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r>
      <w:tr>
        <w:trPr>
          <w:trHeight w:val="216"/>
        </w:trPr>
        <w:tc>
          <w:tcPr>
            <w:tcW w:w="34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r>
      <w:tr>
        <w:trPr>
          <w:trHeight w:val="223"/>
        </w:trPr>
        <w:tc>
          <w:tcPr>
            <w:tcW w:w="340" w:type="dxa"/>
            <w:vAlign w:val="bottom"/>
          </w:tcPr>
          <w:p>
            <w:pPr>
              <w:spacing w:after="0"/>
              <w:rPr>
                <w:sz w:val="19"/>
                <w:szCs w:val="19"/>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Assets of discontinued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r>
      <w:tr>
        <w:trPr>
          <w:trHeight w:val="216"/>
        </w:trPr>
        <w:tc>
          <w:tcPr>
            <w:tcW w:w="34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23"/>
        </w:trPr>
        <w:tc>
          <w:tcPr>
            <w:tcW w:w="340" w:type="dxa"/>
            <w:vAlign w:val="bottom"/>
          </w:tcPr>
          <w:p>
            <w:pPr>
              <w:spacing w:after="0"/>
              <w:rPr>
                <w:sz w:val="19"/>
                <w:szCs w:val="19"/>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Liabilities of discontinued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PRODUCT REGISTRATION AND RECALL MATTERS</w:t>
      </w:r>
    </w:p>
    <w:p>
      <w:pPr>
        <w:spacing w:after="0" w:line="189"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April 2008, the Company became aware that a former associate apparently deliberately circumvented Company policies and U.S. Environmental Protection Agency (“U.S. EPA”) regulations under the Federal Insecticide, Fungicide, and Rodenticide Act of 1947, as amended (“FIFRA”), by failing to obtain valid registrations for products and/or causing invalid product registration forms to be submitted to regulators. Since that time, the Company has been cooperating with both the U.S. EPA and the U.S. Department of Justice (“U.S. DOJ”) in related civil and criminal investigations into the pesticide product registration issues.</w:t>
      </w:r>
    </w:p>
    <w:p>
      <w:pPr>
        <w:spacing w:after="0" w:line="118"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6"/>
          <w:szCs w:val="16"/>
          <w:color w:val="auto"/>
        </w:rPr>
        <w:t>In late April of 2008, in connection with the U.S. EPA’s investigation, the Company conducted a consumer-level recall of certain consumer lawn and garden products and a Scotts LawnService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third-party firm, Quality Associates Incorporated (“QAI”), reviewed substantially all of the Company’s U.S. pesticide product registrations and associated advertisements, some of which were historical in nature and no longer related to sales of the Company’s products. The U.S. EPA investigation and the QAI review process resulted in the temporary suspension of sales and shipments of certain products. In addition, as the QAI review process or the Company’s internal review identified potential FIFRA registration issues (some of which appear unrelated to the actions of the former associate), the Company endeavored to stop selling or distributing the affected products until the issues could be resolved. QAI’s review of the Company’s U.S. pesticide product registrations and associated advertisements is now substantially complete. The results of the QAI review process did not materially affect the Company’s fiscal 2009 or year-to-date fiscal 2010 sales and are not expected to materially affect the Company’s sales during the remainder of fiscal 2010.</w:t>
      </w:r>
    </w:p>
    <w:p>
      <w:pPr>
        <w:spacing w:after="0" w:line="151" w:lineRule="exact"/>
        <w:rPr>
          <w:sz w:val="20"/>
          <w:szCs w:val="20"/>
          <w:color w:val="auto"/>
        </w:rPr>
      </w:pPr>
    </w:p>
    <w:p>
      <w:pPr>
        <w:jc w:val="both"/>
        <w:ind w:left="340" w:right="559"/>
        <w:spacing w:after="0" w:line="242" w:lineRule="auto"/>
        <w:rPr>
          <w:sz w:val="20"/>
          <w:szCs w:val="20"/>
          <w:color w:val="auto"/>
        </w:rPr>
      </w:pPr>
      <w:r>
        <w:rPr>
          <w:rFonts w:ascii="Arial" w:cs="Arial" w:eastAsia="Arial" w:hAnsi="Arial"/>
          <w:sz w:val="17"/>
          <w:szCs w:val="17"/>
          <w:color w:val="auto"/>
        </w:rPr>
        <w:t>In late 2008, Scotts Miracle-Gro and its indirect subsidiary, EG Systems, Inc., doing business as Scotts LawnService</w:t>
      </w:r>
      <w:r>
        <w:rPr>
          <w:rFonts w:ascii="Arial" w:cs="Arial" w:eastAsia="Arial" w:hAnsi="Arial"/>
          <w:sz w:val="25"/>
          <w:szCs w:val="25"/>
          <w:color w:val="auto"/>
          <w:vertAlign w:val="superscript"/>
        </w:rPr>
        <w:t>®</w:t>
      </w:r>
      <w:r>
        <w:rPr>
          <w:rFonts w:ascii="Arial" w:cs="Arial" w:eastAsia="Arial" w:hAnsi="Arial"/>
          <w:sz w:val="17"/>
          <w:szCs w:val="17"/>
          <w:color w:val="auto"/>
        </w:rPr>
        <w:t>, were named as defendants in a purported class action filed in the U.S. District Court for the Eastern District of Michigan relating to the application of certain pesticide products by Scotts LawnService</w:t>
      </w:r>
      <w:r>
        <w:rPr>
          <w:rFonts w:ascii="Arial" w:cs="Arial" w:eastAsia="Arial" w:hAnsi="Arial"/>
          <w:sz w:val="25"/>
          <w:szCs w:val="25"/>
          <w:color w:val="auto"/>
          <w:vertAlign w:val="superscript"/>
        </w:rPr>
        <w:t>®</w:t>
      </w:r>
      <w:r>
        <w:rPr>
          <w:rFonts w:ascii="Arial" w:cs="Arial" w:eastAsia="Arial" w:hAnsi="Arial"/>
          <w:sz w:val="17"/>
          <w:szCs w:val="17"/>
          <w:color w:val="auto"/>
        </w:rPr>
        <w:t>. In the suit, Mark Baumkel, on behalf of himself and the purported classes, sought an unspecified amount of damages, plus costs and attorneys’ fees, for alleged claims involving breach of contract, unjust enrichment, tort, and violation of the State of Michigan’s consumer protection act. On September 28, 2009, the court granted the motion filed by Scotts Miracle-Gro and EG Systems, Inc. and dismissed the suit with prejudice. Since that time, Scotts Miracle-Gro, EG Systems, Inc. and Mr. Baumkel have agreed to a confidential settlement that, among other things, precludes an appeal of the decision. The impact of the confidential settlement did not, and will not, materially affect the Company’s financial condition, results of operations or cash flows.</w:t>
      </w:r>
    </w:p>
    <w:p>
      <w:pPr>
        <w:spacing w:after="0" w:line="16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fiscal 2008, the Company conducted a voluntary recall of certain of its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results of the wild bird food recall did not materially affect the Company’s fiscal 2009 financial condition, results of operations or cash flows.</w:t>
      </w:r>
    </w:p>
    <w:p>
      <w:pPr>
        <w:spacing w:after="0" w:line="149"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As a result of these registration and recall matters, the Company has reversed sales associated with estimated returns of affected products, recorded charges for affected inventory and recorded other registration and recall-related costs. The impacts of these adjustments were pre-tax charges of $1.7 million and $8.0 million for the three-month periods, and $4.3 million and $15.6 million for the six-month periods ended April 3, 2010 and March 28, 2009, respectively. The Company expects to incur $8.0 to $12.0 million in fiscal 2010 on recall and registration matters, excluding possible fines, penalties, judgments and/or litigation costs. These fiscal 2010 charges primarily consist of costs associated with the reworking of certain finished goods inventories, the potential disposal of certain products and ongoing third-party professional services related to the U.S. EPA and U.S. DOJ investigations.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The U.S. EPA and U.S. DOJ investigations continue and may result in future state, federal or private actions including fines and/or penalties with respect to known or potential additional product registration issues. Until the U.S. EPA and U.S. DOJ investigations are complete, the Company cannot reasonably determine the scope or magnitude of possible liabilities that could result from known or potential product registration issues, and no reserves for these potential liabilities have been established as of April 3, 2010. However, it is possible that such liabilities, including fines, penalties, judgments and/or litigation costs could be material and have an adverse effect on the Company’s financial condition, results of operations or cash flows.</w:t>
      </w:r>
    </w:p>
    <w:p>
      <w:pPr>
        <w:spacing w:after="0" w:line="13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following tables summarize the impact of the product registration and recall matters on the Company’s results of operations during the three and six months ended April 3, 2010 and March 28, 2009, and on accrued liabilities and inventory reserves as of April 3, 2010 (in millions):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11"/>
          </w:tcPr>
          <w:p>
            <w:pPr>
              <w:ind w:left="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3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Borders>
              <w:top w:val="single" w:sz="8" w:color="auto"/>
            </w:tcBorders>
            <w:gridSpan w:val="6"/>
          </w:tcPr>
          <w:p>
            <w:pPr>
              <w:jc w:val="center"/>
              <w:spacing w:after="0" w:line="191" w:lineRule="exact"/>
              <w:rPr>
                <w:sz w:val="20"/>
                <w:szCs w:val="20"/>
                <w:color w:val="auto"/>
              </w:rPr>
            </w:pPr>
            <w:r>
              <w:rPr>
                <w:rFonts w:ascii="Arial" w:cs="Arial" w:eastAsia="Arial" w:hAnsi="Arial"/>
                <w:sz w:val="18"/>
                <w:szCs w:val="18"/>
                <w:b w:val="1"/>
                <w:bCs w:val="1"/>
                <w:color w:val="auto"/>
                <w:w w:val="99"/>
              </w:rPr>
              <w:t>APRIL 3,</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3"/>
          </w:tcPr>
          <w:p>
            <w:pPr>
              <w:jc w:val="right"/>
              <w:spacing w:after="0" w:line="191" w:lineRule="exact"/>
              <w:rPr>
                <w:sz w:val="20"/>
                <w:szCs w:val="20"/>
                <w:color w:val="auto"/>
              </w:rPr>
            </w:pPr>
            <w:r>
              <w:rPr>
                <w:rFonts w:ascii="Arial" w:cs="Arial" w:eastAsia="Arial" w:hAnsi="Arial"/>
                <w:sz w:val="18"/>
                <w:szCs w:val="18"/>
                <w:b w:val="1"/>
                <w:bCs w:val="1"/>
                <w:color w:val="auto"/>
                <w:w w:val="96"/>
              </w:rPr>
              <w:t>MARCH 28,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99"/>
              </w:rPr>
              <w:t>APRIL 3,</w:t>
            </w: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sales — product recalls</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Cost of sales — product recalls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other charges</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362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0"/>
              </w:rPr>
              <w:t>(0.6)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3620" w:type="dxa"/>
            <w:vAlign w:val="bottom"/>
          </w:tcPr>
          <w:p>
            <w:pPr>
              <w:ind w:left="20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0"/>
              </w:rPr>
              <w:t>(1.7)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36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0"/>
              </w:rPr>
              <w:t>(1.1)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7"/>
          </w:tcPr>
          <w:p>
            <w:pPr>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440" w:type="dxa"/>
            <w:vAlign w:val="bottom"/>
            <w:gridSpan w:val="5"/>
          </w:tcPr>
          <w:p>
            <w:pPr>
              <w:ind w:left="60"/>
              <w:spacing w:after="0"/>
              <w:rPr>
                <w:sz w:val="20"/>
                <w:szCs w:val="20"/>
                <w:color w:val="auto"/>
              </w:rPr>
            </w:pPr>
            <w:r>
              <w:rPr>
                <w:rFonts w:ascii="Arial" w:cs="Arial" w:eastAsia="Arial" w:hAnsi="Arial"/>
                <w:sz w:val="18"/>
                <w:szCs w:val="18"/>
                <w:b w:val="1"/>
                <w:bCs w:val="1"/>
                <w:color w:val="auto"/>
              </w:rPr>
              <w:t>RESERVES AT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6"/>
          </w:tcPr>
          <w:p>
            <w:pPr>
              <w:ind w:left="20"/>
              <w:spacing w:after="0"/>
              <w:rPr>
                <w:sz w:val="20"/>
                <w:szCs w:val="20"/>
                <w:color w:val="auto"/>
              </w:rPr>
            </w:pPr>
            <w:r>
              <w:rPr>
                <w:rFonts w:ascii="Arial" w:cs="Arial" w:eastAsia="Arial" w:hAnsi="Arial"/>
                <w:sz w:val="18"/>
                <w:szCs w:val="18"/>
                <w:b w:val="1"/>
                <w:bCs w:val="1"/>
                <w:color w:val="auto"/>
              </w:rPr>
              <w:t>COSTS AND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Arial" w:cs="Arial" w:eastAsia="Arial" w:hAnsi="Arial"/>
                <w:sz w:val="18"/>
                <w:szCs w:val="18"/>
                <w:b w:val="1"/>
                <w:bCs w:val="1"/>
                <w:color w:val="auto"/>
              </w:rPr>
              <w:t>RESERVES AT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440" w:type="dxa"/>
            <w:vAlign w:val="bottom"/>
            <w:gridSpan w:val="5"/>
          </w:tcPr>
          <w:p>
            <w:pPr>
              <w:spacing w:after="0"/>
              <w:rPr>
                <w:sz w:val="20"/>
                <w:szCs w:val="20"/>
                <w:color w:val="auto"/>
              </w:rPr>
            </w:pPr>
            <w:r>
              <w:rPr>
                <w:rFonts w:ascii="Arial" w:cs="Arial" w:eastAsia="Arial" w:hAnsi="Arial"/>
                <w:sz w:val="18"/>
                <w:szCs w:val="18"/>
                <w:b w:val="1"/>
                <w:bCs w:val="1"/>
                <w:color w:val="auto"/>
                <w:w w:val="99"/>
              </w:rPr>
              <w:t>SEPTEMBER 30,</w:t>
            </w:r>
          </w:p>
        </w:tc>
        <w:tc>
          <w:tcPr>
            <w:tcW w:w="240" w:type="dxa"/>
            <w:vAlign w:val="bottom"/>
          </w:tcPr>
          <w:p>
            <w:pPr>
              <w:spacing w:after="0"/>
              <w:rPr>
                <w:sz w:val="18"/>
                <w:szCs w:val="18"/>
                <w:color w:val="auto"/>
              </w:rPr>
            </w:pPr>
          </w:p>
        </w:tc>
        <w:tc>
          <w:tcPr>
            <w:tcW w:w="1480" w:type="dxa"/>
            <w:vAlign w:val="bottom"/>
            <w:gridSpan w:val="7"/>
          </w:tcPr>
          <w:p>
            <w:pPr>
              <w:ind w:left="20"/>
              <w:spacing w:after="0"/>
              <w:rPr>
                <w:sz w:val="20"/>
                <w:szCs w:val="20"/>
                <w:color w:val="auto"/>
              </w:rPr>
            </w:pPr>
            <w:r>
              <w:rPr>
                <w:rFonts w:ascii="Arial" w:cs="Arial" w:eastAsia="Arial" w:hAnsi="Arial"/>
                <w:sz w:val="18"/>
                <w:szCs w:val="18"/>
                <w:b w:val="1"/>
                <w:bCs w:val="1"/>
                <w:color w:val="auto"/>
              </w:rPr>
              <w:t>CHANGES IN</w:t>
            </w:r>
          </w:p>
        </w:tc>
        <w:tc>
          <w:tcPr>
            <w:tcW w:w="1240" w:type="dxa"/>
            <w:vAlign w:val="bottom"/>
            <w:gridSpan w:val="5"/>
          </w:tcPr>
          <w:p>
            <w:pPr>
              <w:spacing w:after="0"/>
              <w:rPr>
                <w:sz w:val="20"/>
                <w:szCs w:val="20"/>
                <w:color w:val="auto"/>
              </w:rPr>
            </w:pPr>
            <w:r>
              <w:rPr>
                <w:rFonts w:ascii="Arial" w:cs="Arial" w:eastAsia="Arial" w:hAnsi="Arial"/>
                <w:sz w:val="18"/>
                <w:szCs w:val="18"/>
                <w:b w:val="1"/>
                <w:bCs w:val="1"/>
                <w:color w:val="auto"/>
              </w:rPr>
              <w:t>RESERVES</w:t>
            </w:r>
          </w:p>
        </w:tc>
        <w:tc>
          <w:tcPr>
            <w:tcW w:w="1300" w:type="dxa"/>
            <w:vAlign w:val="bottom"/>
            <w:gridSpan w:val="4"/>
          </w:tcPr>
          <w:p>
            <w:pPr>
              <w:ind w:left="240"/>
              <w:spacing w:after="0"/>
              <w:rPr>
                <w:sz w:val="20"/>
                <w:szCs w:val="20"/>
                <w:color w:val="auto"/>
              </w:rPr>
            </w:pPr>
            <w:r>
              <w:rPr>
                <w:rFonts w:ascii="Arial" w:cs="Arial" w:eastAsia="Arial" w:hAnsi="Arial"/>
                <w:sz w:val="18"/>
                <w:szCs w:val="18"/>
                <w:b w:val="1"/>
                <w:bCs w:val="1"/>
                <w:color w:val="auto"/>
              </w:rPr>
              <w:t>APRIL 3,</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414"/>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ESTIMATE</w:t>
            </w:r>
          </w:p>
        </w:tc>
        <w:tc>
          <w:tcPr>
            <w:tcW w:w="320" w:type="dxa"/>
            <w:vAlign w:val="bottom"/>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USED</w:t>
            </w:r>
          </w:p>
        </w:tc>
        <w:tc>
          <w:tcPr>
            <w:tcW w:w="300" w:type="dxa"/>
            <w:vAlign w:val="bottom"/>
            <w:gridSpan w:val="2"/>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w w:val="87"/>
              </w:rPr>
              <w:t>4.1</w:t>
            </w: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Other incremental costs of sales</w:t>
            </w:r>
          </w:p>
        </w:tc>
        <w:tc>
          <w:tcPr>
            <w:tcW w:w="300" w:type="dxa"/>
            <w:vAlign w:val="bottom"/>
          </w:tcPr>
          <w:p>
            <w:pPr>
              <w:spacing w:after="0"/>
              <w:rPr>
                <w:sz w:val="18"/>
                <w:szCs w:val="18"/>
                <w:color w:val="auto"/>
              </w:rPr>
            </w:pPr>
          </w:p>
        </w:tc>
        <w:tc>
          <w:tcPr>
            <w:tcW w:w="1080" w:type="dxa"/>
            <w:vAlign w:val="bottom"/>
            <w:gridSpan w:val="3"/>
          </w:tcPr>
          <w:p>
            <w:pPr>
              <w:ind w:left="840"/>
              <w:spacing w:after="0"/>
              <w:rPr>
                <w:sz w:val="20"/>
                <w:szCs w:val="20"/>
                <w:color w:val="auto"/>
              </w:rPr>
            </w:pPr>
            <w:r>
              <w:rPr>
                <w:rFonts w:ascii="Arial" w:cs="Arial" w:eastAsia="Arial" w:hAnsi="Arial"/>
                <w:sz w:val="18"/>
                <w:szCs w:val="18"/>
                <w:color w:val="auto"/>
                <w:w w:val="87"/>
              </w:rPr>
              <w:t>4.2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costs</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w w:val="87"/>
              </w:rPr>
              <w:t>1.4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Accrued liabilities and inventory reserves</w:t>
            </w:r>
          </w:p>
        </w:tc>
        <w:tc>
          <w:tcPr>
            <w:tcW w:w="3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840"/>
              <w:spacing w:after="0"/>
              <w:rPr>
                <w:sz w:val="20"/>
                <w:szCs w:val="20"/>
                <w:color w:val="auto"/>
              </w:rPr>
            </w:pPr>
            <w:r>
              <w:rPr>
                <w:rFonts w:ascii="Arial" w:cs="Arial" w:eastAsia="Arial" w:hAnsi="Arial"/>
                <w:sz w:val="18"/>
                <w:szCs w:val="18"/>
                <w:color w:val="auto"/>
                <w:w w:val="79"/>
              </w:rPr>
              <w:t>9.7</w:t>
            </w:r>
          </w:p>
        </w:tc>
        <w:tc>
          <w:tcPr>
            <w:tcW w:w="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DETAIL OF INVENTORIES, NET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Inventories, net of provisions for slow moving and obsolete inventory of $30.3 million, $28.5 million and $35.3 million as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April 3, 2010, March 28, 2009 and September 30, 2009, respectively, consisted of:</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APRIL 3,</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28,</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4"/>
          </w:tcPr>
          <w:p>
            <w:pPr>
              <w:ind w:left="80"/>
              <w:spacing w:after="0"/>
              <w:rPr>
                <w:sz w:val="20"/>
                <w:szCs w:val="20"/>
                <w:color w:val="auto"/>
              </w:rPr>
            </w:pPr>
            <w:r>
              <w:rPr>
                <w:rFonts w:ascii="Arial" w:cs="Arial" w:eastAsia="Arial" w:hAnsi="Arial"/>
                <w:sz w:val="18"/>
                <w:szCs w:val="18"/>
                <w:b w:val="1"/>
                <w:bCs w:val="1"/>
                <w:color w:val="auto"/>
              </w:rPr>
              <w:t>(IN MILLIONS)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462.6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239.1</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41.5</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178.3</w:t>
            </w:r>
          </w:p>
        </w:tc>
      </w:tr>
      <w:tr>
        <w:trPr>
          <w:trHeight w:val="223"/>
        </w:trPr>
        <w:tc>
          <w:tcPr>
            <w:tcW w:w="5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w:t>
            </w:r>
          </w:p>
        </w:tc>
        <w:tc>
          <w:tcPr>
            <w:tcW w:w="8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MARKETING AGREEMENT</w:t>
      </w:r>
    </w:p>
    <w:p>
      <w:pPr>
        <w:spacing w:after="0" w:line="189" w:lineRule="exact"/>
        <w:rPr>
          <w:sz w:val="20"/>
          <w:szCs w:val="20"/>
          <w:color w:val="auto"/>
        </w:rPr>
      </w:pPr>
    </w:p>
    <w:p>
      <w:pPr>
        <w:jc w:val="both"/>
        <w:ind w:left="340" w:right="559"/>
        <w:spacing w:after="0" w:line="227" w:lineRule="auto"/>
        <w:rPr>
          <w:sz w:val="20"/>
          <w:szCs w:val="20"/>
          <w:color w:val="auto"/>
        </w:rPr>
      </w:pPr>
      <w:r>
        <w:rPr>
          <w:rFonts w:ascii="Arial" w:cs="Arial" w:eastAsia="Arial" w:hAnsi="Arial"/>
          <w:sz w:val="17"/>
          <w:szCs w:val="17"/>
          <w:color w:val="auto"/>
        </w:rPr>
        <w:t>The Company is Monsanto’s exclusive agent for the domestic and international marketing and distribution of consumer Roundup</w:t>
      </w:r>
      <w:r>
        <w:rPr>
          <w:rFonts w:ascii="Arial" w:cs="Arial" w:eastAsia="Arial" w:hAnsi="Arial"/>
          <w:sz w:val="25"/>
          <w:szCs w:val="25"/>
          <w:color w:val="auto"/>
          <w:vertAlign w:val="superscript"/>
        </w:rPr>
        <w:t>®</w:t>
      </w:r>
      <w:r>
        <w:rPr>
          <w:rFonts w:ascii="Arial" w:cs="Arial" w:eastAsia="Arial" w:hAnsi="Arial"/>
          <w:sz w:val="17"/>
          <w:szCs w:val="17"/>
          <w:color w:val="auto"/>
        </w:rPr>
        <w:t xml:space="preserve"> herbicide products. Under the terms of the Marketing Agreement with Monsanto, the Company is entitled to receive an annual commission from Monsanto in consideration for the performance of the Company’s duties as agent. The annual gross commission under the Marketing Agreement is calculated as a percentage of the actual earnings before interest and income taxes (“EBIT”) of the consumer Roundup</w:t>
      </w:r>
      <w:r>
        <w:rPr>
          <w:rFonts w:ascii="Arial" w:cs="Arial" w:eastAsia="Arial" w:hAnsi="Arial"/>
          <w:sz w:val="25"/>
          <w:szCs w:val="25"/>
          <w:color w:val="auto"/>
          <w:vertAlign w:val="superscript"/>
        </w:rPr>
        <w:t>®</w:t>
      </w:r>
      <w:r>
        <w:rPr>
          <w:rFonts w:ascii="Arial" w:cs="Arial" w:eastAsia="Arial" w:hAnsi="Arial"/>
          <w:sz w:val="17"/>
          <w:szCs w:val="17"/>
          <w:color w:val="auto"/>
        </w:rPr>
        <w:t xml:space="preserve"> business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25"/>
          <w:szCs w:val="25"/>
          <w:color w:val="auto"/>
          <w:vertAlign w:val="superscript"/>
        </w:rPr>
        <w:t>®</w:t>
      </w:r>
      <w:r>
        <w:rPr>
          <w:rFonts w:ascii="Arial" w:cs="Arial" w:eastAsia="Arial" w:hAnsi="Arial"/>
          <w:sz w:val="17"/>
          <w:szCs w:val="17"/>
          <w:color w:val="auto"/>
        </w:rPr>
        <w:t xml:space="preserve"> business. The annual contribution payment is defined in the Marketing Agreement as $20 million.</w:t>
      </w:r>
    </w:p>
    <w:p>
      <w:pPr>
        <w:spacing w:after="0" w:line="164"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Based on management’s current assessment of the likely term of the Marketing Agreement, the useful life over which the marketing fee is being amortized is 20 years.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2" w:lineRule="auto"/>
        <w:rPr>
          <w:sz w:val="20"/>
          <w:szCs w:val="20"/>
          <w:color w:val="auto"/>
        </w:rPr>
      </w:pPr>
      <w:r>
        <w:rPr>
          <w:rFonts w:ascii="Arial" w:cs="Arial" w:eastAsia="Arial" w:hAnsi="Arial"/>
          <w:sz w:val="17"/>
          <w:szCs w:val="17"/>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7"/>
          <w:szCs w:val="17"/>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or net income. The related net sales and cost of sales were $18.4 million and $15.2 million for the three-month periods, and $35.1 million and $30.8 million for the six-month periods ended April 3, 2010 and March 28, 2009, respectively.</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elements of the net commission earned under the Marketing Agreement and included in “Net sales” are as follows: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60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22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right"/>
              <w:ind w:right="440"/>
              <w:spacing w:after="0" w:line="191" w:lineRule="exact"/>
              <w:rPr>
                <w:sz w:val="20"/>
                <w:szCs w:val="20"/>
                <w:color w:val="auto"/>
              </w:rPr>
            </w:pPr>
            <w:r>
              <w:rPr>
                <w:rFonts w:ascii="Arial" w:cs="Arial" w:eastAsia="Arial" w:hAnsi="Arial"/>
                <w:sz w:val="18"/>
                <w:szCs w:val="18"/>
                <w:b w:val="1"/>
                <w:bCs w:val="1"/>
                <w:color w:val="auto"/>
                <w:w w:val="97"/>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3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50"/>
              <w:spacing w:after="0" w:line="191" w:lineRule="exact"/>
              <w:rPr>
                <w:sz w:val="20"/>
                <w:szCs w:val="20"/>
                <w:color w:val="auto"/>
              </w:rPr>
            </w:pPr>
            <w:r>
              <w:rPr>
                <w:rFonts w:ascii="Arial" w:cs="Arial" w:eastAsia="Arial" w:hAnsi="Arial"/>
                <w:sz w:val="18"/>
                <w:szCs w:val="18"/>
                <w:b w:val="1"/>
                <w:bCs w:val="1"/>
                <w:color w:val="auto"/>
                <w:w w:val="99"/>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60" w:type="dxa"/>
            <w:vAlign w:val="bottom"/>
          </w:tcPr>
          <w:p>
            <w:pPr>
              <w:spacing w:after="0"/>
              <w:rPr>
                <w:sz w:val="16"/>
                <w:szCs w:val="16"/>
                <w:color w:val="auto"/>
              </w:rPr>
            </w:pPr>
          </w:p>
        </w:tc>
      </w:tr>
      <w:tr>
        <w:trPr>
          <w:trHeight w:val="234"/>
        </w:trPr>
        <w:tc>
          <w:tcPr>
            <w:tcW w:w="4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20"/>
                <w:szCs w:val="20"/>
                <w:color w:val="auto"/>
              </w:rPr>
            </w:pPr>
          </w:p>
        </w:tc>
      </w:tr>
      <w:tr>
        <w:trPr>
          <w:trHeight w:val="210"/>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3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86"/>
              </w:rPr>
              <w:t>MILLIONS)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132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89"/>
              </w:rPr>
              <w:t>MILLIONS)</w:t>
            </w:r>
          </w:p>
        </w:tc>
        <w:tc>
          <w:tcPr>
            <w:tcW w:w="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Contribution expenses</w:t>
            </w:r>
          </w:p>
        </w:tc>
        <w:tc>
          <w:tcPr>
            <w:tcW w:w="10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marketing fee</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4420" w:type="dxa"/>
            <w:vAlign w:val="bottom"/>
          </w:tcPr>
          <w:p>
            <w:pPr>
              <w:ind w:left="200"/>
              <w:spacing w:after="0"/>
              <w:rPr>
                <w:sz w:val="20"/>
                <w:szCs w:val="20"/>
                <w:color w:val="auto"/>
              </w:rPr>
            </w:pPr>
            <w:r>
              <w:rPr>
                <w:rFonts w:ascii="Arial" w:cs="Arial" w:eastAsia="Arial" w:hAnsi="Arial"/>
                <w:sz w:val="18"/>
                <w:szCs w:val="18"/>
                <w:color w:val="auto"/>
              </w:rPr>
              <w:t>Net commission income</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9"/>
                <w:szCs w:val="19"/>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9"/>
              </w:rPr>
              <w:t>Reimbursements associated with Marketing Agreement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r>
      <w:tr>
        <w:trPr>
          <w:trHeight w:val="223"/>
        </w:trPr>
        <w:tc>
          <w:tcPr>
            <w:tcW w:w="4420" w:type="dxa"/>
            <w:vAlign w:val="bottom"/>
          </w:tcPr>
          <w:p>
            <w:pPr>
              <w:ind w:left="200"/>
              <w:spacing w:after="0"/>
              <w:rPr>
                <w:sz w:val="20"/>
                <w:szCs w:val="20"/>
                <w:color w:val="auto"/>
              </w:rPr>
            </w:pPr>
            <w:r>
              <w:rPr>
                <w:rFonts w:ascii="Arial" w:cs="Arial" w:eastAsia="Arial" w:hAnsi="Arial"/>
                <w:sz w:val="18"/>
                <w:szCs w:val="18"/>
                <w:color w:val="auto"/>
                <w:w w:val="99"/>
              </w:rPr>
              <w:t>Total net sales associated with Marketing Agreement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6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Marketing Agreement has no definite term except as it relates to the European Union countries (the “EU term”). The EU term extends through September 30, 2011, with up to two additional automatic renewal periods of two years each, subject to non-renewal only upon the occurrence of certain performance defaults. Thereafter, the Marketing Agreement provides that the parties may agree to renew the EU term for an additional three years.</w:t>
      </w:r>
    </w:p>
    <w:p>
      <w:pPr>
        <w:spacing w:after="0" w:line="146" w:lineRule="exact"/>
        <w:rPr>
          <w:sz w:val="20"/>
          <w:szCs w:val="20"/>
          <w:color w:val="auto"/>
        </w:rPr>
      </w:pPr>
    </w:p>
    <w:p>
      <w:pPr>
        <w:jc w:val="both"/>
        <w:ind w:left="340" w:right="559"/>
        <w:spacing w:after="0" w:line="256" w:lineRule="auto"/>
        <w:rPr>
          <w:sz w:val="20"/>
          <w:szCs w:val="20"/>
          <w:color w:val="auto"/>
        </w:rPr>
      </w:pPr>
      <w:r>
        <w:rPr>
          <w:rFonts w:ascii="Arial" w:cs="Arial" w:eastAsia="Arial" w:hAnsi="Arial"/>
          <w:sz w:val="16"/>
          <w:szCs w:val="16"/>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23"/>
          <w:szCs w:val="23"/>
          <w:color w:val="auto"/>
          <w:vertAlign w:val="superscript"/>
        </w:rPr>
        <w:t>®</w:t>
      </w:r>
      <w:r>
        <w:rPr>
          <w:rFonts w:ascii="Arial" w:cs="Arial" w:eastAsia="Arial" w:hAnsi="Arial"/>
          <w:sz w:val="16"/>
          <w:szCs w:val="16"/>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23"/>
          <w:szCs w:val="23"/>
          <w:color w:val="auto"/>
          <w:vertAlign w:val="superscript"/>
        </w:rPr>
        <w:t>®</w:t>
      </w:r>
      <w:r>
        <w:rPr>
          <w:rFonts w:ascii="Arial" w:cs="Arial" w:eastAsia="Arial" w:hAnsi="Arial"/>
          <w:sz w:val="16"/>
          <w:szCs w:val="16"/>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consumer Roundup</w:t>
      </w:r>
      <w:r>
        <w:rPr>
          <w:rFonts w:ascii="Arial" w:cs="Arial" w:eastAsia="Arial" w:hAnsi="Arial"/>
          <w:sz w:val="23"/>
          <w:szCs w:val="23"/>
          <w:color w:val="auto"/>
          <w:vertAlign w:val="superscript"/>
        </w:rPr>
        <w:t>®</w:t>
      </w:r>
      <w:r>
        <w:rPr>
          <w:rFonts w:ascii="Arial" w:cs="Arial" w:eastAsia="Arial" w:hAnsi="Arial"/>
          <w:sz w:val="16"/>
          <w:szCs w:val="16"/>
          <w:color w:val="auto"/>
        </w:rPr>
        <w:t xml:space="preserve"> business exceeding a certain threshold, but in no event will the termination fee be less than $16 million. If Monsanto were to terminate the Marketing Agreement due to an event of default by the Company, however, the Company would not be entitled to any termination fee, and the Company would lose all, or a substantial portion, of the significant source of earnings and overhead expense absorption the Marketing Agreement provides.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w:t>
      </w:r>
    </w:p>
    <w:p>
      <w:pPr>
        <w:spacing w:after="0" w:line="16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NOTE 6. DEBT</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5320" w:type="dxa"/>
            <w:vAlign w:val="bottom"/>
          </w:tcPr>
          <w:p>
            <w:pPr>
              <w:spacing w:after="0"/>
              <w:rPr>
                <w:sz w:val="20"/>
                <w:szCs w:val="20"/>
                <w:color w:val="auto"/>
              </w:rPr>
            </w:pPr>
            <w:r>
              <w:rPr>
                <w:rFonts w:ascii="Arial" w:cs="Arial" w:eastAsia="Arial" w:hAnsi="Arial"/>
                <w:sz w:val="18"/>
                <w:szCs w:val="18"/>
                <w:color w:val="auto"/>
              </w:rPr>
              <w:t>The components of long-term debt are as follows:</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APRIL 3,</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28,</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4"/>
          </w:tcPr>
          <w:p>
            <w:pPr>
              <w:ind w:left="80"/>
              <w:spacing w:after="0"/>
              <w:rPr>
                <w:sz w:val="20"/>
                <w:szCs w:val="20"/>
                <w:color w:val="auto"/>
              </w:rPr>
            </w:pPr>
            <w:r>
              <w:rPr>
                <w:rFonts w:ascii="Arial" w:cs="Arial" w:eastAsia="Arial" w:hAnsi="Arial"/>
                <w:sz w:val="18"/>
                <w:szCs w:val="18"/>
                <w:b w:val="1"/>
                <w:bCs w:val="1"/>
                <w:color w:val="auto"/>
              </w:rPr>
              <w:t>(IN MILLIONS)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8"/>
                <w:szCs w:val="18"/>
                <w:color w:val="auto"/>
              </w:rPr>
              <w:t>Revolving 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720.7</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757.9</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330.4</w:t>
            </w:r>
          </w:p>
        </w:tc>
      </w:tr>
      <w:tr>
        <w:trPr>
          <w:trHeight w:val="216"/>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 loans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386.4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533.4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456.4</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Senior Notes — 7.25%</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Master Accounts Receivable Purchase Agreement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Notes due to sellers</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Foreign bank borrowings and term loans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r>
      <w:tr>
        <w:trPr>
          <w:trHeight w:val="27"/>
        </w:trPr>
        <w:tc>
          <w:tcPr>
            <w:tcW w:w="5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1,592.2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Less current portions</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396.0</w:t>
            </w: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160.4</w:t>
            </w:r>
          </w:p>
        </w:tc>
      </w:tr>
      <w:tr>
        <w:trPr>
          <w:trHeight w:val="27"/>
        </w:trPr>
        <w:tc>
          <w:tcPr>
            <w:tcW w:w="5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1,196.2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649.7</w:t>
            </w:r>
          </w:p>
        </w:tc>
      </w:tr>
      <w:tr>
        <w:trPr>
          <w:trHeight w:val="20"/>
        </w:trPr>
        <w:tc>
          <w:tcPr>
            <w:tcW w:w="5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In February 2007, Scotts Miracle-Gro and certain of its subsidiaries entered into the following senior secured credit facilities totaling up to $2.15 billion in the aggregate: (a) a senior secured five-year term loan in the principal amount of $560 million and</w:t>
      </w:r>
    </w:p>
    <w:p>
      <w:pPr>
        <w:jc w:val="both"/>
        <w:ind w:left="340" w:right="559" w:hanging="8"/>
        <w:spacing w:after="0" w:line="254" w:lineRule="auto"/>
        <w:tabs>
          <w:tab w:leader="none" w:pos="599"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senior secured five-year revolving loan facility in the aggregate principal amount of up to $1.59 billion. Under the terms of these credit facilities, the Company may request an additional $200 million in revolving credit and/or term credit commitments, subject to approval from the lenders. Borrowings may be made in various currencies including U.S. dollars, Euros, British pounds, Australian</w:t>
      </w:r>
    </w:p>
    <w:p>
      <w:pPr>
        <w:sectPr>
          <w:pgSz w:w="11900" w:h="16838" w:orient="portrait"/>
          <w:cols w:equalWidth="0" w:num="1">
            <w:col w:w="10219"/>
          </w:cols>
          <w:pgMar w:left="240" w:top="419" w:right="1440" w:bottom="703"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03"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dollars and Canadian dollars. Amortization payments on the term loan portion of the credit facilities began on September 30, 2007 and are due quarterly through 2012. As of April 3, 2010, the cumulative total amortization payments on the term loan were $173.6 million, reducing the balance of the Company’s term loans and effectively reducing the amount outstanding under the credit facilities.</w:t>
      </w:r>
    </w:p>
    <w:p>
      <w:pPr>
        <w:spacing w:after="0" w:line="16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As of April 3, 2010, there was $837.6 million of availability under the senior secured credit facilities, including letters of credit. Under the revolving loan facility, the Company has the ability to issue letter of credit commitments up to $65 million. At April 3, 2010, the Company had letters of credit in the aggregate face amount of $31.7 million outstanding.</w:t>
      </w:r>
    </w:p>
    <w:p>
      <w:pPr>
        <w:spacing w:after="0" w:line="141"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On January 14, 2010, Scotts Miracle-Gro issued $200 million aggregate principal amount of 7.25% Senior Notes due 2018 (the “Senior Notes”). The proceeds of the offering were used to reduce outstanding borrowings under the Company’s senior secured revolving credit facility. The Senior Notes represent general unsecured senior obligations of Scotts Miracle-Gro, and were sold to the public at 99.254% of the principal amount thereof, to yield 7.375% to maturity. The Senior Notes have interest payment dates of January 15 and July 15, commencing on July 15, 2010, and may be redeemed prior to maturity at applicable redemption premiums. The Senior Notes contain usual and customary incurrence-based covenants, which include, but are not limited to, restrictions on the incurrence of additional indebtedness, the incurrence of liens and the issuance of certain preferred shares, and the making of certain distributions, investments and other restricted payments, as well as other usual and customary covenants, which include, but are not limited to, restrictions on sale and leaseback transactions, restrictions on purchases for or redemptions of Company stock and prepayments of subordinated debt, limitations on asset sales and restrictions on transactions with affiliates. The Senior Notes mature on January 15, 2018. Certain of Scotts Miracle-Gro’s domestic subsidiaries serve as guarantors of the Senior Notes. Refer to “NOTE 16. FINANCIAL INFORMATION FOR SUBSIDIARY GUARANTORS AND NON-GUARANTORS” for more information regarding the guarantor entities.</w:t>
      </w:r>
    </w:p>
    <w:p>
      <w:pPr>
        <w:spacing w:after="0" w:line="134"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At April 3, 2010, the Company had outstanding interest rate swaps with major financial institutions that effectively converted a portion of variable-rate debt denominated in U.S. dollars to a fixed rate. The swap agreements had a total U.S. dollar notional amount of $450 million at April 3, 2010. Interest payments made between the effective date and expiration date are hedged by the swap agreement, except as noted below. The effective dates, expiration dates and rates of these swap agreements are shown in the table below.</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292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NOTIONAL AMOUNT</w:t>
            </w:r>
          </w:p>
        </w:tc>
        <w:tc>
          <w:tcPr>
            <w:tcW w:w="21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EFFECTIVE</w:t>
            </w:r>
          </w:p>
        </w:tc>
        <w:tc>
          <w:tcPr>
            <w:tcW w:w="23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rPr>
              <w:t>EXPIRATION</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FIXED</w:t>
            </w:r>
          </w:p>
        </w:tc>
      </w:tr>
      <w:tr>
        <w:trPr>
          <w:trHeight w:val="234"/>
        </w:trPr>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(IN MILLIONS)</w:t>
            </w:r>
          </w:p>
        </w:tc>
        <w:tc>
          <w:tcPr>
            <w:tcW w:w="7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 (a)</w:t>
            </w:r>
          </w:p>
        </w:tc>
        <w:tc>
          <w:tcPr>
            <w:tcW w:w="58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5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RATE</w:t>
            </w:r>
          </w:p>
        </w:tc>
        <w:tc>
          <w:tcPr>
            <w:tcW w:w="220" w:type="dxa"/>
            <w:vAlign w:val="bottom"/>
          </w:tcPr>
          <w:p>
            <w:pPr>
              <w:spacing w:after="0"/>
              <w:rPr>
                <w:sz w:val="20"/>
                <w:szCs w:val="20"/>
                <w:color w:val="auto"/>
              </w:rPr>
            </w:pPr>
          </w:p>
        </w:tc>
      </w:tr>
      <w:tr>
        <w:trPr>
          <w:trHeight w:val="210"/>
        </w:trPr>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200</w:t>
            </w:r>
          </w:p>
        </w:tc>
        <w:tc>
          <w:tcPr>
            <w:tcW w:w="2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2/14/2007</w:t>
            </w:r>
          </w:p>
        </w:tc>
        <w:tc>
          <w:tcPr>
            <w:tcW w:w="2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2/14/2012</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w:t>
            </w:r>
          </w:p>
        </w:tc>
      </w:tr>
      <w:tr>
        <w:trPr>
          <w:trHeight w:val="216"/>
        </w:trPr>
        <w:tc>
          <w:tcPr>
            <w:tcW w:w="180" w:type="dxa"/>
            <w:vAlign w:val="bottom"/>
          </w:tcPr>
          <w:p>
            <w:pPr>
              <w:spacing w:after="0"/>
              <w:rPr>
                <w:sz w:val="18"/>
                <w:szCs w:val="18"/>
                <w:color w:val="auto"/>
              </w:rPr>
            </w:pPr>
          </w:p>
        </w:tc>
        <w:tc>
          <w:tcPr>
            <w:tcW w:w="2920" w:type="dxa"/>
            <w:vAlign w:val="bottom"/>
            <w:gridSpan w:val="2"/>
          </w:tcPr>
          <w:p>
            <w:pPr>
              <w:jc w:val="right"/>
              <w:ind w:right="700"/>
              <w:spacing w:after="0"/>
              <w:rPr>
                <w:sz w:val="20"/>
                <w:szCs w:val="20"/>
                <w:color w:val="auto"/>
              </w:rPr>
            </w:pPr>
            <w:r>
              <w:rPr>
                <w:rFonts w:ascii="Arial" w:cs="Arial" w:eastAsia="Arial" w:hAnsi="Arial"/>
                <w:sz w:val="18"/>
                <w:szCs w:val="18"/>
                <w:color w:val="auto"/>
              </w:rPr>
              <w:t>50</w:t>
            </w:r>
          </w:p>
        </w:tc>
        <w:tc>
          <w:tcPr>
            <w:tcW w:w="2180" w:type="dxa"/>
            <w:vAlign w:val="bottom"/>
            <w:gridSpan w:val="2"/>
          </w:tcPr>
          <w:p>
            <w:pPr>
              <w:jc w:val="right"/>
              <w:ind w:right="580"/>
              <w:spacing w:after="0"/>
              <w:rPr>
                <w:sz w:val="20"/>
                <w:szCs w:val="20"/>
                <w:color w:val="auto"/>
              </w:rPr>
            </w:pPr>
            <w:r>
              <w:rPr>
                <w:rFonts w:ascii="Arial" w:cs="Arial" w:eastAsia="Arial" w:hAnsi="Arial"/>
                <w:sz w:val="18"/>
                <w:szCs w:val="18"/>
                <w:color w:val="auto"/>
              </w:rPr>
              <w:t>2/14/2012</w:t>
            </w:r>
          </w:p>
        </w:tc>
        <w:tc>
          <w:tcPr>
            <w:tcW w:w="2300" w:type="dxa"/>
            <w:vAlign w:val="bottom"/>
            <w:gridSpan w:val="2"/>
          </w:tcPr>
          <w:p>
            <w:pPr>
              <w:jc w:val="right"/>
              <w:ind w:right="580"/>
              <w:spacing w:after="0"/>
              <w:rPr>
                <w:sz w:val="20"/>
                <w:szCs w:val="20"/>
                <w:color w:val="auto"/>
              </w:rPr>
            </w:pPr>
            <w:r>
              <w:rPr>
                <w:rFonts w:ascii="Arial" w:cs="Arial" w:eastAsia="Arial" w:hAnsi="Arial"/>
                <w:sz w:val="18"/>
                <w:szCs w:val="18"/>
                <w:color w:val="auto"/>
              </w:rPr>
              <w:t>2/14/2016</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r>
      <w:tr>
        <w:trPr>
          <w:trHeight w:val="216"/>
        </w:trPr>
        <w:tc>
          <w:tcPr>
            <w:tcW w:w="18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150(b)</w:t>
            </w:r>
          </w:p>
        </w:tc>
        <w:tc>
          <w:tcPr>
            <w:tcW w:w="2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11/16/2009</w:t>
            </w:r>
          </w:p>
        </w:tc>
        <w:tc>
          <w:tcPr>
            <w:tcW w:w="2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5/16/2016</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w:t>
            </w:r>
          </w:p>
        </w:tc>
      </w:tr>
      <w:tr>
        <w:trPr>
          <w:trHeight w:val="230"/>
        </w:trPr>
        <w:tc>
          <w:tcPr>
            <w:tcW w:w="180" w:type="dxa"/>
            <w:vAlign w:val="bottom"/>
          </w:tcPr>
          <w:p>
            <w:pPr>
              <w:spacing w:after="0"/>
              <w:rPr>
                <w:sz w:val="20"/>
                <w:szCs w:val="20"/>
                <w:color w:val="auto"/>
              </w:rPr>
            </w:pPr>
          </w:p>
        </w:tc>
        <w:tc>
          <w:tcPr>
            <w:tcW w:w="2920" w:type="dxa"/>
            <w:vAlign w:val="bottom"/>
            <w:gridSpan w:val="2"/>
          </w:tcPr>
          <w:p>
            <w:pPr>
              <w:jc w:val="right"/>
              <w:ind w:right="500"/>
              <w:spacing w:after="0"/>
              <w:rPr>
                <w:sz w:val="20"/>
                <w:szCs w:val="20"/>
                <w:color w:val="auto"/>
              </w:rPr>
            </w:pPr>
            <w:r>
              <w:rPr>
                <w:rFonts w:ascii="Arial" w:cs="Arial" w:eastAsia="Arial" w:hAnsi="Arial"/>
                <w:sz w:val="18"/>
                <w:szCs w:val="18"/>
                <w:color w:val="auto"/>
              </w:rPr>
              <w:t>50(c)</w:t>
            </w:r>
          </w:p>
        </w:tc>
        <w:tc>
          <w:tcPr>
            <w:tcW w:w="2180" w:type="dxa"/>
            <w:vAlign w:val="bottom"/>
            <w:gridSpan w:val="2"/>
          </w:tcPr>
          <w:p>
            <w:pPr>
              <w:jc w:val="right"/>
              <w:ind w:right="580"/>
              <w:spacing w:after="0"/>
              <w:rPr>
                <w:sz w:val="20"/>
                <w:szCs w:val="20"/>
                <w:color w:val="auto"/>
              </w:rPr>
            </w:pPr>
            <w:r>
              <w:rPr>
                <w:rFonts w:ascii="Arial" w:cs="Arial" w:eastAsia="Arial" w:hAnsi="Arial"/>
                <w:sz w:val="18"/>
                <w:szCs w:val="18"/>
                <w:color w:val="auto"/>
              </w:rPr>
              <w:t>2/16/2010</w:t>
            </w:r>
          </w:p>
        </w:tc>
        <w:tc>
          <w:tcPr>
            <w:tcW w:w="2300" w:type="dxa"/>
            <w:vAlign w:val="bottom"/>
            <w:gridSpan w:val="2"/>
          </w:tcPr>
          <w:p>
            <w:pPr>
              <w:jc w:val="right"/>
              <w:ind w:right="580"/>
              <w:spacing w:after="0"/>
              <w:rPr>
                <w:sz w:val="20"/>
                <w:szCs w:val="20"/>
                <w:color w:val="auto"/>
              </w:rPr>
            </w:pPr>
            <w:r>
              <w:rPr>
                <w:rFonts w:ascii="Arial" w:cs="Arial" w:eastAsia="Arial" w:hAnsi="Arial"/>
                <w:sz w:val="18"/>
                <w:szCs w:val="18"/>
                <w:color w:val="auto"/>
              </w:rPr>
              <w:t>5/16/2016</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r>
    </w:tbl>
    <w:p>
      <w:pPr>
        <w:spacing w:after="0" w:line="93" w:lineRule="exact"/>
        <w:rPr>
          <w:sz w:val="20"/>
          <w:szCs w:val="20"/>
          <w:color w:val="auto"/>
        </w:rPr>
      </w:pPr>
    </w:p>
    <w:p>
      <w:pPr>
        <w:ind w:left="680" w:hanging="348"/>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effective date refers to the date on which interest payments are first hedged by the applicable swap contract.</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beginning November 14 of each year between the effective date and expiration date are hedged by the swap contract.</w:t>
      </w:r>
    </w:p>
    <w:p>
      <w:pPr>
        <w:spacing w:after="0" w:line="21" w:lineRule="exact"/>
        <w:rPr>
          <w:rFonts w:ascii="Arial" w:cs="Arial" w:eastAsia="Arial" w:hAnsi="Arial"/>
          <w:sz w:val="18"/>
          <w:szCs w:val="18"/>
          <w:color w:val="auto"/>
        </w:rPr>
      </w:pPr>
    </w:p>
    <w:p>
      <w:pPr>
        <w:ind w:left="680" w:right="559" w:hanging="348"/>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beginning February 14 of each year between the effective date and expiration date are hedged by the swap contract.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Master Accounts Receivable Purchase Agreement</w:t>
      </w:r>
    </w:p>
    <w:p>
      <w:pPr>
        <w:spacing w:after="0" w:line="18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On April 9, 2008, the Company entered into a Master Accounts Receivable Purchase Agreement (the “2008 MARP Agreement”). The 2008 MARP Agreement provided for the discounted sale, on a revolving basis, of accounts receivable generated by specified account debtors, with seasonally adjusted monthly aggregate limits ranging from $10 million to $300 million. The 2008 MARP Agreement also provided for specified account debtor sublimit amounts, which provided limits on the amount of receivables owed by individual account debtors that could be sold to the banks. The 2008 MARP Agreement provided an interest rate that approximated the 7-day LIBOR rate plus 85 basis points. The 2008 MARP Agreement expired by its terms on April 8, 2009.</w:t>
      </w:r>
    </w:p>
    <w:p>
      <w:pPr>
        <w:spacing w:after="0" w:line="149"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On May 1, 2009, the Company entered into a Master Accounts Receivable Purchase Agreement (the “2009 MARP Agreement”), with an initial stated termination date of May 1, 2010, or such later date as may be mutually agreed by the Company and its lender. The 2009 MARP Agreement provided for the discounted sale, on an uncommitted, revolving basis, of accounts receivable generated by a specified account debtor, with aggregate limits not to exceed $80 million. The 2009 MARP Agreement provided an interest rate that approximated the 7-day LIBOR rate plus 225 basis points.</w:t>
      </w:r>
    </w:p>
    <w:p>
      <w:pPr>
        <w:spacing w:after="0" w:line="146"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On May 13, 2010, the Company and its lender entered into a First Amendment to the 2009 MARP Agreement (the “First Amendment”). The First Amendment, which has an effective date of May 1, 2010, extended the stated termination date of the 2009 MARP Agreement through May 12, 2011, or such later date as may be mutually agreed by the Company and its lender. The 2009 MARP Agreement, as amended by the First Amendment, provides an interest rate that approximates the 7-day LIBOR rate plus 125 basis points. The First Amendment did not otherwise modify any substantive provisions of the 2009 MARP Agreement.</w:t>
      </w:r>
    </w:p>
    <w:p>
      <w:pPr>
        <w:sectPr>
          <w:pgSz w:w="11900" w:h="16838" w:orient="portrait"/>
          <w:cols w:equalWidth="0" w:num="1">
            <w:col w:w="10219"/>
          </w:cols>
          <w:pgMar w:left="240" w:top="419" w:right="1440" w:bottom="1163"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63"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The Company accounts for the sale of receivables under the 2009 MARP Agreement, as amended, as short-term debt and continues to carry the receivables on its Condensed, Consolidated Balance Sheet, primarily as a result of the Company’s right to repurchase receivables sold. The caption “Accounts receivable pledged” on the accompanying Condensed, Consolidated Balance Sheets in the amounts of $80.5 million, $370.9 million and $17.0 million as of April 3, 2010, March 28, 2009 and September 30, 2009, respectively, represents the pool of receivables that have been designated as “sold” under the 2009 and 2008 MARP Agreements, as applicable, and serve as collateral for short-term debt thereunder in the amounts of $72.3 million, $275.0 million and $4.2 million, as of those dates, respectively.</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Notes Due to Sellers</w:t>
      </w:r>
    </w:p>
    <w:p>
      <w:pPr>
        <w:spacing w:after="0" w:line="18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Notes due to sellers include contingent consideration related to our May 2006 acquisition of certain brands and assets of Turf-Seed, Inc., a leading producer of quality commercial turfgrasses. Payment to the seller is due in the second half of fiscal 2012 and is largely based on the performance of the Company’s consumer and professional seed business for the twelve-month period ending May 16, 2012.</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was in compliance with the terms of all borrowing agreements at April 3, 2010.</w:t>
      </w:r>
    </w:p>
    <w:p>
      <w:pPr>
        <w:spacing w:after="0" w:line="19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A description of the Company’s debt instruments and the methods and assumptions used to estimate their fair values is as follows: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Debt</w:t>
      </w:r>
    </w:p>
    <w:p>
      <w:pPr>
        <w:spacing w:after="0" w:line="18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interest rate currently available to the Company fluctuates with the applicable LIBOR rate, prime rate or Federal Funds Effective Rate, and thus the carrying value is a reasonable estimate of fair value.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Notes - 7.25%</w:t>
      </w:r>
    </w:p>
    <w:p>
      <w:pPr>
        <w:spacing w:after="0" w:line="185"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The fair value of the Senior Notes can be determined based on the trading of the Senior Notes in the open market. The difference between the carrying value and the fair value of the Senior Notes represents the premium or discount on that date. Based on the trading value on or around April 3, 2010, the carrying value is a reasonable estimate of the fair value of the Senior Notes.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98"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The interest rate on the short-term debt associated with accounts receivable pledged under the 2009 MARP Agreement fluctuates with the one-week LIBOR rate, and thus the carrying value is a reasonable estimate of fair value.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COMPREHENSIVE INCOME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other comprehensive income (expense) and total comprehensive income were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600" w:type="dxa"/>
            <w:vAlign w:val="bottom"/>
            <w:gridSpan w:val="7"/>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2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8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3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86"/>
              </w:rPr>
              <w:t>MILLIONS)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3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86"/>
              </w:rPr>
              <w:t>MILLIONS)</w:t>
            </w: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comprehensive income (expense):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valuation of derivative instruments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w w:val="98"/>
              </w:rPr>
              <w:t>Change in pension and other postretirement amounts</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RETIREMENT AND RETIREE MEDICAL PLANS COST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summarizes the net periodic benefit cost for the various retirement and retiree medical plans sponsored by the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Company:</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60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2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70"/>
              <w:spacing w:after="0" w:line="191" w:lineRule="exact"/>
              <w:rPr>
                <w:sz w:val="20"/>
                <w:szCs w:val="20"/>
                <w:color w:val="auto"/>
              </w:rPr>
            </w:pPr>
            <w:r>
              <w:rPr>
                <w:rFonts w:ascii="Arial" w:cs="Arial" w:eastAsia="Arial" w:hAnsi="Arial"/>
                <w:sz w:val="18"/>
                <w:szCs w:val="18"/>
                <w:b w:val="1"/>
                <w:bCs w:val="1"/>
                <w:color w:val="auto"/>
                <w:w w:val="99"/>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APRIL 3,</w:t>
            </w: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6"/>
              </w:rPr>
              <w:t>MARCH 28,</w:t>
            </w:r>
          </w:p>
        </w:tc>
        <w:tc>
          <w:tcPr>
            <w:tcW w:w="8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8"/>
                <w:szCs w:val="18"/>
                <w:b w:val="1"/>
                <w:bCs w:val="1"/>
                <w:color w:val="auto"/>
              </w:rPr>
              <w:t>(IN</w:t>
            </w:r>
          </w:p>
        </w:tc>
        <w:tc>
          <w:tcPr>
            <w:tcW w:w="10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86"/>
              </w:rPr>
              <w:t>MILLIONS)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0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MILLIONS)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Frozen defined benefit plans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2.2</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International benefit plans</w:t>
            </w:r>
          </w:p>
        </w:tc>
        <w:tc>
          <w:tcPr>
            <w:tcW w:w="10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3.6</w:t>
            </w:r>
          </w:p>
        </w:tc>
        <w:tc>
          <w:tcPr>
            <w:tcW w:w="7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Retiree medical plan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1.1</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NOTE 9. STOCK-BASED COMPENSATION AWARDS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6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Share-Based Awards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w w:val="96"/>
              </w:rPr>
              <w:t>The following is a recap of the share-based awards granted during the periods indicated:</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5"/>
          </w:tcPr>
          <w:p>
            <w:pPr>
              <w:ind w:left="18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w w:val="99"/>
              </w:rPr>
              <w:t>APRIL 3,</w:t>
            </w:r>
          </w:p>
        </w:tc>
        <w:tc>
          <w:tcPr>
            <w:tcW w:w="104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rPr>
              <w:t>MARCH 28,</w:t>
            </w: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363,300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696,100</w:t>
            </w:r>
          </w:p>
        </w:tc>
      </w:tr>
      <w:tr>
        <w:trPr>
          <w:trHeight w:val="216"/>
        </w:trPr>
        <w:tc>
          <w:tcPr>
            <w:tcW w:w="340" w:type="dxa"/>
            <w:vAlign w:val="bottom"/>
          </w:tcPr>
          <w:p>
            <w:pPr>
              <w:spacing w:after="0"/>
              <w:rPr>
                <w:sz w:val="18"/>
                <w:szCs w:val="18"/>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Restricted stock</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240,400</w:t>
            </w: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Restricted stock units (including deferred stock units)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287,276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218,641</w:t>
            </w:r>
          </w:p>
        </w:tc>
      </w:tr>
      <w:tr>
        <w:trPr>
          <w:trHeight w:val="216"/>
        </w:trPr>
        <w:tc>
          <w:tcPr>
            <w:tcW w:w="340" w:type="dxa"/>
            <w:vAlign w:val="bottom"/>
          </w:tcPr>
          <w:p>
            <w:pPr>
              <w:spacing w:after="0"/>
              <w:rPr>
                <w:sz w:val="18"/>
                <w:szCs w:val="18"/>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Performance shares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4,200</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share-based awards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654,776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1,155,141</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Aggregate fair value at grant dates (in millions)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r>
    </w:tbl>
    <w:p>
      <w:pPr>
        <w:spacing w:after="0" w:line="16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At April 3, 2010, approximately 1.1 million common shares authorized for issuance pursuant to The Scotts Miracle-Gro Company Amended and Restated 2006 Long-Term Incentive Plan were not subject to outstanding awards and were available to underlie the grant of new share-based awards.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share-based compensation and the deferred tax benefit recognized were as follows for the periods indicated (in millions):</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60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2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99"/>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APRIL 3,</w:t>
            </w: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6"/>
              </w:rPr>
              <w:t>MARCH 28,</w:t>
            </w:r>
          </w:p>
        </w:tc>
        <w:tc>
          <w:tcPr>
            <w:tcW w:w="8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Tax benefit recognized</w:t>
            </w:r>
          </w:p>
        </w:tc>
        <w:tc>
          <w:tcPr>
            <w:tcW w:w="10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Options/Stock Appreciation Rights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Aggregate stock option and stock appreciation right (“SAR”) activity consisted of the following for the six months ended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April 3, 2010 (options/SARs in millions):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WTD.</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Avg.</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No. of</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Options/SARs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Exercisable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line="20" w:lineRule="exact"/>
              <w:rPr>
                <w:sz w:val="1"/>
                <w:szCs w:val="1"/>
                <w:color w:val="auto"/>
              </w:rPr>
            </w:pPr>
          </w:p>
        </w:tc>
      </w:tr>
      <w:tr>
        <w:trPr>
          <w:trHeight w:val="211"/>
        </w:trPr>
        <w:tc>
          <w:tcPr>
            <w:tcW w:w="674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following summarizes certain information pertaining to stock option and SAR awards outstanding and exercisable at April 3, 2010 (options/SARs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b w:val="1"/>
                <w:bCs w:val="1"/>
                <w:color w:val="auto"/>
                <w:w w:val="89"/>
              </w:rPr>
              <w:t>Awards Outstanding</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w w:val="90"/>
              </w:rPr>
              <w:t>Awards Exercisable</w:t>
            </w:r>
          </w:p>
        </w:tc>
      </w:tr>
      <w:tr>
        <w:trPr>
          <w:trHeight w:val="191"/>
        </w:trPr>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Borders>
              <w:top w:val="single" w:sz="8" w:color="auto"/>
            </w:tcBorders>
            <w:gridSpan w:val="2"/>
          </w:tcPr>
          <w:p>
            <w:pPr>
              <w:jc w:val="center"/>
              <w:ind w:right="20"/>
              <w:spacing w:after="0" w:line="191" w:lineRule="exact"/>
              <w:rPr>
                <w:sz w:val="20"/>
                <w:szCs w:val="20"/>
                <w:color w:val="auto"/>
              </w:rPr>
            </w:pPr>
            <w:r>
              <w:rPr>
                <w:rFonts w:ascii="Arial" w:cs="Arial" w:eastAsia="Arial" w:hAnsi="Arial"/>
                <w:sz w:val="18"/>
                <w:szCs w:val="18"/>
                <w:b w:val="1"/>
                <w:bCs w:val="1"/>
                <w:color w:val="auto"/>
                <w:w w:val="90"/>
              </w:rPr>
              <w:t>No. of</w:t>
            </w: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5"/>
              </w:rPr>
              <w:t>WTD. Avg.</w:t>
            </w:r>
          </w:p>
        </w:tc>
        <w:tc>
          <w:tcPr>
            <w:tcW w:w="8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5"/>
              </w:rPr>
              <w:t>WTD. Avg.</w:t>
            </w:r>
          </w:p>
        </w:tc>
        <w:tc>
          <w:tcPr>
            <w:tcW w:w="340" w:type="dxa"/>
            <w:vAlign w:val="bottom"/>
          </w:tcPr>
          <w:p>
            <w:pPr>
              <w:spacing w:after="0"/>
              <w:rPr>
                <w:sz w:val="16"/>
                <w:szCs w:val="16"/>
                <w:color w:val="auto"/>
              </w:rPr>
            </w:pPr>
          </w:p>
        </w:tc>
        <w:tc>
          <w:tcPr>
            <w:tcW w:w="760" w:type="dxa"/>
            <w:vAlign w:val="bottom"/>
            <w:tcBorders>
              <w:top w:val="single" w:sz="8" w:color="auto"/>
            </w:tcBorders>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90"/>
              </w:rPr>
              <w:t>No. of</w:t>
            </w: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3"/>
          </w:tcPr>
          <w:p>
            <w:pPr>
              <w:jc w:val="right"/>
              <w:ind w:right="340"/>
              <w:spacing w:after="0" w:line="191" w:lineRule="exact"/>
              <w:rPr>
                <w:sz w:val="20"/>
                <w:szCs w:val="20"/>
                <w:color w:val="auto"/>
              </w:rPr>
            </w:pPr>
            <w:r>
              <w:rPr>
                <w:rFonts w:ascii="Arial" w:cs="Arial" w:eastAsia="Arial" w:hAnsi="Arial"/>
                <w:sz w:val="18"/>
                <w:szCs w:val="18"/>
                <w:b w:val="1"/>
                <w:bCs w:val="1"/>
                <w:color w:val="auto"/>
                <w:w w:val="93"/>
              </w:rPr>
              <w:t>WTD. Avg.</w:t>
            </w:r>
          </w:p>
        </w:tc>
        <w:tc>
          <w:tcPr>
            <w:tcW w:w="8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3"/>
              </w:rPr>
              <w:t>WTD. Avg.</w:t>
            </w:r>
          </w:p>
        </w:tc>
        <w:tc>
          <w:tcPr>
            <w:tcW w:w="80" w:type="dxa"/>
            <w:vAlign w:val="bottom"/>
          </w:tcPr>
          <w:p>
            <w:pPr>
              <w:spacing w:after="0"/>
              <w:rPr>
                <w:sz w:val="16"/>
                <w:szCs w:val="16"/>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Range of</w:t>
            </w:r>
          </w:p>
        </w:tc>
        <w:tc>
          <w:tcPr>
            <w:tcW w:w="7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Options/</w:t>
            </w:r>
          </w:p>
        </w:tc>
        <w:tc>
          <w:tcPr>
            <w:tcW w:w="3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Exercise</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Options/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Exercise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1"/>
              </w:rPr>
              <w:t>Remaining</w:t>
            </w:r>
          </w:p>
        </w:tc>
      </w:tr>
      <w:tr>
        <w:trPr>
          <w:trHeight w:val="234"/>
        </w:trPr>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Exercise Price</w:t>
            </w:r>
          </w:p>
        </w:tc>
        <w:tc>
          <w:tcPr>
            <w:tcW w:w="24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SARs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Life</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Price</w:t>
            </w:r>
          </w:p>
        </w:tc>
        <w:tc>
          <w:tcPr>
            <w:tcW w:w="34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SARS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Life</w:t>
            </w:r>
          </w:p>
        </w:tc>
        <w:tc>
          <w:tcPr>
            <w:tcW w:w="80" w:type="dxa"/>
            <w:vAlign w:val="bottom"/>
          </w:tcPr>
          <w:p>
            <w:pPr>
              <w:spacing w:after="0"/>
              <w:rPr>
                <w:sz w:val="20"/>
                <w:szCs w:val="20"/>
                <w:color w:val="auto"/>
              </w:rPr>
            </w:pPr>
          </w:p>
        </w:tc>
      </w:tr>
      <w:tr>
        <w:trPr>
          <w:trHeight w:val="210"/>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$12.72 — $14.61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0.54</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$16.69 — $19.82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17.32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17.32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 — $21.65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21.46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21.17</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$24.45 — $28.72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25.53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25.53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3.86</w:t>
            </w: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$29.01 — $31.62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29.07</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$33.25 — $37.48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35.73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35.77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5.59</w:t>
            </w: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$37.89 — $39.95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38.62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38.60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$40.81 — $46.70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42.41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43.25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6.38</w:t>
            </w:r>
          </w:p>
        </w:tc>
      </w:tr>
      <w:tr>
        <w:trPr>
          <w:trHeight w:val="27"/>
        </w:trPr>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30.33</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w:t>
            </w:r>
          </w:p>
        </w:tc>
      </w:tr>
      <w:tr>
        <w:trPr>
          <w:trHeight w:val="20"/>
        </w:trPr>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05" w:right="1440" w:bottom="1095"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095"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intrinsic value of the stock option and SAR awards outstanding and exercisable at April 3, 2010 was as follows (in millions):</w:t>
      </w:r>
    </w:p>
    <w:p>
      <w:pPr>
        <w:spacing w:after="0" w:line="26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4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Exercisable</w:t>
            </w:r>
          </w:p>
        </w:tc>
        <w:tc>
          <w:tcPr>
            <w:tcW w:w="40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53.9</w:t>
            </w:r>
          </w:p>
        </w:tc>
      </w:tr>
    </w:tbl>
    <w:p>
      <w:pPr>
        <w:spacing w:after="0" w:line="160"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The grant date fair value of stock option awards is estimated using a binomial model and the assumptions in the following table. Expected market price volatility is based on implied volatilities from traded options on Scotts Miracle-Gro’s common shares and historical volatility specific to the common shares. Historical data, including demographic factors impacting historical exercise behavior, is used to estimate stock option exercises and employee terminations within the valuation model. The risk-free interest rate for periods within the contractual life (normally ten years) of the stock option is based on the U.S. Treasury yield curve in effect at the time of grant. The expected life of stock options is based on historical experience and expectations for grants outstanding. The weighted average assumptions for awards granted during the six months ended April 3, 2010 are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market price volatility</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Expected life of stock options in years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Estimated weighted-average fair value per stock option</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860" w:type="dxa"/>
            <w:vAlign w:val="bottom"/>
          </w:tcPr>
          <w:p>
            <w:pPr>
              <w:spacing w:after="0"/>
              <w:rPr>
                <w:sz w:val="20"/>
                <w:szCs w:val="20"/>
                <w:color w:val="auto"/>
              </w:rPr>
            </w:pPr>
            <w:r>
              <w:rPr>
                <w:rFonts w:ascii="Arial" w:cs="Arial" w:eastAsia="Arial" w:hAnsi="Arial"/>
                <w:sz w:val="18"/>
                <w:szCs w:val="18"/>
                <w:b w:val="1"/>
                <w:bCs w:val="1"/>
                <w:i w:val="1"/>
                <w:iCs w:val="1"/>
                <w:color w:val="auto"/>
              </w:rPr>
              <w:t>Restricted Stock (including Performance Shares)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60" w:type="dxa"/>
            <w:vAlign w:val="bottom"/>
          </w:tcPr>
          <w:p>
            <w:pPr>
              <w:spacing w:after="0"/>
              <w:rPr>
                <w:sz w:val="20"/>
                <w:szCs w:val="20"/>
                <w:color w:val="auto"/>
              </w:rPr>
            </w:pPr>
            <w:r>
              <w:rPr>
                <w:rFonts w:ascii="Arial" w:cs="Arial" w:eastAsia="Arial" w:hAnsi="Arial"/>
                <w:sz w:val="18"/>
                <w:szCs w:val="18"/>
                <w:color w:val="auto"/>
              </w:rPr>
              <w:t>Restricted stock award activity for the period was as follows: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Wtd. Avg.</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No.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Awards outstanding at September 30, 2009</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(117,450)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23"/>
        </w:trPr>
        <w:tc>
          <w:tcPr>
            <w:tcW w:w="68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(22,100)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Awards outstanding at April 3, 2010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348,900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Restricted Stock Units (including Deferred Stock Units)</w:t>
            </w: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60" w:type="dxa"/>
            <w:vAlign w:val="bottom"/>
          </w:tcPr>
          <w:p>
            <w:pPr>
              <w:spacing w:after="0"/>
              <w:rPr>
                <w:sz w:val="20"/>
                <w:szCs w:val="20"/>
                <w:color w:val="auto"/>
              </w:rPr>
            </w:pPr>
            <w:r>
              <w:rPr>
                <w:rFonts w:ascii="Arial" w:cs="Arial" w:eastAsia="Arial" w:hAnsi="Arial"/>
                <w:sz w:val="18"/>
                <w:szCs w:val="18"/>
                <w:color w:val="auto"/>
              </w:rPr>
              <w:t>Restricted stock unit award activity for the period was as follows: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Wtd. Avg.</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No.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Awards outstanding at September 30, 2009</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253,699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287,276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23"/>
        </w:trPr>
        <w:tc>
          <w:tcPr>
            <w:tcW w:w="68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Awards outstanding at April 3, 2010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535,995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As of April 3, 2010, total unrecognized compensation cost related to non-vested share-based awards amounted to $20.2 million. This cost is expected to be recognized over a weighted-average period of one year. Unearned compensation cost is amortized by grant on the straight-line method over the vesting period, with the amortization expense classified as a component of “Selling, general and administrative” expense within the Condensed, Consolidated Statements of Operations. Vesting periods are generally three years, although compensation expense related to non-vested share-based awards is accelerated for those employees who are eligible for early vesting based on age and service requirements.</w:t>
      </w:r>
    </w:p>
    <w:p>
      <w:pPr>
        <w:spacing w:after="0" w:line="151"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During the six months ended April 3, 2010, the total intrinsic value of stock options exercised was $13.9 million. The total fair value of restricted stock and restricted stock units vested during the six months ended April 3, 2010 was $5.2 million and $0.2 million, respectively. Cash received from the exercise of stock options for the six months ended April 3, 2010 was $12.9 million.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10. INCOME TAXES</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balance of unrecognized tax benefits related to uncertain tax positions and the amount of related interest and penalties were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3,</w:t>
            </w:r>
          </w:p>
        </w:tc>
        <w:tc>
          <w:tcPr>
            <w:tcW w:w="150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6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MILLIONS)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6.5</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Portion that, if recognized, would impact the effective tax rate</w:t>
            </w:r>
          </w:p>
        </w:tc>
        <w:tc>
          <w:tcPr>
            <w:tcW w:w="10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6.5</w:t>
            </w:r>
          </w:p>
        </w:tc>
        <w:tc>
          <w:tcPr>
            <w:tcW w:w="104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Accrued penalties on unrecognized tax benefits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0.6</w:t>
            </w:r>
          </w:p>
        </w:tc>
        <w:tc>
          <w:tcPr>
            <w:tcW w:w="10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Accrued interest on unrecognized tax benefits</w:t>
            </w:r>
          </w:p>
        </w:tc>
        <w:tc>
          <w:tcPr>
            <w:tcW w:w="100" w:type="dxa"/>
            <w:vAlign w:val="bottom"/>
          </w:tcPr>
          <w:p>
            <w:pPr>
              <w:spacing w:after="0"/>
              <w:rPr>
                <w:sz w:val="20"/>
                <w:szCs w:val="20"/>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1.3</w:t>
            </w:r>
          </w:p>
        </w:tc>
        <w:tc>
          <w:tcPr>
            <w:tcW w:w="104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r>
    </w:tbl>
    <w:p>
      <w:pPr>
        <w:spacing w:after="0" w:line="147"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Scotts Miracle-Gro or one of its subsidiaries files income tax returns in the U.S. federal jurisdiction and various state, local and foreign jurisdictions. With few exceptions, the Company is no longer subject to examinations by these tax authorities for fiscal years prior to 2006. The Company is currently under examination by certain foreign and U.S. state and local tax authorities. In regards to the foreign audits, the tax period under investigation is limited to fiscal year 2008. In regards to the U.S. state and local audits, the tax periods under investigation are limited to fiscal years 2005 through 2008. In addition to the aforementioned audits, certain other tax deficiency issues and refund claims for previous years remain unresolved.</w:t>
      </w:r>
    </w:p>
    <w:p>
      <w:pPr>
        <w:spacing w:after="0" w:line="13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61"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Company has historically received a federal retiree drug subsidy as it offers retiree prescription drug coverage that is at a minimum as valuable as Medicare Part D coverage. On March 23, 2010, President Obama signed into law the Patient Protection and Affordable Care Act (“PPACA”), which repealed the existing rule that permitted a tax deduction for the portion of the drug coverage expense that was offset by the Medicare Part D subsidy received by the Company. This provision of PPACA was to be effective beginning with the Company’s fiscal 2012 tax year. On March 30, 2010, the President signed into law a companion bill, the Health Care and Education Reconciliation Act of 2010 (“HCERA”). HCERA delayed the effective date of the reduction under PPACA until the Company’s fiscal 2014 tax year. As a result of this new legislation, the Company recorded a $1.9 million charge to tax expense during its second quarter of fiscal 2010 to reduce its deferred tax asset for the portion of the subsidy that will no longer be deductible when paid after fiscal 2013.</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11. CONTINGENCIES</w:t>
      </w:r>
    </w:p>
    <w:p>
      <w:pPr>
        <w:spacing w:after="0" w:line="189"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for existing claims.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final resolution of these matters will not have a material adverse effect on the Company’s financial condition, results of operations or cash flows. The following are the more significant of the Company’s identified contingencies: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FIFRA Compliance and the Corresponding Governmental Investigations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 description of the Company’s ongoing FIFRA compliance efforts and the corresponding governmental investigation, see</w:t>
      </w:r>
    </w:p>
    <w:p>
      <w:pPr>
        <w:spacing w:after="0" w:line="46" w:lineRule="exact"/>
        <w:rPr>
          <w:sz w:val="20"/>
          <w:szCs w:val="20"/>
          <w:color w:val="auto"/>
        </w:rPr>
      </w:pPr>
    </w:p>
    <w:p>
      <w:pPr>
        <w:ind w:left="340" w:right="4759"/>
        <w:spacing w:after="0" w:line="480" w:lineRule="auto"/>
        <w:rPr>
          <w:sz w:val="20"/>
          <w:szCs w:val="20"/>
          <w:color w:val="auto"/>
        </w:rPr>
      </w:pPr>
      <w:r>
        <w:rPr>
          <w:rFonts w:ascii="Arial" w:cs="Arial" w:eastAsia="Arial" w:hAnsi="Arial"/>
          <w:sz w:val="17"/>
          <w:szCs w:val="17"/>
          <w:color w:val="auto"/>
        </w:rPr>
        <w:t xml:space="preserve">“NOTE 3. PRODUCT REGISTRATION AND RECALL MATTERS.” </w:t>
      </w:r>
      <w:r>
        <w:rPr>
          <w:rFonts w:ascii="Arial" w:cs="Arial" w:eastAsia="Arial" w:hAnsi="Arial"/>
          <w:sz w:val="17"/>
          <w:szCs w:val="17"/>
          <w:b w:val="1"/>
          <w:bCs w:val="1"/>
          <w:i w:val="1"/>
          <w:iCs w:val="1"/>
          <w:u w:val="single" w:color="auto"/>
          <w:color w:val="auto"/>
        </w:rPr>
        <w:t>U.S. Horticultural Supply, Inc. (F/K/A E.C. Geiger, Inc.)</w:t>
      </w:r>
    </w:p>
    <w:p>
      <w:pPr>
        <w:spacing w:after="0" w:line="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The complaint alleged that the Company conspired with another distributor, Griffin Greenhouse Supplies, Inc., to restrain trade in the horticultural products market, in violation of Section 1 of the Sherman Antitrust Act. Geiger’s damages expert quantified Geiger’s alleged damages at approximately $3.3 million, which could have been trebled under antitrust laws. Geiger also sought recovery of attorneys’ fees and costs. On January 13, 2009, the U.S. District Court granted the Company’s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motion for summary judgment and entered judgment for the Company. Geiger appealed the ruling to the U.S. Court of Appeals for the Third Circuit. The Third Circuit affirmed the District Court’s grant of summary judgment on March 4, 2010.</w:t>
      </w:r>
    </w:p>
    <w:p>
      <w:pPr>
        <w:spacing w:after="0" w:line="12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Company continues to pursue the collection of funds owed to the Company by Geiger as confirmed by the Company’s April 25, 2005 judgment against Geiger.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Other Regulatory Matters</w:t>
      </w:r>
    </w:p>
    <w:p>
      <w:pPr>
        <w:spacing w:after="0" w:line="185"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In 1997, the Ohio Environmental Protection Agency initiated an enforcement action against the Company with respect to alleged surface water violations and inadequate wastewater treatment capabilities at its Marysville, Ohio facility, seeking corrective action under the federal Resource Conservation and Recovery Act of 1976, as amended (“RCRA”). The action related to discharges from on-site waste water treatment and several discontinued on-site disposal areas. Pursuant to a Consent Order entered by the Union County Common Pleas Court in 2002, the Company is actively engaged in restoring the site to eliminate exposure to waste materials from the discontinued on-site disposal areas.</w:t>
      </w:r>
    </w:p>
    <w:p>
      <w:pPr>
        <w:spacing w:after="0" w:line="151"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On or about March 19, 2010, the U.S. EPA Region VII issued notice to the Company indicating that the U.S. EPA intends to file an administrative complaint with respect to alleged RCRA violations arising out of an October 28-29, 2008 inspection of the Company’s Fort Madison, Iowa facility. The notice proposes a penalty of $466,977 and offers the Company the opportunity to negotiate a resolution of the proposed penalty before any complaint is filed. The Company made a timely response to the U.S. EPA and agreed to enter into pre-filing negotiations. Settlement discussions are underway.</w:t>
      </w:r>
    </w:p>
    <w:p>
      <w:pPr>
        <w:spacing w:after="0" w:line="132"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At April 3, 2010, $2.5 million was accrued for other regulatory matters in the “Other liabilities” line in the Condensed, Consolidated Balance Sheet. The amounts accrued are believed to be adequate to cover such known environmental exposures based on current facts and estimates of likely outcomes. However, if facts and circumstances change significantly, they could result in a material adverse effect on the Company’s financial condition, results of operations or cash flows.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98"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The Company has been named as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 damages from the Company alone. The Company believes that the claims against it are without merit and is vigorously defending against them. It is not currently possible to reasonably estimate a probable loss, if any, associated with these cases and, accordingly, no accrual or reserves have been recorded in the Company’s condensed,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142" w:lineRule="exact"/>
        <w:rPr>
          <w:sz w:val="20"/>
          <w:szCs w:val="20"/>
          <w:color w:val="auto"/>
        </w:rPr>
      </w:pPr>
    </w:p>
    <w:p>
      <w:pPr>
        <w:jc w:val="both"/>
        <w:ind w:left="340" w:right="559"/>
        <w:spacing w:after="0" w:line="252" w:lineRule="auto"/>
        <w:rPr>
          <w:sz w:val="20"/>
          <w:szCs w:val="20"/>
          <w:color w:val="auto"/>
        </w:rPr>
      </w:pPr>
      <w:r>
        <w:rPr>
          <w:rFonts w:ascii="Arial" w:cs="Arial" w:eastAsia="Arial" w:hAnsi="Arial"/>
          <w:sz w:val="17"/>
          <w:szCs w:val="17"/>
          <w:color w:val="auto"/>
        </w:rPr>
        <w:t>On April 27, 2007, the Company received a proposed Order On Consent from the New York State Department of Environmental Conservation (the “Proposed Order”) alleging that, during calendar year 2003, the Company and James Hagedorn, individually and as Chairman of the Board and Chief Executive Officer of the Company, unlawfully donated to a Port Washington, New York youth sports organization forty bags of Scotts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LawnPro Annual Program Step 3 Insect Control Plus Fertilizer which, while federally registered, was allegedly not registered in the state of New York. The Proposed Order requests penalties totaling $695,000. The Company has responded in writing to the New York State Department of Environmental Conservation with respect to the Proposed Order and is awaiting a response.</w:t>
      </w:r>
    </w:p>
    <w:p>
      <w:pPr>
        <w:spacing w:after="0" w:line="15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adverse effect on the Company’s financial condition, results of operations or cash flows.</w:t>
      </w:r>
    </w:p>
    <w:p>
      <w:pPr>
        <w:spacing w:after="0" w:line="150" w:lineRule="exact"/>
        <w:rPr>
          <w:sz w:val="20"/>
          <w:szCs w:val="20"/>
          <w:color w:val="auto"/>
        </w:rPr>
      </w:pPr>
    </w:p>
    <w:p>
      <w:pPr>
        <w:ind w:left="340" w:right="4119"/>
        <w:spacing w:after="0" w:line="456" w:lineRule="auto"/>
        <w:rPr>
          <w:sz w:val="20"/>
          <w:szCs w:val="20"/>
          <w:color w:val="auto"/>
        </w:rPr>
      </w:pPr>
      <w:r>
        <w:rPr>
          <w:rFonts w:ascii="Arial" w:cs="Arial" w:eastAsia="Arial" w:hAnsi="Arial"/>
          <w:sz w:val="18"/>
          <w:szCs w:val="18"/>
          <w:b w:val="1"/>
          <w:bCs w:val="1"/>
          <w:color w:val="auto"/>
        </w:rPr>
        <w:t xml:space="preserve">NOTE 12. DERIVATIVE INSTRUMENTS AND HEDGING ACTIVITIES </w:t>
      </w:r>
      <w:r>
        <w:rPr>
          <w:rFonts w:ascii="Arial" w:cs="Arial" w:eastAsia="Arial" w:hAnsi="Arial"/>
          <w:sz w:val="18"/>
          <w:szCs w:val="18"/>
          <w:b w:val="1"/>
          <w:bCs w:val="1"/>
          <w:i w:val="1"/>
          <w:iCs w:val="1"/>
          <w:u w:val="single" w:color="auto"/>
          <w:color w:val="auto"/>
        </w:rPr>
        <w:t>Derivatives and Hedging</w:t>
      </w:r>
    </w:p>
    <w:p>
      <w:pPr>
        <w:spacing w:after="0" w:line="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the volatility related to these exposures, the Company enters into various financial transactions. The utilization of these financial</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transactions is governed by policies covering acceptable counterparty exposure, instrument types and other hedging practices.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does not hold or issue derivative financial instruments for speculative trading purposes.</w:t>
      </w:r>
    </w:p>
    <w:p>
      <w:pPr>
        <w:spacing w:after="0" w:line="184"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The Company formally designates and documents qualifying instruments as hedges of underlying exposures at inception. The Company formally assesses, both at inception and at least quarterly, whether the financial instruments used in hedging transactions are effective at offsetting changes in either the fair value or cash flows of the related underlying exposure. Fluctuations in the value of these instruments generally are offset by changes in the fair value or cash flows of the underlying exposures being hedged. This offset is driven by the high degree of effectiveness between the exposure being hedged and the hedging instrument. GAAP requires all derivative instruments to be recognized as either assets or liabilities at fair value in the Condensed, Consolidated Balance Sheets. The Company designates commodity hedges as cash flow hedges of forecasted purchases of commodities and interest rate swap agreements as cash flow hedges of interest payments on variable rate borrowings. Any ineffective portion of a change in the fair value of a qualifying instrument is immediately recognized in earnings. The amounts recorded in earnings related to ineffectiveness of derivative hedges for the three- and six-month periods ended April 3, 2010 and March 28, 2009 were not significant.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Foreign Currency Swap Contracts</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Company periodically uses foreign currency swap contracts to manage the exchange rate risk associated with intercompany loans with foreign subsidiaries that are denominated in local currencies. The fair value of foreign currency swap contracts is determined based on changes in spot rates. The unrealized loss on the foreign currency swap contracts approximates the unrealized gain on the intercompany loans recognized by the Company’s lending subsidiaries. At April 3, 2010, there were no outstanding foreign currency swap contracts.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85"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exposure on debt instruments. The fair values are reflected in the Company’s Condensed,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loss (“AOCI”) within the Condensed, Consolidated Balance Sheets. The fair value of the swap agreements is determined based on the present value of the estimated future net cash flows using implied rates in the applicable yield curve as of the valuation date.</w:t>
      </w:r>
    </w:p>
    <w:p>
      <w:pPr>
        <w:spacing w:after="0" w:line="137"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At April 3, 2010 and March 28, 2009, the Company had outstanding interest rate swap agreements with major financial institutions that effectively converted a portion of the Company’s variable-rate debt to a fixed rate. The swap agreements had a total U.S. dollar equivalent notional amount of $450 million and $850 million at April 3, 2010 and March 28, 2009, respectively. Refer to “NOTE 6. DEBT” for the terms of the swap agreements outstanding at April 3, 2010. Included in the AOCI balance at April 3, 2010 was a pre-tax loss of $11.9 million related to interest rate swap agreements that is expected to be reclassified to earnings during the next 12 months, consistent with the timing of the underlying hedged transactions.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Commodity Hedges</w:t>
      </w:r>
    </w:p>
    <w:p>
      <w:pPr>
        <w:spacing w:after="0" w:line="185"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The Company had outstanding hedging arrangements at April 3, 2010 designed to fix the price of a portion of its urea needs.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the AOCI component of shareholders’ equity. Realized gains or losses remain as a component of AOCI until the related inventory is sold. Upon sale of the underlying inventory, the gain or loss is reclassified to cost of sales. Included in the AOCI balance at April 3, 2010 was a pre-tax gain of $0.5 million related to urea derivatives that is expected to be reclassified to earnings during the next 12 months, consistent with the timing of the underlying hedged transactions.</w:t>
      </w:r>
    </w:p>
    <w:p>
      <w:pPr>
        <w:spacing w:after="0" w:line="13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Periodically, the Company also uses fuel derivatives to partially mitigate the effect of fluctuating diesel and gasoline costs on operating results. Fuel derivatives used by the Company that do not qualify for hedge accounting treatment in accordance with GAAP are marked-to-market, with unrealized gains and losses on open contracts and realized gains or losses on settled contracts recorded as an element of cost of sales.</w:t>
      </w:r>
    </w:p>
    <w:p>
      <w:pPr>
        <w:spacing w:after="0" w:line="160" w:lineRule="exact"/>
        <w:rPr>
          <w:sz w:val="20"/>
          <w:szCs w:val="20"/>
          <w:color w:val="auto"/>
        </w:rPr>
      </w:pPr>
    </w:p>
    <w:p>
      <w:pPr>
        <w:jc w:val="both"/>
        <w:ind w:left="340" w:right="559"/>
        <w:spacing w:after="0" w:line="220" w:lineRule="auto"/>
        <w:rPr>
          <w:sz w:val="20"/>
          <w:szCs w:val="20"/>
          <w:color w:val="auto"/>
        </w:rPr>
      </w:pPr>
      <w:r>
        <w:rPr>
          <w:rFonts w:ascii="Arial" w:cs="Arial" w:eastAsia="Arial" w:hAnsi="Arial"/>
          <w:sz w:val="18"/>
          <w:szCs w:val="18"/>
          <w:color w:val="auto"/>
        </w:rPr>
        <w:t>Beginning in fiscal 2009, the Company entered into fuel derivatives for its Scotts LawnService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business that qualify for hedge accounting treatment. Unrealized gains or losses in the fair value of these contracts are recorded to the AOCI component of shareholders’ equity except for any ineffective portion of the change in fair value, which is immediately recorded in earnings. For the effective portion of the change in fair value, realized gains or losses remain as a component of AOCI until the related fuel is consumed by the Scotts LawnService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service vehicles. Upon consumption of the fuel, the gain or loss is reclassified to cost of sales. Included in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AOCI balance at April 3, 2010 was a pre-tax gain of $0.1 million related to fuel derivatives that is expected to be reclassified to earnings during the next 12 months, consistent with the timing of the underlying hedged transactions.</w:t>
      </w:r>
    </w:p>
    <w:p>
      <w:pPr>
        <w:spacing w:after="0" w:line="143"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As of April 3, 2010, the Company had the following outstanding commodity contracts that were entered into to hedge forecasted purchases: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Commodity</w:t>
            </w:r>
          </w:p>
        </w:tc>
        <w:tc>
          <w:tcPr>
            <w:tcW w:w="260" w:type="dxa"/>
            <w:vAlign w:val="bottom"/>
          </w:tcPr>
          <w:p>
            <w:pPr>
              <w:spacing w:after="0"/>
              <w:rPr>
                <w:sz w:val="20"/>
                <w:szCs w:val="20"/>
                <w:color w:val="auto"/>
              </w:rPr>
            </w:pPr>
          </w:p>
        </w:tc>
        <w:tc>
          <w:tcPr>
            <w:tcW w:w="13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Volume</w:t>
            </w: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Urea</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77,000 tons</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Diesel</w:t>
            </w:r>
          </w:p>
        </w:tc>
        <w:tc>
          <w:tcPr>
            <w:tcW w:w="26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90"/>
              </w:rPr>
              <w:t>2,058,000 gallons</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Gasoline</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252,000 gallons</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Fair Values of Derivative Instruments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values of the Company’s derivative instruments were as follows (in millions):</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ind w:right="820"/>
              <w:spacing w:after="0"/>
              <w:rPr>
                <w:sz w:val="20"/>
                <w:szCs w:val="20"/>
                <w:color w:val="auto"/>
              </w:rPr>
            </w:pPr>
            <w:r>
              <w:rPr>
                <w:rFonts w:ascii="Arial" w:cs="Arial" w:eastAsia="Arial" w:hAnsi="Arial"/>
                <w:sz w:val="14"/>
                <w:szCs w:val="14"/>
                <w:b w:val="1"/>
                <w:bCs w:val="1"/>
                <w:color w:val="auto"/>
              </w:rPr>
              <w:t>ASSETS / (LIABILITIES)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APRIL 3,</w:t>
            </w:r>
          </w:p>
        </w:tc>
        <w:tc>
          <w:tcPr>
            <w:tcW w:w="112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MARCH 28,</w:t>
            </w:r>
          </w:p>
        </w:tc>
        <w:tc>
          <w:tcPr>
            <w:tcW w:w="11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20"/>
                <w:szCs w:val="20"/>
                <w:color w:val="auto"/>
              </w:rPr>
            </w:pPr>
            <w:r>
              <w:rPr>
                <w:rFonts w:ascii="Arial" w:cs="Arial" w:eastAsia="Arial" w:hAnsi="Arial"/>
                <w:sz w:val="14"/>
                <w:szCs w:val="14"/>
                <w:b w:val="1"/>
                <w:bCs w:val="1"/>
                <w:color w:val="auto"/>
              </w:rPr>
              <w:t>DERIVATIVES DESIGNATED AS HEDGING</w:t>
            </w: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line="142" w:lineRule="exact"/>
              <w:rPr>
                <w:sz w:val="20"/>
                <w:szCs w:val="20"/>
                <w:color w:val="auto"/>
              </w:rPr>
            </w:pPr>
            <w:r>
              <w:rPr>
                <w:rFonts w:ascii="Arial" w:cs="Arial" w:eastAsia="Arial" w:hAnsi="Arial"/>
                <w:sz w:val="14"/>
                <w:szCs w:val="14"/>
                <w:b w:val="1"/>
                <w:bCs w:val="1"/>
                <w:color w:val="auto"/>
              </w:rPr>
              <w:t>INSTRUMENTS</w:t>
            </w:r>
          </w:p>
        </w:tc>
        <w:tc>
          <w:tcPr>
            <w:tcW w:w="160" w:type="dxa"/>
            <w:vAlign w:val="bottom"/>
          </w:tcPr>
          <w:p>
            <w:pPr>
              <w:spacing w:after="0"/>
              <w:rPr>
                <w:sz w:val="12"/>
                <w:szCs w:val="12"/>
                <w:color w:val="auto"/>
              </w:rPr>
            </w:pPr>
          </w:p>
        </w:tc>
        <w:tc>
          <w:tcPr>
            <w:tcW w:w="22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580" w:type="dxa"/>
            <w:vAlign w:val="bottom"/>
            <w:shd w:val="clear" w:color="auto" w:fill="CCEEFF"/>
          </w:tcPr>
          <w:p>
            <w:pPr>
              <w:ind w:left="200"/>
              <w:spacing w:after="0" w:line="123" w:lineRule="exact"/>
              <w:rPr>
                <w:sz w:val="20"/>
                <w:szCs w:val="20"/>
                <w:color w:val="auto"/>
              </w:rPr>
            </w:pPr>
            <w:r>
              <w:rPr>
                <w:rFonts w:ascii="Arial" w:cs="Arial" w:eastAsia="Arial" w:hAnsi="Arial"/>
                <w:sz w:val="14"/>
                <w:szCs w:val="14"/>
                <w:color w:val="auto"/>
              </w:rPr>
              <w:t>Interest rate swap agreements</w:t>
            </w:r>
          </w:p>
        </w:tc>
        <w:tc>
          <w:tcPr>
            <w:tcW w:w="1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60"/>
              <w:spacing w:after="0" w:line="123" w:lineRule="exact"/>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60"/>
              <w:spacing w:after="0" w:line="123"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 liabilities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(36.0)</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78"/>
        </w:trPr>
        <w:tc>
          <w:tcPr>
            <w:tcW w:w="3580" w:type="dxa"/>
            <w:vAlign w:val="bottom"/>
          </w:tcPr>
          <w:p>
            <w:pPr>
              <w:ind w:left="200"/>
              <w:spacing w:after="0"/>
              <w:rPr>
                <w:sz w:val="20"/>
                <w:szCs w:val="20"/>
                <w:color w:val="auto"/>
              </w:rPr>
            </w:pPr>
            <w:r>
              <w:rPr>
                <w:rFonts w:ascii="Arial" w:cs="Arial" w:eastAsia="Arial" w:hAnsi="Arial"/>
                <w:sz w:val="14"/>
                <w:szCs w:val="14"/>
                <w:color w:val="auto"/>
              </w:rPr>
              <w:t>Commodity hedging instruments</w:t>
            </w:r>
          </w:p>
        </w:tc>
        <w:tc>
          <w:tcPr>
            <w:tcW w:w="16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4"/>
                <w:szCs w:val="14"/>
                <w:color w:val="auto"/>
                <w:w w:val="91"/>
              </w:rPr>
              <w:t>Prepaid and other current assets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Arial" w:cs="Arial" w:eastAsia="Arial" w:hAnsi="Arial"/>
                <w:sz w:val="14"/>
                <w:szCs w:val="14"/>
                <w:color w:val="auto"/>
              </w:rPr>
              <w:t>Other current liabilities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derivatives designated as hedging instruments</w:t>
            </w:r>
          </w:p>
        </w:tc>
        <w:tc>
          <w:tcPr>
            <w:tcW w:w="1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(38.6)</w:t>
            </w: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AS HEDGING</w:t>
            </w: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58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INSTRUMENTS </w:t>
            </w:r>
            <w:r>
              <w:rPr>
                <w:rFonts w:ascii="Arial" w:cs="Arial" w:eastAsia="Arial" w:hAnsi="Arial"/>
                <w:sz w:val="12"/>
                <w:szCs w:val="12"/>
                <w:b w:val="1"/>
                <w:bCs w:val="1"/>
                <w:color w:val="auto"/>
              </w:rPr>
              <w:t>(1)</w:t>
            </w: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Foreign currency swap contracts</w:t>
            </w:r>
          </w:p>
        </w:tc>
        <w:tc>
          <w:tcPr>
            <w:tcW w:w="1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Other current liabilities</w:t>
            </w:r>
          </w:p>
        </w:tc>
        <w:tc>
          <w:tcPr>
            <w:tcW w:w="4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0"/>
        </w:trPr>
        <w:tc>
          <w:tcPr>
            <w:tcW w:w="3580" w:type="dxa"/>
            <w:vAlign w:val="bottom"/>
          </w:tcPr>
          <w:p>
            <w:pPr>
              <w:ind w:left="200"/>
              <w:spacing w:after="0" w:line="130" w:lineRule="exact"/>
              <w:rPr>
                <w:sz w:val="20"/>
                <w:szCs w:val="20"/>
                <w:color w:val="auto"/>
              </w:rPr>
            </w:pPr>
            <w:r>
              <w:rPr>
                <w:rFonts w:ascii="Arial" w:cs="Arial" w:eastAsia="Arial" w:hAnsi="Arial"/>
                <w:sz w:val="14"/>
                <w:szCs w:val="14"/>
                <w:color w:val="auto"/>
              </w:rPr>
              <w:t>Commodity hedging instruments</w:t>
            </w:r>
          </w:p>
        </w:tc>
        <w:tc>
          <w:tcPr>
            <w:tcW w:w="16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Arial" w:cs="Arial" w:eastAsia="Arial" w:hAnsi="Arial"/>
                <w:sz w:val="14"/>
                <w:szCs w:val="14"/>
                <w:color w:val="auto"/>
                <w:w w:val="91"/>
              </w:rPr>
              <w:t>Prepaid and other current assets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0.1</w:t>
            </w:r>
          </w:p>
        </w:tc>
        <w:tc>
          <w:tcPr>
            <w:tcW w:w="120" w:type="dxa"/>
            <w:vAlign w:val="bottom"/>
          </w:tcPr>
          <w:p>
            <w:pPr>
              <w:spacing w:after="0"/>
              <w:rPr>
                <w:sz w:val="11"/>
                <w:szCs w:val="11"/>
                <w:color w:val="auto"/>
              </w:rPr>
            </w:pPr>
          </w:p>
        </w:tc>
        <w:tc>
          <w:tcPr>
            <w:tcW w:w="100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4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Arial" w:cs="Arial" w:eastAsia="Arial" w:hAnsi="Arial"/>
                <w:sz w:val="14"/>
                <w:szCs w:val="14"/>
                <w:color w:val="auto"/>
              </w:rPr>
              <w:t>Other current liabilities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(0.6)</w:t>
            </w:r>
          </w:p>
        </w:tc>
        <w:tc>
          <w:tcPr>
            <w:tcW w:w="24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 xml:space="preserve">Total derivatives not designated as hedging instruments </w:t>
            </w:r>
            <w:r>
              <w:rPr>
                <w:rFonts w:ascii="Arial" w:cs="Arial" w:eastAsia="Arial" w:hAnsi="Arial"/>
                <w:sz w:val="12"/>
                <w:szCs w:val="12"/>
                <w:color w:val="auto"/>
                <w:w w:val="97"/>
              </w:rPr>
              <w:t>(1)</w:t>
            </w:r>
          </w:p>
        </w:tc>
        <w:tc>
          <w:tcPr>
            <w:tcW w:w="1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w:t>
            </w: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80" w:type="dxa"/>
            <w:vAlign w:val="bottom"/>
          </w:tcPr>
          <w:p>
            <w:pPr>
              <w:spacing w:after="0"/>
              <w:rPr>
                <w:sz w:val="20"/>
                <w:szCs w:val="20"/>
                <w:color w:val="auto"/>
              </w:rPr>
            </w:pPr>
            <w:r>
              <w:rPr>
                <w:rFonts w:ascii="Arial" w:cs="Arial" w:eastAsia="Arial" w:hAnsi="Arial"/>
                <w:sz w:val="14"/>
                <w:szCs w:val="14"/>
                <w:color w:val="auto"/>
              </w:rPr>
              <w:t>Total derivatives</w:t>
            </w: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(15.5)</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(39.2)</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0636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80" w:right="559" w:hanging="348"/>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discussion above for additional information regarding the Company’s purpose for entering into derivatives not designated as hedging instruments and its overall risk management strategy.</w:t>
      </w:r>
    </w:p>
    <w:p>
      <w:pPr>
        <w:spacing w:after="0" w:line="130"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Refer to “NOTE 13. FAIR VALUE MEASUREMENTS” for the Company’s fair value measurements of derivative instruments as they relate to the valuation hierarchy.</w:t>
      </w:r>
    </w:p>
    <w:p>
      <w:pPr>
        <w:spacing w:after="0" w:line="130"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effect of derivative instruments on AOCI and the Condensed, Consolidated Statements of Operations for the three- and six-month periods ended April 3, 2010 and March 28, 2009 was as follows:</w:t>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60" w:type="dxa"/>
            <w:vAlign w:val="bottom"/>
            <w:gridSpan w:val="11"/>
          </w:tcPr>
          <w:p>
            <w:pPr>
              <w:jc w:val="right"/>
              <w:ind w:right="560"/>
              <w:spacing w:after="0"/>
              <w:rPr>
                <w:sz w:val="20"/>
                <w:szCs w:val="20"/>
                <w:color w:val="auto"/>
              </w:rPr>
            </w:pPr>
            <w:r>
              <w:rPr>
                <w:rFonts w:ascii="Arial" w:cs="Arial" w:eastAsia="Arial" w:hAnsi="Arial"/>
                <w:sz w:val="14"/>
                <w:szCs w:val="14"/>
                <w:b w:val="1"/>
                <w:bCs w:val="1"/>
                <w:color w:val="auto"/>
              </w:rPr>
              <w:t>AMOUNT OF GAIN / (LOSS) RECOGNIZED IN AOCI</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5"/>
          </w:tcPr>
          <w:p>
            <w:pPr>
              <w:jc w:val="right"/>
              <w:ind w:right="560"/>
              <w:spacing w:after="0" w:line="142"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1920" w:type="dxa"/>
            <w:vAlign w:val="bottom"/>
            <w:gridSpan w:val="4"/>
          </w:tcPr>
          <w:p>
            <w:pPr>
              <w:ind w:left="180"/>
              <w:spacing w:after="0" w:line="142" w:lineRule="exact"/>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8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APRIL 3,</w:t>
            </w:r>
          </w:p>
        </w:tc>
        <w:tc>
          <w:tcPr>
            <w:tcW w:w="8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APRIL 3,</w:t>
            </w:r>
          </w:p>
        </w:tc>
        <w:tc>
          <w:tcPr>
            <w:tcW w:w="8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MARCH 28,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8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Interest rate swap agreements</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(5.0)</w:t>
            </w:r>
          </w:p>
        </w:tc>
        <w:tc>
          <w:tcPr>
            <w:tcW w:w="180" w:type="dxa"/>
            <w:vAlign w:val="bottom"/>
            <w:shd w:val="clear" w:color="auto" w:fill="CCEEFF"/>
          </w:tcPr>
          <w:p>
            <w:pPr>
              <w:jc w:val="right"/>
              <w:ind w:right="30"/>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(6.6)</w:t>
            </w: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4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Commodity hedging instruments</w:t>
            </w:r>
          </w:p>
        </w:tc>
        <w:tc>
          <w:tcPr>
            <w:tcW w:w="10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(0.3)</w:t>
            </w:r>
          </w:p>
        </w:tc>
        <w:tc>
          <w:tcPr>
            <w:tcW w:w="1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2.1</w:t>
            </w:r>
          </w:p>
        </w:tc>
        <w:tc>
          <w:tcPr>
            <w:tcW w:w="1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w:t>
            </w:r>
          </w:p>
        </w:tc>
        <w:tc>
          <w:tcPr>
            <w:tcW w:w="180" w:type="dxa"/>
            <w:vAlign w:val="bottom"/>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(4.5)</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20" w:type="dxa"/>
            <w:vAlign w:val="bottom"/>
            <w:gridSpan w:val="12"/>
          </w:tcPr>
          <w:p>
            <w:pPr>
              <w:jc w:val="right"/>
              <w:ind w:right="360"/>
              <w:spacing w:after="0"/>
              <w:rPr>
                <w:sz w:val="20"/>
                <w:szCs w:val="20"/>
                <w:color w:val="auto"/>
              </w:rPr>
            </w:pPr>
            <w:r>
              <w:rPr>
                <w:rFonts w:ascii="Arial" w:cs="Arial" w:eastAsia="Arial" w:hAnsi="Arial"/>
                <w:sz w:val="14"/>
                <w:szCs w:val="14"/>
                <w:b w:val="1"/>
                <w:bCs w:val="1"/>
                <w:color w:val="auto"/>
              </w:rPr>
              <w:t>AMOUNT OF GAIN / (LOSS) RECLASSIFIED FROM AOCI</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 OF GAIN / (LOSS)</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INTO EARNINGS (IN MILLIONS)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6"/>
          </w:tcPr>
          <w:p>
            <w:pPr>
              <w:jc w:val="right"/>
              <w:ind w:right="520"/>
              <w:spacing w:after="0" w:line="142"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1940" w:type="dxa"/>
            <w:vAlign w:val="bottom"/>
            <w:gridSpan w:val="4"/>
          </w:tcPr>
          <w:p>
            <w:pPr>
              <w:jc w:val="right"/>
              <w:ind w:right="228"/>
              <w:spacing w:after="0" w:line="142" w:lineRule="exact"/>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60" w:type="dxa"/>
            <w:vAlign w:val="bottom"/>
          </w:tcPr>
          <w:p>
            <w:pPr>
              <w:spacing w:after="0" w:line="119" w:lineRule="exact"/>
              <w:rPr>
                <w:sz w:val="20"/>
                <w:szCs w:val="20"/>
                <w:color w:val="auto"/>
              </w:rPr>
            </w:pPr>
            <w:r>
              <w:rPr>
                <w:rFonts w:ascii="Arial" w:cs="Arial" w:eastAsia="Arial" w:hAnsi="Arial"/>
                <w:sz w:val="13"/>
                <w:szCs w:val="13"/>
                <w:b w:val="1"/>
                <w:bCs w:val="1"/>
                <w:color w:val="auto"/>
              </w:rPr>
              <w:t>DERIVATIVES IN CASH FLOW</w:t>
            </w:r>
          </w:p>
        </w:tc>
        <w:tc>
          <w:tcPr>
            <w:tcW w:w="160" w:type="dxa"/>
            <w:vAlign w:val="bottom"/>
          </w:tcPr>
          <w:p>
            <w:pPr>
              <w:spacing w:after="0"/>
              <w:rPr>
                <w:sz w:val="10"/>
                <w:szCs w:val="10"/>
                <w:color w:val="auto"/>
              </w:rPr>
            </w:pPr>
          </w:p>
        </w:tc>
        <w:tc>
          <w:tcPr>
            <w:tcW w:w="218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RECLASSIFIED FROM</w:t>
            </w: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APRIL 3,</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APRIL 3,</w:t>
            </w:r>
          </w:p>
        </w:tc>
        <w:tc>
          <w:tcPr>
            <w:tcW w:w="8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HEDGING RELATIONSHIPS</w:t>
            </w:r>
          </w:p>
        </w:tc>
        <w:tc>
          <w:tcPr>
            <w:tcW w:w="160" w:type="dxa"/>
            <w:vAlign w:val="bottom"/>
          </w:tcPr>
          <w:p>
            <w:pPr>
              <w:spacing w:after="0"/>
              <w:rPr>
                <w:sz w:val="14"/>
                <w:szCs w:val="14"/>
                <w:color w:val="auto"/>
              </w:rPr>
            </w:pPr>
          </w:p>
        </w:tc>
        <w:tc>
          <w:tcPr>
            <w:tcW w:w="2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AOCI INTO EARNINGS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Interest rate swap agreements</w:t>
            </w:r>
          </w:p>
        </w:tc>
        <w:tc>
          <w:tcPr>
            <w:tcW w:w="16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(6.0)</w:t>
            </w:r>
          </w:p>
        </w:tc>
        <w:tc>
          <w:tcPr>
            <w:tcW w:w="360" w:type="dxa"/>
            <w:vAlign w:val="bottom"/>
            <w:gridSpan w:val="2"/>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(11.5)</w:t>
            </w:r>
          </w:p>
        </w:tc>
        <w:tc>
          <w:tcPr>
            <w:tcW w:w="180" w:type="dxa"/>
            <w:vAlign w:val="bottom"/>
            <w:shd w:val="clear" w:color="auto" w:fill="CCEEFF"/>
          </w:tcPr>
          <w:p>
            <w:pPr>
              <w:jc w:val="right"/>
              <w:ind w:right="30"/>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Commodity hedging instruments</w:t>
            </w:r>
          </w:p>
        </w:tc>
        <w:tc>
          <w:tcPr>
            <w:tcW w:w="16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Cost of sales</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(2.8)</w:t>
            </w:r>
          </w:p>
        </w:tc>
        <w:tc>
          <w:tcPr>
            <w:tcW w:w="1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w:t>
            </w:r>
          </w:p>
        </w:tc>
        <w:tc>
          <w:tcPr>
            <w:tcW w:w="36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(14.3)</w:t>
            </w:r>
          </w:p>
        </w:tc>
        <w:tc>
          <w:tcPr>
            <w:tcW w:w="180" w:type="dxa"/>
            <w:vAlign w:val="bottom"/>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rPr>
              <w:t>AMOUNT OF GAIN / (LOSS) RECOGNIZED IN EARNINGS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LOCATION OF GAIN /</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(LOSS)</w:t>
            </w:r>
          </w:p>
        </w:tc>
        <w:tc>
          <w:tcPr>
            <w:tcW w:w="100" w:type="dxa"/>
            <w:vAlign w:val="bottom"/>
          </w:tcPr>
          <w:p>
            <w:pPr>
              <w:spacing w:after="0"/>
              <w:rPr>
                <w:sz w:val="12"/>
                <w:szCs w:val="12"/>
                <w:color w:val="auto"/>
              </w:rPr>
            </w:pPr>
          </w:p>
        </w:tc>
        <w:tc>
          <w:tcPr>
            <w:tcW w:w="2360" w:type="dxa"/>
            <w:vAlign w:val="bottom"/>
            <w:gridSpan w:val="5"/>
          </w:tcPr>
          <w:p>
            <w:pPr>
              <w:jc w:val="right"/>
              <w:ind w:right="540"/>
              <w:spacing w:after="0" w:line="142" w:lineRule="exact"/>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2"/>
                <w:szCs w:val="12"/>
                <w:color w:val="auto"/>
              </w:rPr>
            </w:pPr>
          </w:p>
        </w:tc>
        <w:tc>
          <w:tcPr>
            <w:tcW w:w="17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2700" w:type="dxa"/>
            <w:vAlign w:val="bottom"/>
          </w:tcPr>
          <w:p>
            <w:pPr>
              <w:spacing w:after="0" w:line="119" w:lineRule="exact"/>
              <w:rPr>
                <w:sz w:val="20"/>
                <w:szCs w:val="20"/>
                <w:color w:val="auto"/>
              </w:rPr>
            </w:pPr>
            <w:r>
              <w:rPr>
                <w:rFonts w:ascii="Arial" w:cs="Arial" w:eastAsia="Arial" w:hAnsi="Arial"/>
                <w:sz w:val="13"/>
                <w:szCs w:val="13"/>
                <w:b w:val="1"/>
                <w:bCs w:val="1"/>
                <w:color w:val="auto"/>
              </w:rPr>
              <w:t>DERIVATIVES NOT DESIGNATED AS</w:t>
            </w:r>
          </w:p>
        </w:tc>
        <w:tc>
          <w:tcPr>
            <w:tcW w:w="220" w:type="dxa"/>
            <w:vAlign w:val="bottom"/>
          </w:tcPr>
          <w:p>
            <w:pPr>
              <w:spacing w:after="0"/>
              <w:rPr>
                <w:sz w:val="10"/>
                <w:szCs w:val="10"/>
                <w:color w:val="auto"/>
              </w:rPr>
            </w:pPr>
          </w:p>
        </w:tc>
        <w:tc>
          <w:tcPr>
            <w:tcW w:w="17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RECOGNIZED IN</w:t>
            </w: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APRIL 3,</w:t>
            </w: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APRIL 3,</w:t>
            </w:r>
          </w:p>
        </w:tc>
        <w:tc>
          <w:tcPr>
            <w:tcW w:w="88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MARCH 28,</w:t>
            </w:r>
          </w:p>
        </w:tc>
        <w:tc>
          <w:tcPr>
            <w:tcW w:w="80" w:type="dxa"/>
            <w:vAlign w:val="bottom"/>
          </w:tcPr>
          <w:p>
            <w:pPr>
              <w:spacing w:after="0"/>
              <w:rPr>
                <w:sz w:val="10"/>
                <w:szCs w:val="10"/>
                <w:color w:val="auto"/>
              </w:rPr>
            </w:pPr>
          </w:p>
        </w:tc>
      </w:tr>
      <w:tr>
        <w:trPr>
          <w:trHeight w:val="171"/>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HEDGING INSTRUMENTS</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7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Foreign currency swap contracts</w:t>
            </w:r>
          </w:p>
        </w:tc>
        <w:tc>
          <w:tcPr>
            <w:tcW w:w="2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0"/>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0.7</w:t>
            </w:r>
          </w:p>
        </w:tc>
        <w:tc>
          <w:tcPr>
            <w:tcW w:w="620" w:type="dxa"/>
            <w:vAlign w:val="bottom"/>
            <w:shd w:val="clear" w:color="auto" w:fill="CCEEFF"/>
          </w:tcPr>
          <w:p>
            <w:pPr>
              <w:jc w:val="right"/>
              <w:ind w:right="500"/>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(6.4)</w:t>
            </w:r>
          </w:p>
        </w:tc>
      </w:tr>
      <w:tr>
        <w:trPr>
          <w:trHeight w:val="149"/>
        </w:trPr>
        <w:tc>
          <w:tcPr>
            <w:tcW w:w="2700" w:type="dxa"/>
            <w:vAlign w:val="bottom"/>
          </w:tcPr>
          <w:p>
            <w:pPr>
              <w:ind w:left="200"/>
              <w:spacing w:after="0" w:line="149" w:lineRule="exact"/>
              <w:rPr>
                <w:sz w:val="20"/>
                <w:szCs w:val="20"/>
                <w:color w:val="auto"/>
              </w:rPr>
            </w:pPr>
            <w:r>
              <w:rPr>
                <w:rFonts w:ascii="Arial" w:cs="Arial" w:eastAsia="Arial" w:hAnsi="Arial"/>
                <w:sz w:val="14"/>
                <w:szCs w:val="14"/>
                <w:color w:val="auto"/>
              </w:rPr>
              <w:t>Commodity hedging instruments</w:t>
            </w:r>
          </w:p>
        </w:tc>
        <w:tc>
          <w:tcPr>
            <w:tcW w:w="220" w:type="dxa"/>
            <w:vAlign w:val="bottom"/>
          </w:tcPr>
          <w:p>
            <w:pPr>
              <w:spacing w:after="0"/>
              <w:rPr>
                <w:sz w:val="12"/>
                <w:szCs w:val="12"/>
                <w:color w:val="auto"/>
              </w:rPr>
            </w:pPr>
          </w:p>
        </w:tc>
        <w:tc>
          <w:tcPr>
            <w:tcW w:w="1720" w:type="dxa"/>
            <w:vAlign w:val="bottom"/>
            <w:gridSpan w:val="2"/>
          </w:tcPr>
          <w:p>
            <w:pPr>
              <w:spacing w:after="0" w:line="149" w:lineRule="exact"/>
              <w:rPr>
                <w:sz w:val="20"/>
                <w:szCs w:val="20"/>
                <w:color w:val="auto"/>
              </w:rPr>
            </w:pPr>
            <w:r>
              <w:rPr>
                <w:rFonts w:ascii="Arial" w:cs="Arial" w:eastAsia="Arial" w:hAnsi="Arial"/>
                <w:sz w:val="14"/>
                <w:szCs w:val="14"/>
                <w:color w:val="auto"/>
              </w:rPr>
              <w:t>Cost of sales</w:t>
            </w:r>
          </w:p>
        </w:tc>
        <w:tc>
          <w:tcPr>
            <w:tcW w:w="10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(0.1)</w:t>
            </w:r>
          </w:p>
        </w:tc>
        <w:tc>
          <w:tcPr>
            <w:tcW w:w="20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(0.6)</w:t>
            </w:r>
          </w:p>
        </w:tc>
        <w:tc>
          <w:tcPr>
            <w:tcW w:w="12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(0.1)</w:t>
            </w:r>
          </w:p>
        </w:tc>
        <w:tc>
          <w:tcPr>
            <w:tcW w:w="620" w:type="dxa"/>
            <w:vAlign w:val="bottom"/>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(0.6)</w:t>
            </w:r>
          </w:p>
        </w:tc>
      </w:tr>
      <w:tr>
        <w:trPr>
          <w:trHeight w:val="27"/>
        </w:trPr>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0.6</w:t>
            </w:r>
          </w:p>
        </w:tc>
        <w:tc>
          <w:tcPr>
            <w:tcW w:w="620" w:type="dxa"/>
            <w:vAlign w:val="bottom"/>
            <w:shd w:val="clear" w:color="auto" w:fill="CCEEFF"/>
          </w:tcPr>
          <w:p>
            <w:pPr>
              <w:jc w:val="right"/>
              <w:ind w:right="500"/>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w:t>
            </w:r>
          </w:p>
        </w:tc>
      </w:tr>
      <w:tr>
        <w:trPr>
          <w:trHeight w:val="20"/>
        </w:trPr>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13. FAIR VALUE MEASUREMENTS</w:t>
      </w:r>
    </w:p>
    <w:p>
      <w:pPr>
        <w:spacing w:after="0" w:line="189"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Company adopted the new accounting guidance for all financial assets and liabilities accounted for at fair value on a recurring basis effective October 1, 2008. The Company adopted the new accounting guidance for all non-financial assets and liabilities accounted for at fair value on a non-recurring basis effective October 1, 2009. The guidance defines fair value, establishes a framework for measuring fair value, and expands disclosures about fair value measurements. It defines fair value as the exchange price that would be received for an asset or paid to transfer a liability (an exit price) in the principal or the most advantageous market for the asset or liability in an orderly transaction between market participants at the measurement date. GAAP establishes a three-level fair value hierarchy that prioritizes the inputs used to measure fair value. The hierarchy requires entities to maximize the use of observable inputs and minimize the use of unobservable inputs. The three levels of inputs used to measure fair value are as follows:</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98" w:lineRule="exact"/>
        <w:rPr>
          <w:sz w:val="20"/>
          <w:szCs w:val="20"/>
          <w:color w:val="auto"/>
        </w:rPr>
      </w:pPr>
    </w:p>
    <w:p>
      <w:pPr>
        <w:jc w:val="both"/>
        <w:ind w:left="700" w:right="559"/>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active markets; quoted prices for similar assets and liabilities in markets that are not active; or other inputs that are observable or can be corroborated by observable market data.</w:t>
      </w:r>
    </w:p>
    <w:p>
      <w:pPr>
        <w:spacing w:after="0" w:line="141" w:lineRule="exact"/>
        <w:rPr>
          <w:sz w:val="20"/>
          <w:szCs w:val="20"/>
          <w:color w:val="auto"/>
        </w:rPr>
      </w:pPr>
    </w:p>
    <w:p>
      <w:pPr>
        <w:jc w:val="both"/>
        <w:ind w:left="700" w:right="559"/>
        <w:spacing w:after="0" w:line="264"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and that are significant to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assets or liabilities. This includes pricing models, discounted cash flow methodologies and similar techniques that use significant unobservable inputs.</w:t>
      </w:r>
    </w:p>
    <w:p>
      <w:pPr>
        <w:spacing w:after="0" w:line="14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w:t>
      </w:r>
    </w:p>
    <w:p>
      <w:pPr>
        <w:spacing w:after="0" w:line="18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Derivatives consist of foreign currency, interest rate and commodity derivative instruments. The Company uses foreign currency swap contracts to manage the exchange rate risk associated with intercompany loans with foreign subsidiaries that are denominated in U.S. dollars. These contracts are valued using observable forward rates in commonly quoted intervals for the full term of the contracts.</w:t>
      </w:r>
    </w:p>
    <w:p>
      <w:pPr>
        <w:spacing w:after="0" w:line="14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Interest rate derivatives consist of interest rate swap agreements. The Company enters into interest rate swap agreements as a means to hedge its variable interest rate exposure on debt instruments. The fair value of the swap agreements is determined based on the present value of the estimated future net cash flows using implied rates in the applicable yield curve as of the valuation date.</w:t>
      </w:r>
    </w:p>
    <w:p>
      <w:pPr>
        <w:spacing w:after="0" w:line="16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has hedging arrangements designed to fix the price of a portion of its urea and fuel needs. The objective of the hedges is to mitigate the earnings and cash flow volatility attributable to the risk of changing prices. These contracts are measured using observable commodity exchange prices in active markets.</w:t>
      </w:r>
    </w:p>
    <w:p>
      <w:pPr>
        <w:spacing w:after="0" w:line="141"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6"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For further information on the Company’s derivative instruments, refer to “NOTE 12. DERIVATIVE INSTRUMENTS AND HEDGING ACTIVITIES.”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185"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Other financial assets consist of investment securities in non-qualified retirement plan assets. These securities are valued using observable market prices in active markets. These investment securities are classified within Level 1 of the valuation hierarchy and are included within “Other assets” in the Company’s Condensed, Consolidated Balance Sheets.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April 3, 2010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9"/>
              </w:rPr>
              <w:t>Quoted Prices in</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760" w:type="dxa"/>
            <w:vAlign w:val="bottom"/>
            <w:gridSpan w:val="4"/>
          </w:tcPr>
          <w:p>
            <w:pPr>
              <w:spacing w:after="0"/>
              <w:rPr>
                <w:sz w:val="20"/>
                <w:szCs w:val="20"/>
                <w:color w:val="auto"/>
              </w:rPr>
            </w:pPr>
            <w:r>
              <w:rPr>
                <w:rFonts w:ascii="Arial" w:cs="Arial" w:eastAsia="Arial" w:hAnsi="Arial"/>
                <w:sz w:val="18"/>
                <w:szCs w:val="18"/>
                <w:b w:val="1"/>
                <w:bCs w:val="1"/>
                <w:color w:val="auto"/>
              </w:rPr>
              <w:t>Active Markets for</w:t>
            </w:r>
          </w:p>
        </w:tc>
        <w:tc>
          <w:tcPr>
            <w:tcW w:w="1720" w:type="dxa"/>
            <w:vAlign w:val="bottom"/>
            <w:gridSpan w:val="3"/>
          </w:tcPr>
          <w:p>
            <w:pPr>
              <w:ind w:left="40"/>
              <w:spacing w:after="0"/>
              <w:rPr>
                <w:sz w:val="20"/>
                <w:szCs w:val="20"/>
                <w:color w:val="auto"/>
              </w:rPr>
            </w:pPr>
            <w:r>
              <w:rPr>
                <w:rFonts w:ascii="Arial" w:cs="Arial" w:eastAsia="Arial" w:hAnsi="Arial"/>
                <w:sz w:val="18"/>
                <w:szCs w:val="18"/>
                <w:b w:val="1"/>
                <w:bCs w:val="1"/>
                <w:color w:val="auto"/>
              </w:rPr>
              <w:t>Significant Other</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Unobservable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7"/>
              </w:rPr>
              <w:t>Identical Assets</w:t>
            </w: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Observable Inputs</w:t>
            </w:r>
          </w:p>
        </w:tc>
        <w:tc>
          <w:tcPr>
            <w:tcW w:w="14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Inputs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3"/>
              </w:rPr>
              <w:t>(Level 1)</w:t>
            </w:r>
          </w:p>
        </w:tc>
        <w:tc>
          <w:tcPr>
            <w:tcW w:w="240" w:type="dxa"/>
            <w:vAlign w:val="bottom"/>
          </w:tcPr>
          <w:p>
            <w:pPr>
              <w:spacing w:after="0"/>
              <w:rPr>
                <w:sz w:val="20"/>
                <w:szCs w:val="20"/>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 agreements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Arial" w:cs="Arial" w:eastAsia="Arial" w:hAnsi="Arial"/>
                <w:sz w:val="18"/>
                <w:szCs w:val="18"/>
                <w:color w:val="auto"/>
              </w:rPr>
              <w:t>Commodity hedging instruments</w:t>
            </w:r>
          </w:p>
        </w:tc>
        <w:tc>
          <w:tcPr>
            <w:tcW w:w="100" w:type="dxa"/>
            <w:vAlign w:val="bottom"/>
          </w:tcPr>
          <w:p>
            <w:pPr>
              <w:spacing w:after="0"/>
              <w:rPr>
                <w:sz w:val="18"/>
                <w:szCs w:val="18"/>
                <w:color w:val="auto"/>
              </w:rPr>
            </w:pP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77"/>
              </w:rPr>
              <w:t>—</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 agreements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ind w:left="740"/>
              <w:spacing w:after="0"/>
              <w:rPr>
                <w:sz w:val="20"/>
                <w:szCs w:val="20"/>
                <w:color w:val="auto"/>
              </w:rPr>
            </w:pPr>
            <w:r>
              <w:rPr>
                <w:rFonts w:ascii="Arial" w:cs="Arial" w:eastAsia="Arial" w:hAnsi="Arial"/>
                <w:sz w:val="18"/>
                <w:szCs w:val="18"/>
                <w:color w:val="auto"/>
                <w:w w:val="77"/>
              </w:rPr>
              <w:t>—</w:t>
            </w:r>
          </w:p>
        </w:tc>
        <w:tc>
          <w:tcPr>
            <w:tcW w:w="3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The assets and liabilities subject to the new guidance for fair value measurement accounting and disclosures related to non-financial assets and liabilities recognized or disclosed on a non-recurring basis primarily include goodwill and indefinite-lived intangible assets measured at fair value for impairment assessments, long-lived assets measured at fair value for impairment assessments and non-financial assets and liabilities measured at fair value in business combinations. The adoption of this new guidance did not affect our financial position, results of operations or cash flows for the periods presented.</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14. ACQUISITIONS</w:t>
      </w:r>
    </w:p>
    <w:p>
      <w:pPr>
        <w:spacing w:after="0" w:line="189"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Effective October 1, 2008, the Company acquired Humax Horticulture Limited, a privately-owned growing media company in the United Kingdom, for a total cost of $9.3 million. There was no acquisition activity in the first six months of fiscal 2010.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15. SEGMENT INFORMATION</w:t>
      </w:r>
    </w:p>
    <w:p>
      <w:pPr>
        <w:spacing w:after="0" w:line="189"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The Company divides its business into the following segments — Global Consumer, Global Professional, Scotts LawnService</w:t>
      </w:r>
      <w:r>
        <w:rPr>
          <w:rFonts w:ascii="Arial" w:cs="Arial" w:eastAsia="Arial" w:hAnsi="Arial"/>
          <w:sz w:val="13"/>
          <w:szCs w:val="13"/>
          <w:color w:val="auto"/>
        </w:rPr>
        <w:t>®</w:t>
      </w:r>
      <w:r>
        <w:rPr>
          <w:rFonts w:ascii="Arial" w:cs="Arial" w:eastAsia="Arial" w:hAnsi="Arial"/>
          <w:sz w:val="16"/>
          <w:szCs w:val="16"/>
          <w:color w:val="auto"/>
        </w:rPr>
        <w:t xml:space="preserve"> and Corporate &amp; Other. Prior to being reported as discontinued operations, Smith &amp; Hawken was included as part of our Corporate &amp; Other reportable segment. This division of reportable segments is consistent with how the segments report to and are managed by senior management of the Company. Certain reclassifications were made to the Global Consumer and Global Professional prior period amounts to reflect changes in the structure of the Company’s organization effective in fiscal 2010.</w:t>
      </w:r>
    </w:p>
    <w:p>
      <w:pPr>
        <w:spacing w:after="0" w:line="118"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The Global Consumer segment consists of the North American Consumer and International Consumer business groups. The business groups comprising this segment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wild bird food, pesticide and rodenticide products. Products are marketed to mass merchandisers, home centers, large hardware chains, warehouse clubs, distributors, garden centers and grocers in the United States, Canada, Europe, Latin America, and Australia.</w:t>
      </w:r>
    </w:p>
    <w:p>
      <w:pPr>
        <w:spacing w:after="0" w:line="138"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The Global Professional segment is focused on a full line of horticultural products including controlled-release and water-soluble fertilizers and plant protection products, wetting agents, grass seed products, spreaders and customer application services. Products are sold to commercial nurseries and greenhouses and specialty crop growers, primarily in North America and Europe.</w:t>
      </w:r>
    </w:p>
    <w:p>
      <w:pPr>
        <w:spacing w:after="0" w:line="10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provides lawn fertilization, disease and insect control and other related services such as core aeration, tree and shrub fertilization and limited pest control services primarily to residential consumers through Company-owned branches and franchises in the United States.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Corporate &amp; Other segment consists of corporate general and administrative expenses.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are not GAAP measures. Senior management of the Company uses this measure of operating profit to gauge segment performance because the Company believes this measure is the most indicative of performance trends and the overall earnings potential of each segment. The following table presents segment financial information.</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400" w:type="dxa"/>
            <w:vAlign w:val="bottom"/>
            <w:gridSpan w:val="9"/>
          </w:tcPr>
          <w:p>
            <w:pPr>
              <w:jc w:val="right"/>
              <w:ind w:right="20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8"/>
          </w:tcPr>
          <w:p>
            <w:pPr>
              <w:jc w:val="right"/>
              <w:ind w:right="28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ind w:right="90"/>
              <w:spacing w:after="0" w:line="191" w:lineRule="exact"/>
              <w:rPr>
                <w:sz w:val="20"/>
                <w:szCs w:val="20"/>
                <w:color w:val="auto"/>
              </w:rPr>
            </w:pPr>
            <w:r>
              <w:rPr>
                <w:rFonts w:ascii="Arial" w:cs="Arial" w:eastAsia="Arial" w:hAnsi="Arial"/>
                <w:sz w:val="18"/>
                <w:szCs w:val="18"/>
                <w:b w:val="1"/>
                <w:bCs w:val="1"/>
                <w:color w:val="auto"/>
                <w:w w:val="97"/>
              </w:rPr>
              <w:t>APRIL 3,</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4"/>
          </w:tcPr>
          <w:p>
            <w:pPr>
              <w:jc w:val="right"/>
              <w:spacing w:after="0" w:line="191" w:lineRule="exact"/>
              <w:rPr>
                <w:sz w:val="20"/>
                <w:szCs w:val="20"/>
                <w:color w:val="auto"/>
              </w:rPr>
            </w:pPr>
            <w:r>
              <w:rPr>
                <w:rFonts w:ascii="Arial" w:cs="Arial" w:eastAsia="Arial" w:hAnsi="Arial"/>
                <w:sz w:val="18"/>
                <w:szCs w:val="18"/>
                <w:b w:val="1"/>
                <w:bCs w:val="1"/>
                <w:color w:val="auto"/>
                <w:w w:val="96"/>
              </w:rPr>
              <w:t>MARCH 28,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5"/>
          </w:tcPr>
          <w:p>
            <w:pPr>
              <w:jc w:val="right"/>
              <w:ind w:right="350"/>
              <w:spacing w:after="0" w:line="191" w:lineRule="exact"/>
              <w:rPr>
                <w:sz w:val="20"/>
                <w:szCs w:val="20"/>
                <w:color w:val="auto"/>
              </w:rPr>
            </w:pPr>
            <w:r>
              <w:rPr>
                <w:rFonts w:ascii="Arial" w:cs="Arial" w:eastAsia="Arial" w:hAnsi="Arial"/>
                <w:sz w:val="18"/>
                <w:szCs w:val="18"/>
                <w:b w:val="1"/>
                <w:bCs w:val="1"/>
                <w:color w:val="auto"/>
                <w:w w:val="97"/>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8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MILLIONS)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3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86"/>
              </w:rPr>
              <w:t>MILLIONS)</w:t>
            </w: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Global Consumer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1,014.7</w:t>
            </w:r>
          </w:p>
        </w:tc>
        <w:tc>
          <w:tcPr>
            <w:tcW w:w="840" w:type="dxa"/>
            <w:vAlign w:val="bottom"/>
            <w:gridSpan w:val="2"/>
          </w:tcPr>
          <w:p>
            <w:pPr>
              <w:jc w:val="right"/>
              <w:ind w:right="37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w w:val="84"/>
              </w:rPr>
              <w:t>840.6</w:t>
            </w:r>
          </w:p>
        </w:tc>
        <w:tc>
          <w:tcPr>
            <w:tcW w:w="3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w:t>
            </w:r>
          </w:p>
        </w:tc>
        <w:tc>
          <w:tcPr>
            <w:tcW w:w="1180" w:type="dxa"/>
            <w:vAlign w:val="bottom"/>
            <w:gridSpan w:val="5"/>
          </w:tcPr>
          <w:p>
            <w:pPr>
              <w:jc w:val="right"/>
              <w:ind w:right="250"/>
              <w:spacing w:after="0"/>
              <w:rPr>
                <w:sz w:val="20"/>
                <w:szCs w:val="20"/>
                <w:color w:val="auto"/>
              </w:rPr>
            </w:pPr>
            <w:r>
              <w:rPr>
                <w:rFonts w:ascii="Arial" w:cs="Arial" w:eastAsia="Arial" w:hAnsi="Arial"/>
                <w:sz w:val="18"/>
                <w:szCs w:val="18"/>
                <w:color w:val="auto"/>
              </w:rPr>
              <w:t>1,228.7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1,028.9</w:t>
            </w: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Global Professional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250"/>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127.0</w:t>
            </w: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25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r>
      <w:tr>
        <w:trPr>
          <w:trHeight w:val="27"/>
        </w:trPr>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Segment total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1,123.3</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4"/>
              </w:rPr>
              <w:t>940.9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250"/>
              <w:spacing w:after="0"/>
              <w:rPr>
                <w:sz w:val="20"/>
                <w:szCs w:val="20"/>
                <w:color w:val="auto"/>
              </w:rPr>
            </w:pPr>
            <w:r>
              <w:rPr>
                <w:rFonts w:ascii="Arial" w:cs="Arial" w:eastAsia="Arial" w:hAnsi="Arial"/>
                <w:sz w:val="18"/>
                <w:szCs w:val="18"/>
                <w:color w:val="auto"/>
              </w:rPr>
              <w:t>1,425.7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1,227.5</w:t>
            </w: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19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 registration and recall matters-returns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23"/>
        </w:trPr>
        <w:tc>
          <w:tcPr>
            <w:tcW w:w="4400" w:type="dxa"/>
            <w:vAlign w:val="bottom"/>
          </w:tcPr>
          <w:p>
            <w:pPr>
              <w:ind w:left="200"/>
              <w:spacing w:after="0"/>
              <w:rPr>
                <w:sz w:val="20"/>
                <w:szCs w:val="20"/>
                <w:color w:val="auto"/>
              </w:rPr>
            </w:pPr>
            <w:r>
              <w:rPr>
                <w:rFonts w:ascii="Arial" w:cs="Arial" w:eastAsia="Arial" w:hAnsi="Arial"/>
                <w:sz w:val="18"/>
                <w:szCs w:val="18"/>
                <w:color w:val="auto"/>
              </w:rPr>
              <w:t>Consolidated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w:t>
            </w:r>
            <w:r>
              <w:rPr>
                <w:rFonts w:ascii="Arial" w:cs="Arial" w:eastAsia="Arial" w:hAnsi="Arial"/>
                <w:sz w:val="18"/>
                <w:szCs w:val="18"/>
                <w:u w:val="single" w:color="auto"/>
                <w:color w:val="auto"/>
              </w:rPr>
              <w:t>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940.7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1,425.3</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w:t>
            </w:r>
            <w:r>
              <w:rPr>
                <w:rFonts w:ascii="Arial" w:cs="Arial" w:eastAsia="Arial" w:hAnsi="Arial"/>
                <w:sz w:val="18"/>
                <w:szCs w:val="18"/>
                <w:u w:val="single" w:color="auto"/>
                <w:color w:val="auto"/>
              </w:rPr>
              <w:t>8</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Global Consumer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254.5</w:t>
            </w:r>
          </w:p>
        </w:tc>
        <w:tc>
          <w:tcPr>
            <w:tcW w:w="840" w:type="dxa"/>
            <w:vAlign w:val="bottom"/>
            <w:gridSpan w:val="2"/>
          </w:tcPr>
          <w:p>
            <w:pPr>
              <w:jc w:val="right"/>
              <w:ind w:right="37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w w:val="84"/>
              </w:rPr>
              <w:t>199.5</w:t>
            </w:r>
          </w:p>
        </w:tc>
        <w:tc>
          <w:tcPr>
            <w:tcW w:w="3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w:t>
            </w:r>
          </w:p>
        </w:tc>
        <w:tc>
          <w:tcPr>
            <w:tcW w:w="1180" w:type="dxa"/>
            <w:vAlign w:val="bottom"/>
            <w:gridSpan w:val="5"/>
          </w:tcPr>
          <w:p>
            <w:pPr>
              <w:jc w:val="right"/>
              <w:ind w:right="250"/>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164.0</w:t>
            </w: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Global Professional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(16.1)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190"/>
              <w:spacing w:after="0"/>
              <w:rPr>
                <w:sz w:val="20"/>
                <w:szCs w:val="20"/>
                <w:color w:val="auto"/>
              </w:rPr>
            </w:pPr>
            <w:r>
              <w:rPr>
                <w:rFonts w:ascii="Arial" w:cs="Arial" w:eastAsia="Arial" w:hAnsi="Arial"/>
                <w:sz w:val="18"/>
                <w:szCs w:val="18"/>
                <w:color w:val="auto"/>
                <w:w w:val="89"/>
              </w:rPr>
              <w:t>(21.3)</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&amp; 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(33.7)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w w:val="89"/>
              </w:rPr>
              <w:t>(56.0)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w:t>
            </w:r>
          </w:p>
        </w:tc>
      </w:tr>
      <w:tr>
        <w:trPr>
          <w:trHeight w:val="223"/>
        </w:trPr>
        <w:tc>
          <w:tcPr>
            <w:tcW w:w="4400" w:type="dxa"/>
            <w:vAlign w:val="bottom"/>
          </w:tcPr>
          <w:p>
            <w:pPr>
              <w:ind w:left="200"/>
              <w:spacing w:after="0"/>
              <w:rPr>
                <w:sz w:val="20"/>
                <w:szCs w:val="20"/>
                <w:color w:val="auto"/>
              </w:rPr>
            </w:pPr>
            <w:r>
              <w:rPr>
                <w:rFonts w:ascii="Arial" w:cs="Arial" w:eastAsia="Arial" w:hAnsi="Arial"/>
                <w:sz w:val="18"/>
                <w:szCs w:val="18"/>
                <w:color w:val="auto"/>
              </w:rPr>
              <w:t>Segment total</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157.5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148.6</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19"/>
                <w:szCs w:val="19"/>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Other amortization</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19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 registration and recall matters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r>
      <w:tr>
        <w:trPr>
          <w:trHeight w:val="223"/>
        </w:trPr>
        <w:tc>
          <w:tcPr>
            <w:tcW w:w="4400" w:type="dxa"/>
            <w:vAlign w:val="bottom"/>
          </w:tcPr>
          <w:p>
            <w:pPr>
              <w:ind w:left="200"/>
              <w:spacing w:after="0"/>
              <w:rPr>
                <w:sz w:val="20"/>
                <w:szCs w:val="20"/>
                <w:color w:val="auto"/>
              </w:rPr>
            </w:pPr>
            <w:r>
              <w:rPr>
                <w:rFonts w:ascii="Arial" w:cs="Arial" w:eastAsia="Arial" w:hAnsi="Arial"/>
                <w:sz w:val="18"/>
                <w:szCs w:val="18"/>
                <w:color w:val="auto"/>
              </w:rPr>
              <w:t>Consolidated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146.4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138.7</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8"/>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APRIL 3,</w:t>
            </w:r>
          </w:p>
        </w:tc>
        <w:tc>
          <w:tcPr>
            <w:tcW w:w="300" w:type="dxa"/>
            <w:vAlign w:val="bottom"/>
          </w:tcPr>
          <w:p>
            <w:pPr>
              <w:spacing w:after="0"/>
              <w:rPr>
                <w:sz w:val="24"/>
                <w:szCs w:val="24"/>
                <w:color w:val="auto"/>
              </w:rPr>
            </w:pPr>
          </w:p>
        </w:tc>
        <w:tc>
          <w:tcPr>
            <w:tcW w:w="100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w w:val="98"/>
              </w:rPr>
              <w:t>MARCH 28,</w:t>
            </w:r>
          </w:p>
        </w:tc>
        <w:tc>
          <w:tcPr>
            <w:tcW w:w="30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8"/>
                <w:szCs w:val="18"/>
                <w:b w:val="1"/>
                <w:bCs w:val="1"/>
                <w:color w:val="auto"/>
                <w:w w:val="89"/>
              </w:rPr>
              <w:t>2009</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4"/>
              </w:rPr>
              <w:t>2009</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9"/>
          </w:tcPr>
          <w:p>
            <w:pPr>
              <w:jc w:val="right"/>
              <w:ind w:right="27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Global Consumer</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2,341.5</w:t>
            </w:r>
          </w:p>
        </w:tc>
        <w:tc>
          <w:tcPr>
            <w:tcW w:w="2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2,307.7</w:t>
            </w:r>
          </w:p>
        </w:tc>
        <w:tc>
          <w:tcPr>
            <w:tcW w:w="7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1,504.5</w:t>
            </w: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Global Professional</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280.4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334.1</w:t>
            </w: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166.7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175.0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176.1</w:t>
            </w: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&amp; Other</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204.8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205.4</w:t>
            </w:r>
          </w:p>
        </w:tc>
      </w:tr>
      <w:tr>
        <w:trPr>
          <w:trHeight w:val="223"/>
        </w:trPr>
        <w:tc>
          <w:tcPr>
            <w:tcW w:w="4400" w:type="dxa"/>
            <w:vAlign w:val="bottom"/>
          </w:tcPr>
          <w:p>
            <w:pPr>
              <w:ind w:left="200"/>
              <w:spacing w:after="0"/>
              <w:rPr>
                <w:sz w:val="20"/>
                <w:szCs w:val="20"/>
                <w:color w:val="auto"/>
              </w:rPr>
            </w:pPr>
            <w:r>
              <w:rPr>
                <w:rFonts w:ascii="Arial" w:cs="Arial" w:eastAsia="Arial" w:hAnsi="Arial"/>
                <w:sz w:val="18"/>
                <w:szCs w:val="18"/>
                <w:color w:val="auto"/>
              </w:rPr>
              <w:t>Consolidated</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3,051.</w:t>
            </w:r>
            <w:r>
              <w:rPr>
                <w:rFonts w:ascii="Arial" w:cs="Arial" w:eastAsia="Arial" w:hAnsi="Arial"/>
                <w:sz w:val="18"/>
                <w:szCs w:val="18"/>
                <w:u w:val="single" w:color="auto"/>
                <w:color w:val="auto"/>
              </w:rPr>
              <w:t>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2,967.</w:t>
            </w:r>
            <w:r>
              <w:rPr>
                <w:rFonts w:ascii="Arial" w:cs="Arial" w:eastAsia="Arial" w:hAnsi="Arial"/>
                <w:sz w:val="18"/>
                <w:szCs w:val="18"/>
                <w:u w:val="single" w:color="auto"/>
                <w:color w:val="auto"/>
              </w:rPr>
              <w:t>9</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2,220.1</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Total assets reported for the Company’s operating segments include the intangible assets associated with the acquired businesses within those segments. Corporate &amp; Other assets primarily include deferred financing and debt issuance costs, corporate intangible assets and deferred tax assets, and Smith &amp; Hawken assets.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16. FINANCIAL INFORMATION FOR SUBSIDIARY GUARANTORS AND NON-GUARANTORS</w:t>
      </w:r>
    </w:p>
    <w:p>
      <w:pPr>
        <w:spacing w:after="0" w:line="189"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 xml:space="preserve">The Senior Notes issued by Scotts Miracle-Gro on January 14, 2010 are guaranteed by certain of its domestic subsidiaries and, therefore, the Company has disclosed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 Registered or Being Registered.</w:t>
      </w:r>
      <w:r>
        <w:rPr>
          <w:rFonts w:ascii="Arial" w:cs="Arial" w:eastAsia="Arial" w:hAnsi="Arial"/>
          <w:sz w:val="16"/>
          <w:szCs w:val="16"/>
          <w:color w:val="auto"/>
        </w:rPr>
        <w:t xml:space="preserve"> The following 100% directly or indirectly owned subsidiaries fully and unconditionally guarantee the Senior Notes on a joint and several basis: EG Systems, Inc., dba Scotts LawnService</w:t>
      </w:r>
      <w:r>
        <w:rPr>
          <w:rFonts w:ascii="Arial" w:cs="Arial" w:eastAsia="Arial" w:hAnsi="Arial"/>
          <w:sz w:val="13"/>
          <w:szCs w:val="13"/>
          <w:color w:val="auto"/>
        </w:rPr>
        <w:t>®</w:t>
      </w:r>
      <w:r>
        <w:rPr>
          <w:rFonts w:ascii="Arial" w:cs="Arial" w:eastAsia="Arial" w:hAnsi="Arial"/>
          <w:sz w:val="16"/>
          <w:szCs w:val="16"/>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Crop Protection Company; Scotts-Sierra Horticultural Products Company; Scotts-Sierra Investments, Inc.; SMG Growing Media, Inc.; Swiss Farms Products, Inc.; and The Scotts Company LLC (collectively, the “Guarantors”). Teak 2, Ltd., f/k/a Smith &amp; Hawken, Ltd., was released from its guarantee under the Senior Notes on March 18, 2010. Accordingly, Teak 2, Ltd. has been classified as a Non-Guarantor for all periods presented in the condensed, consolidating financial information accompanying this Note 16.</w:t>
      </w:r>
    </w:p>
    <w:p>
      <w:pPr>
        <w:spacing w:after="0" w:line="14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following information presents condensed, consolidating Statements of Operations for the three-month and six-month periods ended April 3, 2010 and March 28, 2009 and condensed, consolidating Statements of Cash Flows for the six-month periods ended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April 3, 2010 and March 28, 2009, and condensed, consolidating Balance Sheets as of April 3, 2010, March 28, 2009 and September 30, 2009. The condensed, consolidating financial information presents, in separate columns, financial information for: Scotts Miracle-Gro on a Parent-only basis, carrying its investment in subsidiaries under the equity method; Guarantors on a combined basis, carrying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and income in subsidiaries. Because the Parent is obligated to pay the unpaid principal amount and interest on all amounts borrowed by the Guarantors or Non-Guarantors under the senior secured five-year revolving loan facility, the borrowings and related interest expense for the revolving loans outstanding of the Guarantors and Non-Guarantors are also presented in the accompanying Parent-only financial information, and are then eliminated.</w:t>
      </w: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43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040" w:type="dxa"/>
            <w:vAlign w:val="bottom"/>
            <w:gridSpan w:val="7"/>
          </w:tcPr>
          <w:p>
            <w:pPr>
              <w:jc w:val="center"/>
              <w:ind w:left="2150"/>
              <w:spacing w:after="0"/>
              <w:rPr>
                <w:sz w:val="20"/>
                <w:szCs w:val="20"/>
                <w:color w:val="auto"/>
              </w:rPr>
            </w:pPr>
            <w:r>
              <w:rPr>
                <w:rFonts w:ascii="Arial" w:cs="Arial" w:eastAsia="Arial" w:hAnsi="Arial"/>
                <w:sz w:val="18"/>
                <w:szCs w:val="18"/>
                <w:b w:val="1"/>
                <w:bCs w:val="1"/>
                <w:color w:val="auto"/>
                <w:w w:val="91"/>
              </w:rPr>
              <w:t>The Scotts Miracle-Gro Company</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00" w:type="dxa"/>
            <w:vAlign w:val="bottom"/>
            <w:gridSpan w:val="10"/>
          </w:tcPr>
          <w:p>
            <w:pPr>
              <w:jc w:val="center"/>
              <w:ind w:left="1090"/>
              <w:spacing w:after="0"/>
              <w:rPr>
                <w:sz w:val="20"/>
                <w:szCs w:val="20"/>
                <w:color w:val="auto"/>
              </w:rPr>
            </w:pPr>
            <w:r>
              <w:rPr>
                <w:rFonts w:ascii="Arial" w:cs="Arial" w:eastAsia="Arial" w:hAnsi="Arial"/>
                <w:sz w:val="18"/>
                <w:szCs w:val="18"/>
                <w:b w:val="1"/>
                <w:bCs w:val="1"/>
                <w:color w:val="auto"/>
                <w:w w:val="88"/>
              </w:rPr>
              <w:t>Condensed, Consolidating Statement of Operations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40" w:type="dxa"/>
            <w:vAlign w:val="bottom"/>
            <w:gridSpan w:val="8"/>
          </w:tcPr>
          <w:p>
            <w:pPr>
              <w:jc w:val="center"/>
              <w:ind w:left="1950"/>
              <w:spacing w:after="0"/>
              <w:rPr>
                <w:sz w:val="20"/>
                <w:szCs w:val="20"/>
                <w:color w:val="auto"/>
              </w:rPr>
            </w:pPr>
            <w:r>
              <w:rPr>
                <w:rFonts w:ascii="Arial" w:cs="Arial" w:eastAsia="Arial" w:hAnsi="Arial"/>
                <w:sz w:val="18"/>
                <w:szCs w:val="18"/>
                <w:b w:val="1"/>
                <w:bCs w:val="1"/>
                <w:color w:val="auto"/>
                <w:w w:val="90"/>
              </w:rPr>
              <w:t>for the three months ended April 3, 2010</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6"/>
              </w:rPr>
              <w:t>(in millions)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Subsidiary</w:t>
            </w:r>
          </w:p>
        </w:tc>
        <w:tc>
          <w:tcPr>
            <w:tcW w:w="200" w:type="dxa"/>
            <w:vAlign w:val="bottom"/>
          </w:tcPr>
          <w:p>
            <w:pPr>
              <w:spacing w:after="0"/>
              <w:rPr>
                <w:sz w:val="24"/>
                <w:szCs w:val="2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Non-</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Parent</w:t>
            </w:r>
          </w:p>
        </w:tc>
        <w:tc>
          <w:tcPr>
            <w:tcW w:w="1040" w:type="dxa"/>
            <w:vAlign w:val="bottom"/>
            <w:gridSpan w:val="3"/>
          </w:tcPr>
          <w:p>
            <w:pPr>
              <w:spacing w:after="0"/>
              <w:rPr>
                <w:sz w:val="20"/>
                <w:szCs w:val="20"/>
                <w:color w:val="auto"/>
              </w:rPr>
            </w:pPr>
            <w:r>
              <w:rPr>
                <w:rFonts w:ascii="Arial" w:cs="Arial" w:eastAsia="Arial" w:hAnsi="Arial"/>
                <w:sz w:val="18"/>
                <w:szCs w:val="18"/>
                <w:color w:val="auto"/>
              </w:rPr>
              <w:t>Guarantors</w:t>
            </w: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Guarantors</w:t>
            </w:r>
          </w:p>
        </w:tc>
        <w:tc>
          <w:tcPr>
            <w:tcW w:w="11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891.0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1,123.1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533.8</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152.7</w:t>
            </w:r>
          </w:p>
        </w:tc>
        <w:tc>
          <w:tcPr>
            <w:tcW w:w="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686.5</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 sales — product registration and recall</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matters</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356.6</w:t>
            </w:r>
          </w:p>
        </w:tc>
        <w:tc>
          <w:tcPr>
            <w:tcW w:w="2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79.4</w:t>
            </w:r>
          </w:p>
        </w:tc>
        <w:tc>
          <w:tcPr>
            <w:tcW w:w="2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436.0</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177.6</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50.8</w:t>
            </w:r>
          </w:p>
        </w:tc>
        <w:tc>
          <w:tcPr>
            <w:tcW w:w="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228.4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Product registration and recall matters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206.3</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Equity income in subsidiaries</w:t>
            </w: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(122.3)</w:t>
            </w:r>
          </w:p>
        </w:tc>
        <w:tc>
          <w:tcPr>
            <w:tcW w:w="2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138.3</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191.2</w:t>
            </w:r>
          </w:p>
        </w:tc>
        <w:tc>
          <w:tcPr>
            <w:tcW w:w="176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Income tax (benefit) expense from continuing</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71.3</w:t>
            </w:r>
          </w:p>
        </w:tc>
        <w:tc>
          <w:tcPr>
            <w:tcW w:w="17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119.9</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w:t>
            </w:r>
          </w:p>
        </w:tc>
        <w:tc>
          <w:tcPr>
            <w:tcW w:w="10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76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118.5</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ind w:left="310"/>
              <w:spacing w:after="0"/>
              <w:rPr>
                <w:sz w:val="20"/>
                <w:szCs w:val="20"/>
                <w:color w:val="auto"/>
              </w:rPr>
            </w:pPr>
            <w:r>
              <w:rPr>
                <w:rFonts w:ascii="Arial" w:cs="Arial" w:eastAsia="Arial" w:hAnsi="Arial"/>
                <w:sz w:val="18"/>
                <w:szCs w:val="18"/>
                <w:color w:val="auto"/>
                <w:w w:val="89"/>
              </w:rPr>
              <w:t>25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43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040" w:type="dxa"/>
            <w:vAlign w:val="bottom"/>
            <w:gridSpan w:val="7"/>
          </w:tcPr>
          <w:p>
            <w:pPr>
              <w:jc w:val="center"/>
              <w:ind w:left="2150"/>
              <w:spacing w:after="0"/>
              <w:rPr>
                <w:sz w:val="20"/>
                <w:szCs w:val="20"/>
                <w:color w:val="auto"/>
              </w:rPr>
            </w:pPr>
            <w:r>
              <w:rPr>
                <w:rFonts w:ascii="Arial" w:cs="Arial" w:eastAsia="Arial" w:hAnsi="Arial"/>
                <w:sz w:val="18"/>
                <w:szCs w:val="18"/>
                <w:b w:val="1"/>
                <w:bCs w:val="1"/>
                <w:color w:val="auto"/>
                <w:w w:val="91"/>
              </w:rPr>
              <w:t>The Scotts Miracle-Gro Company</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00" w:type="dxa"/>
            <w:vAlign w:val="bottom"/>
            <w:gridSpan w:val="10"/>
          </w:tcPr>
          <w:p>
            <w:pPr>
              <w:jc w:val="center"/>
              <w:ind w:left="1090"/>
              <w:spacing w:after="0"/>
              <w:rPr>
                <w:sz w:val="20"/>
                <w:szCs w:val="20"/>
                <w:color w:val="auto"/>
              </w:rPr>
            </w:pPr>
            <w:r>
              <w:rPr>
                <w:rFonts w:ascii="Arial" w:cs="Arial" w:eastAsia="Arial" w:hAnsi="Arial"/>
                <w:sz w:val="18"/>
                <w:szCs w:val="18"/>
                <w:b w:val="1"/>
                <w:bCs w:val="1"/>
                <w:color w:val="auto"/>
                <w:w w:val="88"/>
              </w:rPr>
              <w:t>Condensed, Consolidating Statement of Operations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0" w:type="dxa"/>
            <w:vAlign w:val="bottom"/>
            <w:gridSpan w:val="8"/>
          </w:tcPr>
          <w:p>
            <w:pPr>
              <w:jc w:val="center"/>
              <w:ind w:left="1990"/>
              <w:spacing w:after="0"/>
              <w:rPr>
                <w:sz w:val="20"/>
                <w:szCs w:val="20"/>
                <w:color w:val="auto"/>
              </w:rPr>
            </w:pPr>
            <w:r>
              <w:rPr>
                <w:rFonts w:ascii="Arial" w:cs="Arial" w:eastAsia="Arial" w:hAnsi="Arial"/>
                <w:sz w:val="18"/>
                <w:szCs w:val="18"/>
                <w:b w:val="1"/>
                <w:bCs w:val="1"/>
                <w:color w:val="auto"/>
                <w:w w:val="89"/>
              </w:rPr>
              <w:t>for the six months ended April 3, 2010</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6"/>
              </w:rPr>
              <w:t>(in millions)</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Subsidiary</w:t>
            </w:r>
          </w:p>
        </w:tc>
        <w:tc>
          <w:tcPr>
            <w:tcW w:w="160" w:type="dxa"/>
            <w:vAlign w:val="bottom"/>
          </w:tcPr>
          <w:p>
            <w:pPr>
              <w:spacing w:after="0"/>
              <w:rPr>
                <w:sz w:val="24"/>
                <w:szCs w:val="2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Non-</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Parent</w:t>
            </w:r>
          </w:p>
        </w:tc>
        <w:tc>
          <w:tcPr>
            <w:tcW w:w="1040" w:type="dxa"/>
            <w:vAlign w:val="bottom"/>
            <w:gridSpan w:val="3"/>
          </w:tcPr>
          <w:p>
            <w:pPr>
              <w:spacing w:after="0"/>
              <w:rPr>
                <w:sz w:val="20"/>
                <w:szCs w:val="20"/>
                <w:color w:val="auto"/>
              </w:rPr>
            </w:pPr>
            <w:r>
              <w:rPr>
                <w:rFonts w:ascii="Arial" w:cs="Arial" w:eastAsia="Arial" w:hAnsi="Arial"/>
                <w:sz w:val="18"/>
                <w:szCs w:val="18"/>
                <w:color w:val="auto"/>
              </w:rPr>
              <w:t>Guarantors</w:t>
            </w: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Guarantors</w:t>
            </w:r>
          </w:p>
        </w:tc>
        <w:tc>
          <w:tcPr>
            <w:tcW w:w="11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1,103.1</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322.2</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1,425.3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700.8</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221.9</w:t>
            </w:r>
          </w:p>
        </w:tc>
        <w:tc>
          <w:tcPr>
            <w:tcW w:w="3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922.7</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 sales — product registration and recall</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matters</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400.8</w:t>
            </w:r>
          </w:p>
        </w:tc>
        <w:tc>
          <w:tcPr>
            <w:tcW w:w="1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100.3</w:t>
            </w:r>
          </w:p>
        </w:tc>
        <w:tc>
          <w:tcPr>
            <w:tcW w:w="3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501.1</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281.0</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3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366.0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Product registration and recall matters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138.7</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Equity income in subsidiaries</w:t>
            </w: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(65.1)</w:t>
            </w:r>
          </w:p>
        </w:tc>
        <w:tc>
          <w:tcPr>
            <w:tcW w:w="18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112.9</w:t>
            </w:r>
          </w:p>
        </w:tc>
        <w:tc>
          <w:tcPr>
            <w:tcW w:w="176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Income tax (benefit) expense from continuing</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42.8</w:t>
            </w:r>
          </w:p>
        </w:tc>
        <w:tc>
          <w:tcPr>
            <w:tcW w:w="17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176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65.1</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center"/>
              <w:ind w:left="290"/>
              <w:spacing w:after="0"/>
              <w:rPr>
                <w:sz w:val="20"/>
                <w:szCs w:val="20"/>
                <w:color w:val="auto"/>
              </w:rPr>
            </w:pPr>
            <w:r>
              <w:rPr>
                <w:rFonts w:ascii="Arial" w:cs="Arial" w:eastAsia="Arial" w:hAnsi="Arial"/>
                <w:sz w:val="18"/>
                <w:szCs w:val="18"/>
                <w:color w:val="auto"/>
                <w:w w:val="89"/>
              </w:rPr>
              <w:t>26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43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040" w:type="dxa"/>
            <w:vAlign w:val="bottom"/>
            <w:gridSpan w:val="7"/>
          </w:tcPr>
          <w:p>
            <w:pPr>
              <w:jc w:val="center"/>
              <w:ind w:left="2150"/>
              <w:spacing w:after="0"/>
              <w:rPr>
                <w:sz w:val="20"/>
                <w:szCs w:val="20"/>
                <w:color w:val="auto"/>
              </w:rPr>
            </w:pPr>
            <w:r>
              <w:rPr>
                <w:rFonts w:ascii="Arial" w:cs="Arial" w:eastAsia="Arial" w:hAnsi="Arial"/>
                <w:sz w:val="18"/>
                <w:szCs w:val="18"/>
                <w:b w:val="1"/>
                <w:bCs w:val="1"/>
                <w:color w:val="auto"/>
                <w:w w:val="91"/>
              </w:rPr>
              <w:t>The Scotts Miracle-Gro Company</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00" w:type="dxa"/>
            <w:vAlign w:val="bottom"/>
            <w:gridSpan w:val="10"/>
          </w:tcPr>
          <w:p>
            <w:pPr>
              <w:jc w:val="center"/>
              <w:ind w:left="1090"/>
              <w:spacing w:after="0"/>
              <w:rPr>
                <w:sz w:val="20"/>
                <w:szCs w:val="20"/>
                <w:color w:val="auto"/>
              </w:rPr>
            </w:pPr>
            <w:r>
              <w:rPr>
                <w:rFonts w:ascii="Arial" w:cs="Arial" w:eastAsia="Arial" w:hAnsi="Arial"/>
                <w:sz w:val="18"/>
                <w:szCs w:val="18"/>
                <w:b w:val="1"/>
                <w:bCs w:val="1"/>
                <w:color w:val="auto"/>
                <w:w w:val="88"/>
              </w:rPr>
              <w:t>Condensed, Consolidating Statement of Cash Flows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0" w:type="dxa"/>
            <w:vAlign w:val="bottom"/>
            <w:gridSpan w:val="8"/>
          </w:tcPr>
          <w:p>
            <w:pPr>
              <w:jc w:val="center"/>
              <w:ind w:left="1990"/>
              <w:spacing w:after="0"/>
              <w:rPr>
                <w:sz w:val="20"/>
                <w:szCs w:val="20"/>
                <w:color w:val="auto"/>
              </w:rPr>
            </w:pPr>
            <w:r>
              <w:rPr>
                <w:rFonts w:ascii="Arial" w:cs="Arial" w:eastAsia="Arial" w:hAnsi="Arial"/>
                <w:sz w:val="18"/>
                <w:szCs w:val="18"/>
                <w:b w:val="1"/>
                <w:bCs w:val="1"/>
                <w:color w:val="auto"/>
                <w:w w:val="89"/>
              </w:rPr>
              <w:t>for the six months ended April 3, 2010</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96"/>
              </w:rPr>
              <w:t>(in millions)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Subsidiary</w:t>
            </w:r>
          </w:p>
        </w:tc>
        <w:tc>
          <w:tcPr>
            <w:tcW w:w="160" w:type="dxa"/>
            <w:vAlign w:val="bottom"/>
          </w:tcPr>
          <w:p>
            <w:pPr>
              <w:spacing w:after="0"/>
              <w:rPr>
                <w:sz w:val="24"/>
                <w:szCs w:val="2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Non-</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Parent</w:t>
            </w:r>
          </w:p>
        </w:tc>
        <w:tc>
          <w:tcPr>
            <w:tcW w:w="1040" w:type="dxa"/>
            <w:vAlign w:val="bottom"/>
            <w:gridSpan w:val="3"/>
          </w:tcPr>
          <w:p>
            <w:pPr>
              <w:spacing w:after="0"/>
              <w:rPr>
                <w:sz w:val="20"/>
                <w:szCs w:val="20"/>
                <w:color w:val="auto"/>
              </w:rPr>
            </w:pPr>
            <w:r>
              <w:rPr>
                <w:rFonts w:ascii="Arial" w:cs="Arial" w:eastAsia="Arial" w:hAnsi="Arial"/>
                <w:sz w:val="18"/>
                <w:szCs w:val="18"/>
                <w:color w:val="auto"/>
              </w:rPr>
              <w:t>Guarantors</w:t>
            </w: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Guarantors</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(494.7)</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(611.4)</w:t>
            </w:r>
          </w:p>
        </w:tc>
        <w:tc>
          <w:tcPr>
            <w:tcW w:w="1760" w:type="dxa"/>
            <w:vAlign w:val="bottom"/>
          </w:tcPr>
          <w:p>
            <w:pPr>
              <w:spacing w:after="0"/>
              <w:rPr>
                <w:sz w:val="18"/>
                <w:szCs w:val="18"/>
                <w:color w:val="auto"/>
              </w:rPr>
            </w:pPr>
          </w:p>
        </w:tc>
      </w:tr>
      <w:tr>
        <w:trPr>
          <w:trHeight w:val="439"/>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sale of long-lived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Investments in property, plant and equipment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intellectual property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04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Investments in acquired businesses, net of cash</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040" w:type="dxa"/>
            <w:vAlign w:val="bottom"/>
            <w:gridSpan w:val="2"/>
          </w:tcPr>
          <w:p>
            <w:pPr>
              <w:ind w:left="400"/>
              <w:spacing w:after="0"/>
              <w:rPr>
                <w:sz w:val="20"/>
                <w:szCs w:val="20"/>
                <w:color w:val="auto"/>
              </w:rPr>
            </w:pPr>
            <w:r>
              <w:rPr>
                <w:rFonts w:ascii="Arial" w:cs="Arial" w:eastAsia="Arial" w:hAnsi="Arial"/>
                <w:sz w:val="18"/>
                <w:szCs w:val="18"/>
                <w:color w:val="auto"/>
              </w:rPr>
              <w:t>acquired</w:t>
            </w: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40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Borrowings under revolving and bank lines of</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credit and term loans</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544.8</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300.7</w:t>
            </w:r>
          </w:p>
        </w:tc>
        <w:tc>
          <w:tcPr>
            <w:tcW w:w="4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845.5</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40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Repayments under revolving and bank lines of</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040" w:type="dxa"/>
            <w:vAlign w:val="bottom"/>
            <w:gridSpan w:val="2"/>
          </w:tcPr>
          <w:p>
            <w:pPr>
              <w:ind w:left="400"/>
              <w:spacing w:after="0"/>
              <w:rPr>
                <w:sz w:val="20"/>
                <w:szCs w:val="20"/>
                <w:color w:val="auto"/>
              </w:rPr>
            </w:pPr>
            <w:r>
              <w:rPr>
                <w:rFonts w:ascii="Arial" w:cs="Arial" w:eastAsia="Arial" w:hAnsi="Arial"/>
                <w:sz w:val="18"/>
                <w:szCs w:val="18"/>
                <w:color w:val="auto"/>
              </w:rPr>
              <w:t>credit and term loans</w:t>
            </w: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(324.6)</w:t>
            </w: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(115.8)</w:t>
            </w:r>
          </w:p>
        </w:tc>
        <w:tc>
          <w:tcPr>
            <w:tcW w:w="4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(440.4)</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40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Proceeds from issuance of 7.25% Senior Notes,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of discount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198.5</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198.5</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Financing and issuance fees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Payments on seller notes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0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Excess tax benefits from share-based payment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arrangements</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Cash received from exercise of stock options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Intercompany financing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040" w:type="dxa"/>
            <w:vAlign w:val="bottom"/>
            <w:gridSpan w:val="2"/>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502.7</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64.0</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ind w:left="310"/>
              <w:spacing w:after="0"/>
              <w:rPr>
                <w:sz w:val="20"/>
                <w:szCs w:val="20"/>
                <w:color w:val="auto"/>
              </w:rPr>
            </w:pPr>
            <w:r>
              <w:rPr>
                <w:rFonts w:ascii="Arial" w:cs="Arial" w:eastAsia="Arial" w:hAnsi="Arial"/>
                <w:sz w:val="18"/>
                <w:szCs w:val="18"/>
                <w:color w:val="auto"/>
                <w:w w:val="89"/>
              </w:rPr>
              <w:t>27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33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9"/>
          </w:tcPr>
          <w:p>
            <w:pPr>
              <w:jc w:val="center"/>
              <w:ind w:right="40"/>
              <w:spacing w:after="0"/>
              <w:rPr>
                <w:sz w:val="20"/>
                <w:szCs w:val="20"/>
                <w:color w:val="auto"/>
              </w:rPr>
            </w:pPr>
            <w:r>
              <w:rPr>
                <w:rFonts w:ascii="Arial" w:cs="Arial" w:eastAsia="Arial" w:hAnsi="Arial"/>
                <w:sz w:val="18"/>
                <w:szCs w:val="18"/>
                <w:b w:val="1"/>
                <w:bCs w:val="1"/>
                <w:color w:val="auto"/>
                <w:w w:val="91"/>
              </w:rPr>
              <w:t>The Scotts Miracle-Gro Company</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80" w:type="dxa"/>
            <w:vAlign w:val="bottom"/>
            <w:gridSpan w:val="12"/>
          </w:tcPr>
          <w:p>
            <w:pPr>
              <w:jc w:val="center"/>
              <w:spacing w:after="0"/>
              <w:rPr>
                <w:sz w:val="20"/>
                <w:szCs w:val="20"/>
                <w:color w:val="auto"/>
              </w:rPr>
            </w:pPr>
            <w:r>
              <w:rPr>
                <w:rFonts w:ascii="Arial" w:cs="Arial" w:eastAsia="Arial" w:hAnsi="Arial"/>
                <w:sz w:val="18"/>
                <w:szCs w:val="18"/>
                <w:b w:val="1"/>
                <w:bCs w:val="1"/>
                <w:color w:val="auto"/>
                <w:w w:val="87"/>
              </w:rPr>
              <w:t>Condensed, Consolidating Balance Sheet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6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92"/>
              </w:rPr>
              <w:t>As of April 3, 2010</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ind w:right="30"/>
              <w:spacing w:after="0"/>
              <w:rPr>
                <w:sz w:val="20"/>
                <w:szCs w:val="20"/>
                <w:color w:val="auto"/>
              </w:rPr>
            </w:pPr>
            <w:r>
              <w:rPr>
                <w:rFonts w:ascii="Arial" w:cs="Arial" w:eastAsia="Arial" w:hAnsi="Arial"/>
                <w:sz w:val="18"/>
                <w:szCs w:val="18"/>
                <w:color w:val="auto"/>
                <w:w w:val="96"/>
              </w:rPr>
              <w:t>(in millions)</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color w:val="auto"/>
              </w:rPr>
              <w:t>Subsidiary</w:t>
            </w:r>
          </w:p>
        </w:tc>
        <w:tc>
          <w:tcPr>
            <w:tcW w:w="160" w:type="dxa"/>
            <w:vAlign w:val="bottom"/>
          </w:tcPr>
          <w:p>
            <w:pPr>
              <w:spacing w:after="0"/>
              <w:rPr>
                <w:sz w:val="24"/>
                <w:szCs w:val="2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Non-</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Parent</w:t>
            </w:r>
          </w:p>
        </w:tc>
        <w:tc>
          <w:tcPr>
            <w:tcW w:w="16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rPr>
              <w:t>Guarantors</w:t>
            </w:r>
          </w:p>
        </w:tc>
        <w:tc>
          <w:tcPr>
            <w:tcW w:w="1000" w:type="dxa"/>
            <w:vAlign w:val="bottom"/>
            <w:gridSpan w:val="3"/>
          </w:tcPr>
          <w:p>
            <w:pPr>
              <w:spacing w:after="0"/>
              <w:rPr>
                <w:sz w:val="20"/>
                <w:szCs w:val="20"/>
                <w:color w:val="auto"/>
              </w:rPr>
            </w:pPr>
            <w:r>
              <w:rPr>
                <w:rFonts w:ascii="Arial" w:cs="Arial" w:eastAsia="Arial" w:hAnsi="Arial"/>
                <w:sz w:val="18"/>
                <w:szCs w:val="18"/>
                <w:color w:val="auto"/>
              </w:rPr>
              <w:t>Guarantors</w:t>
            </w:r>
          </w:p>
        </w:tc>
        <w:tc>
          <w:tcPr>
            <w:tcW w:w="114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284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6"/>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w:t>
            </w: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tcPr>
          <w:p>
            <w:pPr>
              <w:ind w:left="40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751.1</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261.8</w:t>
            </w: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1,012.9</w:t>
            </w: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 pledged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w:t>
            </w: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tcPr>
          <w:p>
            <w:pPr>
              <w:ind w:left="400"/>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460.2</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129.2</w:t>
            </w: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589.4</w:t>
            </w: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198.5</w:t>
            </w:r>
          </w:p>
        </w:tc>
        <w:tc>
          <w:tcPr>
            <w:tcW w:w="28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040" w:type="dxa"/>
            <w:vAlign w:val="bottom"/>
            <w:gridSpan w:val="2"/>
          </w:tcPr>
          <w:p>
            <w:pPr>
              <w:ind w:left="60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1,443.3</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477.3</w:t>
            </w:r>
          </w:p>
        </w:tc>
        <w:tc>
          <w:tcPr>
            <w:tcW w:w="2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1,920.6</w:t>
            </w:r>
          </w:p>
        </w:tc>
        <w:tc>
          <w:tcPr>
            <w:tcW w:w="28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377.1</w:t>
            </w: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305.2</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66.1</w:t>
            </w: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371.3</w:t>
            </w: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353.5</w:t>
            </w: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(41.4)</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29.1</w:t>
            </w: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investment in subsidiaries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Intercompany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(913.9)</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1,598.3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w:t>
            </w:r>
            <w:r>
              <w:rPr>
                <w:rFonts w:ascii="Arial" w:cs="Arial" w:eastAsia="Arial" w:hAnsi="Arial"/>
                <w:sz w:val="18"/>
                <w:szCs w:val="18"/>
                <w:u w:val="single" w:color="auto"/>
                <w:color w:val="auto"/>
              </w:rPr>
              <w:t>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(1,627.0)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3,051.</w:t>
            </w:r>
            <w:r>
              <w:rPr>
                <w:rFonts w:ascii="Arial" w:cs="Arial" w:eastAsia="Arial" w:hAnsi="Arial"/>
                <w:sz w:val="18"/>
                <w:szCs w:val="18"/>
                <w:u w:val="single" w:color="auto"/>
                <w:color w:val="auto"/>
              </w:rPr>
              <w:t>6</w:t>
            </w:r>
          </w:p>
        </w:tc>
        <w:tc>
          <w:tcPr>
            <w:tcW w:w="28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60" w:type="dxa"/>
            <w:vAlign w:val="bottom"/>
            <w:gridSpan w:val="12"/>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tcPr>
          <w:p>
            <w:pPr>
              <w:ind w:left="400"/>
              <w:spacing w:after="0"/>
              <w:rPr>
                <w:sz w:val="20"/>
                <w:szCs w:val="20"/>
                <w:color w:val="auto"/>
              </w:rPr>
            </w:pPr>
            <w:r>
              <w:rPr>
                <w:rFonts w:ascii="Arial" w:cs="Arial" w:eastAsia="Arial" w:hAnsi="Arial"/>
                <w:sz w:val="18"/>
                <w:szCs w:val="18"/>
                <w:color w:val="auto"/>
              </w:rPr>
              <w:t>Current portion of debt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168.0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244.3</w:t>
            </w: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319.6</w:t>
            </w: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tcPr>
          <w:p>
            <w:pPr>
              <w:ind w:left="40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294.1</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143.9</w:t>
            </w: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441.5</w:t>
            </w:r>
          </w:p>
        </w:tc>
        <w:tc>
          <w:tcPr>
            <w:tcW w:w="284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1,005.4</w:t>
            </w:r>
          </w:p>
        </w:tc>
        <w:tc>
          <w:tcPr>
            <w:tcW w:w="284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749.0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347.6</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390.0</w:t>
            </w:r>
          </w:p>
        </w:tc>
        <w:tc>
          <w:tcPr>
            <w:tcW w:w="2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(330.6)</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1,156.0</w:t>
            </w:r>
          </w:p>
        </w:tc>
        <w:tc>
          <w:tcPr>
            <w:tcW w:w="28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216.5</w:t>
            </w: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Equity investment in subsidiaries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(75.8)</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Intercompany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04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924.6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1,710.4</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774.0</w:t>
            </w:r>
          </w:p>
        </w:tc>
        <w:tc>
          <w:tcPr>
            <w:tcW w:w="2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(1,031.1)</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2,377.9</w:t>
            </w:r>
          </w:p>
        </w:tc>
        <w:tc>
          <w:tcPr>
            <w:tcW w:w="28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673.7</w:t>
            </w:r>
          </w:p>
        </w:tc>
        <w:tc>
          <w:tcPr>
            <w:tcW w:w="2840" w:type="dxa"/>
            <w:vAlign w:val="bottom"/>
          </w:tcPr>
          <w:p>
            <w:pPr>
              <w:spacing w:after="0"/>
              <w:rPr>
                <w:sz w:val="18"/>
                <w:szCs w:val="18"/>
                <w:color w:val="auto"/>
              </w:rPr>
            </w:pPr>
          </w:p>
        </w:tc>
      </w:tr>
      <w:tr>
        <w:trPr>
          <w:trHeight w:val="425"/>
        </w:trPr>
        <w:tc>
          <w:tcPr>
            <w:tcW w:w="340" w:type="dxa"/>
            <w:vAlign w:val="bottom"/>
          </w:tcPr>
          <w:p>
            <w:pPr>
              <w:spacing w:after="0"/>
              <w:rPr>
                <w:sz w:val="24"/>
                <w:szCs w:val="24"/>
                <w:color w:val="auto"/>
              </w:rPr>
            </w:pPr>
          </w:p>
        </w:tc>
        <w:tc>
          <w:tcPr>
            <w:tcW w:w="3040" w:type="dxa"/>
            <w:vAlign w:val="bottom"/>
            <w:gridSpan w:val="2"/>
          </w:tcPr>
          <w:p>
            <w:pPr>
              <w:ind w:left="600"/>
              <w:spacing w:after="0"/>
              <w:rPr>
                <w:sz w:val="20"/>
                <w:szCs w:val="20"/>
                <w:color w:val="auto"/>
              </w:rPr>
            </w:pPr>
            <w:r>
              <w:rPr>
                <w:rFonts w:ascii="Arial" w:cs="Arial" w:eastAsia="Arial" w:hAnsi="Arial"/>
                <w:sz w:val="18"/>
                <w:szCs w:val="18"/>
                <w:color w:val="auto"/>
                <w:w w:val="92"/>
              </w:rPr>
              <w:t>Total liabilities and shareholders’</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3040" w:type="dxa"/>
            <w:vAlign w:val="bottom"/>
            <w:gridSpan w:val="2"/>
          </w:tcPr>
          <w:p>
            <w:pPr>
              <w:ind w:left="800"/>
              <w:spacing w:after="0"/>
              <w:rPr>
                <w:sz w:val="20"/>
                <w:szCs w:val="20"/>
                <w:color w:val="auto"/>
              </w:rPr>
            </w:pPr>
            <w:r>
              <w:rPr>
                <w:rFonts w:ascii="Arial" w:cs="Arial" w:eastAsia="Arial" w:hAnsi="Arial"/>
                <w:sz w:val="18"/>
                <w:szCs w:val="18"/>
                <w:color w:val="auto"/>
              </w:rPr>
              <w:t>equity</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1,598.3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2,383.4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696.</w:t>
            </w:r>
            <w:r>
              <w:rPr>
                <w:rFonts w:ascii="Arial" w:cs="Arial" w:eastAsia="Arial" w:hAnsi="Arial"/>
                <w:sz w:val="18"/>
                <w:szCs w:val="18"/>
                <w:u w:val="single" w:color="auto"/>
                <w:color w:val="auto"/>
              </w:rPr>
              <w:t>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(1,627.0)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3,051.</w:t>
            </w:r>
            <w:r>
              <w:rPr>
                <w:rFonts w:ascii="Arial" w:cs="Arial" w:eastAsia="Arial" w:hAnsi="Arial"/>
                <w:sz w:val="18"/>
                <w:szCs w:val="18"/>
                <w:u w:val="single" w:color="auto"/>
                <w:color w:val="auto"/>
              </w:rPr>
              <w:t>6</w:t>
            </w:r>
          </w:p>
        </w:tc>
        <w:tc>
          <w:tcPr>
            <w:tcW w:w="28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center"/>
              <w:ind w:left="130"/>
              <w:spacing w:after="0"/>
              <w:rPr>
                <w:sz w:val="20"/>
                <w:szCs w:val="20"/>
                <w:color w:val="auto"/>
              </w:rPr>
            </w:pPr>
            <w:r>
              <w:rPr>
                <w:rFonts w:ascii="Arial" w:cs="Arial" w:eastAsia="Arial" w:hAnsi="Arial"/>
                <w:sz w:val="18"/>
                <w:szCs w:val="18"/>
                <w:color w:val="auto"/>
                <w:w w:val="89"/>
              </w:rPr>
              <w:t>28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43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040" w:type="dxa"/>
            <w:vAlign w:val="bottom"/>
            <w:gridSpan w:val="7"/>
          </w:tcPr>
          <w:p>
            <w:pPr>
              <w:jc w:val="center"/>
              <w:ind w:left="2150"/>
              <w:spacing w:after="0"/>
              <w:rPr>
                <w:sz w:val="20"/>
                <w:szCs w:val="20"/>
                <w:color w:val="auto"/>
              </w:rPr>
            </w:pPr>
            <w:r>
              <w:rPr>
                <w:rFonts w:ascii="Arial" w:cs="Arial" w:eastAsia="Arial" w:hAnsi="Arial"/>
                <w:sz w:val="18"/>
                <w:szCs w:val="18"/>
                <w:b w:val="1"/>
                <w:bCs w:val="1"/>
                <w:color w:val="auto"/>
                <w:w w:val="91"/>
              </w:rPr>
              <w:t>The Scotts Miracle-Gro Company</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00" w:type="dxa"/>
            <w:vAlign w:val="bottom"/>
            <w:gridSpan w:val="10"/>
          </w:tcPr>
          <w:p>
            <w:pPr>
              <w:jc w:val="center"/>
              <w:ind w:left="1090"/>
              <w:spacing w:after="0"/>
              <w:rPr>
                <w:sz w:val="20"/>
                <w:szCs w:val="20"/>
                <w:color w:val="auto"/>
              </w:rPr>
            </w:pPr>
            <w:r>
              <w:rPr>
                <w:rFonts w:ascii="Arial" w:cs="Arial" w:eastAsia="Arial" w:hAnsi="Arial"/>
                <w:sz w:val="18"/>
                <w:szCs w:val="18"/>
                <w:b w:val="1"/>
                <w:bCs w:val="1"/>
                <w:color w:val="auto"/>
                <w:w w:val="88"/>
              </w:rPr>
              <w:t>Condensed, Consolidating Statement of Operations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100" w:type="dxa"/>
            <w:vAlign w:val="bottom"/>
            <w:gridSpan w:val="10"/>
          </w:tcPr>
          <w:p>
            <w:pPr>
              <w:jc w:val="center"/>
              <w:ind w:left="1090"/>
              <w:spacing w:after="0"/>
              <w:rPr>
                <w:sz w:val="20"/>
                <w:szCs w:val="20"/>
                <w:color w:val="auto"/>
              </w:rPr>
            </w:pPr>
            <w:r>
              <w:rPr>
                <w:rFonts w:ascii="Arial" w:cs="Arial" w:eastAsia="Arial" w:hAnsi="Arial"/>
                <w:sz w:val="18"/>
                <w:szCs w:val="18"/>
                <w:b w:val="1"/>
                <w:bCs w:val="1"/>
                <w:color w:val="auto"/>
                <w:w w:val="90"/>
              </w:rPr>
              <w:t>for the three months ended March 28, 2009</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10"/>
              <w:spacing w:after="0"/>
              <w:rPr>
                <w:sz w:val="20"/>
                <w:szCs w:val="20"/>
                <w:color w:val="auto"/>
              </w:rPr>
            </w:pPr>
            <w:r>
              <w:rPr>
                <w:rFonts w:ascii="Arial" w:cs="Arial" w:eastAsia="Arial" w:hAnsi="Arial"/>
                <w:sz w:val="18"/>
                <w:szCs w:val="18"/>
                <w:color w:val="auto"/>
                <w:w w:val="96"/>
              </w:rPr>
              <w:t>(in millions)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Subsidiary</w:t>
            </w:r>
          </w:p>
        </w:tc>
        <w:tc>
          <w:tcPr>
            <w:tcW w:w="160" w:type="dxa"/>
            <w:vAlign w:val="bottom"/>
          </w:tcPr>
          <w:p>
            <w:pPr>
              <w:spacing w:after="0"/>
              <w:rPr>
                <w:sz w:val="24"/>
                <w:szCs w:val="2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Non-</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Parent</w:t>
            </w:r>
          </w:p>
        </w:tc>
        <w:tc>
          <w:tcPr>
            <w:tcW w:w="1040" w:type="dxa"/>
            <w:vAlign w:val="bottom"/>
            <w:gridSpan w:val="3"/>
          </w:tcPr>
          <w:p>
            <w:pPr>
              <w:spacing w:after="0"/>
              <w:rPr>
                <w:sz w:val="20"/>
                <w:szCs w:val="20"/>
                <w:color w:val="auto"/>
              </w:rPr>
            </w:pPr>
            <w:r>
              <w:rPr>
                <w:rFonts w:ascii="Arial" w:cs="Arial" w:eastAsia="Arial" w:hAnsi="Arial"/>
                <w:sz w:val="18"/>
                <w:szCs w:val="18"/>
                <w:color w:val="auto"/>
              </w:rPr>
              <w:t>Guarantors</w:t>
            </w: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Guarantors</w:t>
            </w:r>
          </w:p>
        </w:tc>
        <w:tc>
          <w:tcPr>
            <w:tcW w:w="11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748.5</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192.2</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454.0</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127.9</w:t>
            </w:r>
          </w:p>
        </w:tc>
        <w:tc>
          <w:tcPr>
            <w:tcW w:w="3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581.9</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 sales — product registration and recall</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matters</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292.0</w:t>
            </w:r>
          </w:p>
        </w:tc>
        <w:tc>
          <w:tcPr>
            <w:tcW w:w="1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64.3</w:t>
            </w:r>
          </w:p>
        </w:tc>
        <w:tc>
          <w:tcPr>
            <w:tcW w:w="3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356.3</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163.9</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40.1</w:t>
            </w:r>
          </w:p>
        </w:tc>
        <w:tc>
          <w:tcPr>
            <w:tcW w:w="3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204.0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Product registration and recall matters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146.4</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Equity income in subsidiaries</w:t>
            </w: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(78.3)</w:t>
            </w:r>
          </w:p>
        </w:tc>
        <w:tc>
          <w:tcPr>
            <w:tcW w:w="2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85.1</w:t>
            </w:r>
          </w:p>
        </w:tc>
        <w:tc>
          <w:tcPr>
            <w:tcW w:w="3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130.5</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Income tax expense from continuing operations</w:t>
            </w:r>
          </w:p>
        </w:tc>
        <w:tc>
          <w:tcPr>
            <w:tcW w:w="1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46.4</w:t>
            </w:r>
          </w:p>
        </w:tc>
        <w:tc>
          <w:tcPr>
            <w:tcW w:w="176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84.1</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176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78.2</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center"/>
              <w:ind w:left="290"/>
              <w:spacing w:after="0"/>
              <w:rPr>
                <w:sz w:val="20"/>
                <w:szCs w:val="20"/>
                <w:color w:val="auto"/>
              </w:rPr>
            </w:pPr>
            <w:r>
              <w:rPr>
                <w:rFonts w:ascii="Arial" w:cs="Arial" w:eastAsia="Arial" w:hAnsi="Arial"/>
                <w:sz w:val="18"/>
                <w:szCs w:val="18"/>
                <w:color w:val="auto"/>
                <w:w w:val="89"/>
              </w:rPr>
              <w:t>29</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43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040" w:type="dxa"/>
            <w:vAlign w:val="bottom"/>
            <w:gridSpan w:val="7"/>
          </w:tcPr>
          <w:p>
            <w:pPr>
              <w:jc w:val="center"/>
              <w:ind w:left="2150"/>
              <w:spacing w:after="0"/>
              <w:rPr>
                <w:sz w:val="20"/>
                <w:szCs w:val="20"/>
                <w:color w:val="auto"/>
              </w:rPr>
            </w:pPr>
            <w:r>
              <w:rPr>
                <w:rFonts w:ascii="Arial" w:cs="Arial" w:eastAsia="Arial" w:hAnsi="Arial"/>
                <w:sz w:val="18"/>
                <w:szCs w:val="18"/>
                <w:b w:val="1"/>
                <w:bCs w:val="1"/>
                <w:color w:val="auto"/>
                <w:w w:val="91"/>
              </w:rPr>
              <w:t>The Scotts Miracle-Gro Company</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00" w:type="dxa"/>
            <w:vAlign w:val="bottom"/>
            <w:gridSpan w:val="10"/>
          </w:tcPr>
          <w:p>
            <w:pPr>
              <w:jc w:val="center"/>
              <w:ind w:left="1090"/>
              <w:spacing w:after="0"/>
              <w:rPr>
                <w:sz w:val="20"/>
                <w:szCs w:val="20"/>
                <w:color w:val="auto"/>
              </w:rPr>
            </w:pPr>
            <w:r>
              <w:rPr>
                <w:rFonts w:ascii="Arial" w:cs="Arial" w:eastAsia="Arial" w:hAnsi="Arial"/>
                <w:sz w:val="18"/>
                <w:szCs w:val="18"/>
                <w:b w:val="1"/>
                <w:bCs w:val="1"/>
                <w:color w:val="auto"/>
                <w:w w:val="88"/>
              </w:rPr>
              <w:t>Condensed, Consolidating Statement of Operations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40" w:type="dxa"/>
            <w:vAlign w:val="bottom"/>
            <w:gridSpan w:val="8"/>
          </w:tcPr>
          <w:p>
            <w:pPr>
              <w:jc w:val="center"/>
              <w:ind w:left="1950"/>
              <w:spacing w:after="0"/>
              <w:rPr>
                <w:sz w:val="20"/>
                <w:szCs w:val="20"/>
                <w:color w:val="auto"/>
              </w:rPr>
            </w:pPr>
            <w:r>
              <w:rPr>
                <w:rFonts w:ascii="Arial" w:cs="Arial" w:eastAsia="Arial" w:hAnsi="Arial"/>
                <w:sz w:val="18"/>
                <w:szCs w:val="18"/>
                <w:b w:val="1"/>
                <w:bCs w:val="1"/>
                <w:color w:val="auto"/>
                <w:w w:val="89"/>
              </w:rPr>
              <w:t>for the six months ended March 28, 2009</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10"/>
              <w:spacing w:after="0"/>
              <w:rPr>
                <w:sz w:val="20"/>
                <w:szCs w:val="20"/>
                <w:color w:val="auto"/>
              </w:rPr>
            </w:pPr>
            <w:r>
              <w:rPr>
                <w:rFonts w:ascii="Arial" w:cs="Arial" w:eastAsia="Arial" w:hAnsi="Arial"/>
                <w:sz w:val="18"/>
                <w:szCs w:val="18"/>
                <w:color w:val="auto"/>
                <w:w w:val="96"/>
              </w:rPr>
              <w:t>(in millions)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Subsidiary</w:t>
            </w:r>
          </w:p>
        </w:tc>
        <w:tc>
          <w:tcPr>
            <w:tcW w:w="200" w:type="dxa"/>
            <w:vAlign w:val="bottom"/>
          </w:tcPr>
          <w:p>
            <w:pPr>
              <w:spacing w:after="0"/>
              <w:rPr>
                <w:sz w:val="24"/>
                <w:szCs w:val="2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Non-</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Parent</w:t>
            </w:r>
          </w:p>
        </w:tc>
        <w:tc>
          <w:tcPr>
            <w:tcW w:w="1040" w:type="dxa"/>
            <w:vAlign w:val="bottom"/>
            <w:gridSpan w:val="3"/>
          </w:tcPr>
          <w:p>
            <w:pPr>
              <w:spacing w:after="0"/>
              <w:rPr>
                <w:sz w:val="20"/>
                <w:szCs w:val="20"/>
                <w:color w:val="auto"/>
              </w:rPr>
            </w:pPr>
            <w:r>
              <w:rPr>
                <w:rFonts w:ascii="Arial" w:cs="Arial" w:eastAsia="Arial" w:hAnsi="Arial"/>
                <w:sz w:val="18"/>
                <w:szCs w:val="18"/>
                <w:color w:val="auto"/>
              </w:rPr>
              <w:t>Guarantors</w:t>
            </w: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Guarantors</w:t>
            </w:r>
          </w:p>
        </w:tc>
        <w:tc>
          <w:tcPr>
            <w:tcW w:w="11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942.5</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284.3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1,226.8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606.3</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183.1</w:t>
            </w:r>
          </w:p>
        </w:tc>
        <w:tc>
          <w:tcPr>
            <w:tcW w:w="3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789.4</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 sales — product registration and recall</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matters</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332.4</w:t>
            </w:r>
          </w:p>
        </w:tc>
        <w:tc>
          <w:tcPr>
            <w:tcW w:w="2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433.6</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268.6</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74.1</w:t>
            </w:r>
          </w:p>
        </w:tc>
        <w:tc>
          <w:tcPr>
            <w:tcW w:w="3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342.7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Product registration and recall matters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Equity income in subsidiaries</w:t>
            </w: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w:t>
            </w:r>
          </w:p>
        </w:tc>
        <w:tc>
          <w:tcPr>
            <w:tcW w:w="1760" w:type="dxa"/>
            <w:vAlign w:val="bottom"/>
          </w:tcPr>
          <w:p>
            <w:pPr>
              <w:spacing w:after="0"/>
              <w:rPr>
                <w:sz w:val="18"/>
                <w:szCs w:val="18"/>
                <w:color w:val="auto"/>
              </w:rPr>
            </w:pPr>
          </w:p>
        </w:tc>
      </w:tr>
      <w:tr>
        <w:trPr>
          <w:trHeight w:val="418"/>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Income tax (benefit) expense from continuing</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17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176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center"/>
              <w:ind w:left="290"/>
              <w:spacing w:after="0"/>
              <w:rPr>
                <w:sz w:val="20"/>
                <w:szCs w:val="20"/>
                <w:color w:val="auto"/>
              </w:rPr>
            </w:pPr>
            <w:r>
              <w:rPr>
                <w:rFonts w:ascii="Arial" w:cs="Arial" w:eastAsia="Arial" w:hAnsi="Arial"/>
                <w:sz w:val="18"/>
                <w:szCs w:val="18"/>
                <w:color w:val="auto"/>
                <w:w w:val="89"/>
              </w:rPr>
              <w:t>30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43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040" w:type="dxa"/>
            <w:vAlign w:val="bottom"/>
            <w:gridSpan w:val="7"/>
          </w:tcPr>
          <w:p>
            <w:pPr>
              <w:jc w:val="center"/>
              <w:ind w:left="2150"/>
              <w:spacing w:after="0"/>
              <w:rPr>
                <w:sz w:val="20"/>
                <w:szCs w:val="20"/>
                <w:color w:val="auto"/>
              </w:rPr>
            </w:pPr>
            <w:r>
              <w:rPr>
                <w:rFonts w:ascii="Arial" w:cs="Arial" w:eastAsia="Arial" w:hAnsi="Arial"/>
                <w:sz w:val="18"/>
                <w:szCs w:val="18"/>
                <w:b w:val="1"/>
                <w:bCs w:val="1"/>
                <w:color w:val="auto"/>
                <w:w w:val="91"/>
              </w:rPr>
              <w:t>The Scotts Miracle-Gro Company</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00" w:type="dxa"/>
            <w:vAlign w:val="bottom"/>
            <w:gridSpan w:val="10"/>
          </w:tcPr>
          <w:p>
            <w:pPr>
              <w:jc w:val="center"/>
              <w:ind w:left="1090"/>
              <w:spacing w:after="0"/>
              <w:rPr>
                <w:sz w:val="20"/>
                <w:szCs w:val="20"/>
                <w:color w:val="auto"/>
              </w:rPr>
            </w:pPr>
            <w:r>
              <w:rPr>
                <w:rFonts w:ascii="Arial" w:cs="Arial" w:eastAsia="Arial" w:hAnsi="Arial"/>
                <w:sz w:val="18"/>
                <w:szCs w:val="18"/>
                <w:b w:val="1"/>
                <w:bCs w:val="1"/>
                <w:color w:val="auto"/>
                <w:w w:val="88"/>
              </w:rPr>
              <w:t>Condensed, Consolidating Statement of Cash Flows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40" w:type="dxa"/>
            <w:vAlign w:val="bottom"/>
            <w:gridSpan w:val="8"/>
          </w:tcPr>
          <w:p>
            <w:pPr>
              <w:jc w:val="center"/>
              <w:ind w:left="1950"/>
              <w:spacing w:after="0"/>
              <w:rPr>
                <w:sz w:val="20"/>
                <w:szCs w:val="20"/>
                <w:color w:val="auto"/>
              </w:rPr>
            </w:pPr>
            <w:r>
              <w:rPr>
                <w:rFonts w:ascii="Arial" w:cs="Arial" w:eastAsia="Arial" w:hAnsi="Arial"/>
                <w:sz w:val="18"/>
                <w:szCs w:val="18"/>
                <w:b w:val="1"/>
                <w:bCs w:val="1"/>
                <w:color w:val="auto"/>
                <w:w w:val="89"/>
              </w:rPr>
              <w:t>for the six months ended March 28, 2009</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center"/>
              <w:spacing w:after="0"/>
              <w:rPr>
                <w:sz w:val="20"/>
                <w:szCs w:val="20"/>
                <w:color w:val="auto"/>
              </w:rPr>
            </w:pPr>
            <w:r>
              <w:rPr>
                <w:rFonts w:ascii="Arial" w:cs="Arial" w:eastAsia="Arial" w:hAnsi="Arial"/>
                <w:sz w:val="18"/>
                <w:szCs w:val="18"/>
                <w:color w:val="auto"/>
                <w:w w:val="96"/>
              </w:rPr>
              <w:t>(in millions)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Subsidiary</w:t>
            </w:r>
          </w:p>
        </w:tc>
        <w:tc>
          <w:tcPr>
            <w:tcW w:w="200" w:type="dxa"/>
            <w:vAlign w:val="bottom"/>
          </w:tcPr>
          <w:p>
            <w:pPr>
              <w:spacing w:after="0"/>
              <w:rPr>
                <w:sz w:val="24"/>
                <w:szCs w:val="2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Non-</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Parent</w:t>
            </w:r>
          </w:p>
        </w:tc>
        <w:tc>
          <w:tcPr>
            <w:tcW w:w="1040" w:type="dxa"/>
            <w:vAlign w:val="bottom"/>
            <w:gridSpan w:val="3"/>
          </w:tcPr>
          <w:p>
            <w:pPr>
              <w:spacing w:after="0"/>
              <w:rPr>
                <w:sz w:val="20"/>
                <w:szCs w:val="20"/>
                <w:color w:val="auto"/>
              </w:rPr>
            </w:pPr>
            <w:r>
              <w:rPr>
                <w:rFonts w:ascii="Arial" w:cs="Arial" w:eastAsia="Arial" w:hAnsi="Arial"/>
                <w:sz w:val="18"/>
                <w:szCs w:val="18"/>
                <w:color w:val="auto"/>
              </w:rPr>
              <w:t>Guarantors</w:t>
            </w: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Guarantors</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(428.7)</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(618.9)</w:t>
            </w:r>
          </w:p>
        </w:tc>
        <w:tc>
          <w:tcPr>
            <w:tcW w:w="1760" w:type="dxa"/>
            <w:vAlign w:val="bottom"/>
          </w:tcPr>
          <w:p>
            <w:pPr>
              <w:spacing w:after="0"/>
              <w:rPr>
                <w:sz w:val="18"/>
                <w:szCs w:val="18"/>
                <w:color w:val="auto"/>
              </w:rPr>
            </w:pPr>
          </w:p>
        </w:tc>
      </w:tr>
      <w:tr>
        <w:trPr>
          <w:trHeight w:val="439"/>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sale of long-lived assets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Investments in property, plant and equipment</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intellectual property</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04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Investments in acquired businesses, net of cash</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040" w:type="dxa"/>
            <w:vAlign w:val="bottom"/>
            <w:gridSpan w:val="2"/>
          </w:tcPr>
          <w:p>
            <w:pPr>
              <w:ind w:left="400"/>
              <w:spacing w:after="0"/>
              <w:rPr>
                <w:sz w:val="20"/>
                <w:szCs w:val="20"/>
                <w:color w:val="auto"/>
              </w:rPr>
            </w:pPr>
            <w:r>
              <w:rPr>
                <w:rFonts w:ascii="Arial" w:cs="Arial" w:eastAsia="Arial" w:hAnsi="Arial"/>
                <w:sz w:val="18"/>
                <w:szCs w:val="18"/>
                <w:color w:val="auto"/>
              </w:rPr>
              <w:t>acquired</w:t>
            </w:r>
          </w:p>
        </w:tc>
        <w:tc>
          <w:tcPr>
            <w:tcW w:w="1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4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176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40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Borrowings under revolving and bank lines of</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credit and term loans</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608.8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286.5</w:t>
            </w:r>
          </w:p>
        </w:tc>
        <w:tc>
          <w:tcPr>
            <w:tcW w:w="4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895.3</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40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Repayments under revolving and bank lines of</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040" w:type="dxa"/>
            <w:vAlign w:val="bottom"/>
            <w:gridSpan w:val="2"/>
          </w:tcPr>
          <w:p>
            <w:pPr>
              <w:ind w:left="400"/>
              <w:spacing w:after="0"/>
              <w:rPr>
                <w:sz w:val="20"/>
                <w:szCs w:val="20"/>
                <w:color w:val="auto"/>
              </w:rPr>
            </w:pPr>
            <w:r>
              <w:rPr>
                <w:rFonts w:ascii="Arial" w:cs="Arial" w:eastAsia="Arial" w:hAnsi="Arial"/>
                <w:sz w:val="18"/>
                <w:szCs w:val="18"/>
                <w:color w:val="auto"/>
              </w:rPr>
              <w:t>credit and term loans</w:t>
            </w:r>
          </w:p>
        </w:tc>
        <w:tc>
          <w:tcPr>
            <w:tcW w:w="1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(171.9)</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(98.6)</w:t>
            </w:r>
          </w:p>
        </w:tc>
        <w:tc>
          <w:tcPr>
            <w:tcW w:w="4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(270.5)</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Payments on seller notes</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0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Excess tax benefits from share-based payment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arrangements</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Cash received from exercise of stock options</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Intercompany financing</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040" w:type="dxa"/>
            <w:vAlign w:val="bottom"/>
            <w:gridSpan w:val="2"/>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611.9</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w w:val="93"/>
              </w:rPr>
              <w:t>Net increase (decrease) in cash and cash equivalents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80.2</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center"/>
              <w:ind w:left="290"/>
              <w:spacing w:after="0"/>
              <w:rPr>
                <w:sz w:val="20"/>
                <w:szCs w:val="20"/>
                <w:color w:val="auto"/>
              </w:rPr>
            </w:pPr>
            <w:r>
              <w:rPr>
                <w:rFonts w:ascii="Arial" w:cs="Arial" w:eastAsia="Arial" w:hAnsi="Arial"/>
                <w:sz w:val="18"/>
                <w:szCs w:val="18"/>
                <w:color w:val="auto"/>
                <w:w w:val="89"/>
              </w:rPr>
              <w:t>31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40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040" w:type="dxa"/>
            <w:vAlign w:val="bottom"/>
            <w:gridSpan w:val="8"/>
          </w:tcPr>
          <w:p>
            <w:pPr>
              <w:jc w:val="center"/>
              <w:ind w:left="2150"/>
              <w:spacing w:after="0"/>
              <w:rPr>
                <w:sz w:val="20"/>
                <w:szCs w:val="20"/>
                <w:color w:val="auto"/>
              </w:rPr>
            </w:pPr>
            <w:r>
              <w:rPr>
                <w:rFonts w:ascii="Arial" w:cs="Arial" w:eastAsia="Arial" w:hAnsi="Arial"/>
                <w:sz w:val="18"/>
                <w:szCs w:val="18"/>
                <w:b w:val="1"/>
                <w:bCs w:val="1"/>
                <w:color w:val="auto"/>
                <w:w w:val="91"/>
              </w:rPr>
              <w:t>The Scotts Miracle-Gro Company</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40" w:type="dxa"/>
            <w:vAlign w:val="bottom"/>
            <w:gridSpan w:val="9"/>
          </w:tcPr>
          <w:p>
            <w:pPr>
              <w:jc w:val="center"/>
              <w:ind w:left="1950"/>
              <w:spacing w:after="0"/>
              <w:rPr>
                <w:sz w:val="20"/>
                <w:szCs w:val="20"/>
                <w:color w:val="auto"/>
              </w:rPr>
            </w:pPr>
            <w:r>
              <w:rPr>
                <w:rFonts w:ascii="Arial" w:cs="Arial" w:eastAsia="Arial" w:hAnsi="Arial"/>
                <w:sz w:val="18"/>
                <w:szCs w:val="18"/>
                <w:b w:val="1"/>
                <w:bCs w:val="1"/>
                <w:color w:val="auto"/>
                <w:w w:val="87"/>
              </w:rPr>
              <w:t>Condensed, Consolidating Balance Sheet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38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92"/>
              </w:rPr>
              <w:t>As of March 28, 2009</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6"/>
              </w:rPr>
              <w:t>(in millions)</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Subsidiary</w:t>
            </w:r>
          </w:p>
        </w:tc>
        <w:tc>
          <w:tcPr>
            <w:tcW w:w="200" w:type="dxa"/>
            <w:vAlign w:val="bottom"/>
          </w:tcPr>
          <w:p>
            <w:pPr>
              <w:spacing w:after="0"/>
              <w:rPr>
                <w:sz w:val="24"/>
                <w:szCs w:val="2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Non-</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Parent</w:t>
            </w: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Guarantors</w:t>
            </w: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Guarantors</w:t>
            </w:r>
          </w:p>
        </w:tc>
        <w:tc>
          <w:tcPr>
            <w:tcW w:w="118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tcPr>
          <w:p>
            <w:pPr>
              <w:ind w:left="40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351.4</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286.1</w:t>
            </w: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637.5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 pledged</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tcPr>
          <w:p>
            <w:pPr>
              <w:ind w:left="400"/>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491.1</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176.5</w:t>
            </w: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667.6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159.9</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680" w:type="dxa"/>
            <w:vAlign w:val="bottom"/>
            <w:gridSpan w:val="2"/>
          </w:tcPr>
          <w:p>
            <w:pPr>
              <w:ind w:left="60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1,331.2</w:t>
            </w:r>
          </w:p>
        </w:tc>
        <w:tc>
          <w:tcPr>
            <w:tcW w:w="2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552.8</w:t>
            </w:r>
          </w:p>
        </w:tc>
        <w:tc>
          <w:tcPr>
            <w:tcW w:w="20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1,884.0</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305.3</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62.7</w:t>
            </w: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368.0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(52.1)</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investment in subsidiaries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Arial" w:cs="Arial" w:eastAsia="Arial" w:hAnsi="Arial"/>
                <w:sz w:val="18"/>
                <w:szCs w:val="18"/>
                <w:color w:val="auto"/>
              </w:rPr>
              <w:t>Intercompany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881.5</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(881.5)</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1,345.7</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2,235.8</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(1,380.7)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2,967.</w:t>
            </w:r>
            <w:r>
              <w:rPr>
                <w:rFonts w:ascii="Arial" w:cs="Arial" w:eastAsia="Arial" w:hAnsi="Arial"/>
                <w:sz w:val="18"/>
                <w:szCs w:val="18"/>
                <w:u w:val="single" w:color="auto"/>
                <w:color w:val="auto"/>
              </w:rPr>
              <w:t>9</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00" w:type="dxa"/>
            <w:vAlign w:val="bottom"/>
            <w:gridSpan w:val="11"/>
          </w:tcPr>
          <w:p>
            <w:pPr>
              <w:jc w:val="center"/>
              <w:ind w:left="109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tcPr>
          <w:p>
            <w:pPr>
              <w:ind w:left="400"/>
              <w:spacing w:after="0"/>
              <w:rPr>
                <w:sz w:val="20"/>
                <w:szCs w:val="20"/>
                <w:color w:val="auto"/>
              </w:rPr>
            </w:pPr>
            <w:r>
              <w:rPr>
                <w:rFonts w:ascii="Arial" w:cs="Arial" w:eastAsia="Arial" w:hAnsi="Arial"/>
                <w:sz w:val="18"/>
                <w:szCs w:val="18"/>
                <w:color w:val="auto"/>
              </w:rPr>
              <w:t>Current portion of debt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112.0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277.4</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396.0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tcPr>
          <w:p>
            <w:pPr>
              <w:ind w:left="40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242.0</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139.4</w:t>
            </w: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382.7</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772.5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1,131.0</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68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753.0</w:t>
            </w:r>
          </w:p>
        </w:tc>
        <w:tc>
          <w:tcPr>
            <w:tcW w:w="18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348.5</w:t>
            </w:r>
          </w:p>
        </w:tc>
        <w:tc>
          <w:tcPr>
            <w:tcW w:w="2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426.3</w:t>
            </w:r>
          </w:p>
        </w:tc>
        <w:tc>
          <w:tcPr>
            <w:tcW w:w="2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(331.6)</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1,196.2</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Arial" w:cs="Arial" w:eastAsia="Arial" w:hAnsi="Arial"/>
                <w:sz w:val="18"/>
                <w:szCs w:val="18"/>
                <w:color w:val="auto"/>
              </w:rPr>
              <w:t>Equity investment in subsidiaries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(79.0)</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Intercompany liabilities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68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892.5</w:t>
            </w:r>
          </w:p>
        </w:tc>
        <w:tc>
          <w:tcPr>
            <w:tcW w:w="18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1,787.4</w:t>
            </w:r>
          </w:p>
        </w:tc>
        <w:tc>
          <w:tcPr>
            <w:tcW w:w="2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847.4</w:t>
            </w:r>
          </w:p>
        </w:tc>
        <w:tc>
          <w:tcPr>
            <w:tcW w:w="2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(1,012.6)</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2,514.7</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Shareholders’ equity</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453.2</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680" w:type="dxa"/>
            <w:vAlign w:val="bottom"/>
            <w:gridSpan w:val="2"/>
          </w:tcPr>
          <w:p>
            <w:pPr>
              <w:ind w:left="600"/>
              <w:spacing w:after="0"/>
              <w:rPr>
                <w:sz w:val="20"/>
                <w:szCs w:val="20"/>
                <w:color w:val="auto"/>
              </w:rPr>
            </w:pPr>
            <w:r>
              <w:rPr>
                <w:rFonts w:ascii="Arial" w:cs="Arial" w:eastAsia="Arial" w:hAnsi="Arial"/>
                <w:sz w:val="18"/>
                <w:szCs w:val="18"/>
                <w:color w:val="auto"/>
                <w:w w:val="97"/>
              </w:rPr>
              <w:t>Total liabilities and shareholders’ equity</w:t>
            </w:r>
          </w:p>
        </w:tc>
        <w:tc>
          <w:tcPr>
            <w:tcW w:w="3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1,345.7</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2,235.8</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767.1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(1,380.7)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2,967.</w:t>
            </w:r>
            <w:r>
              <w:rPr>
                <w:rFonts w:ascii="Arial" w:cs="Arial" w:eastAsia="Arial" w:hAnsi="Arial"/>
                <w:sz w:val="18"/>
                <w:szCs w:val="18"/>
                <w:u w:val="single" w:color="auto"/>
                <w:color w:val="auto"/>
              </w:rPr>
              <w:t>9</w:t>
            </w:r>
          </w:p>
        </w:tc>
        <w:tc>
          <w:tcPr>
            <w:tcW w:w="17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center"/>
              <w:ind w:left="270"/>
              <w:spacing w:after="0"/>
              <w:rPr>
                <w:sz w:val="20"/>
                <w:szCs w:val="20"/>
                <w:color w:val="auto"/>
              </w:rPr>
            </w:pPr>
            <w:r>
              <w:rPr>
                <w:rFonts w:ascii="Arial" w:cs="Arial" w:eastAsia="Arial" w:hAnsi="Arial"/>
                <w:sz w:val="18"/>
                <w:szCs w:val="18"/>
                <w:color w:val="auto"/>
                <w:w w:val="89"/>
              </w:rPr>
              <w:t>32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39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100" w:type="dxa"/>
            <w:vAlign w:val="bottom"/>
            <w:gridSpan w:val="8"/>
          </w:tcPr>
          <w:p>
            <w:pPr>
              <w:jc w:val="center"/>
              <w:ind w:left="2090"/>
              <w:spacing w:after="0"/>
              <w:rPr>
                <w:sz w:val="20"/>
                <w:szCs w:val="20"/>
                <w:color w:val="auto"/>
              </w:rPr>
            </w:pPr>
            <w:r>
              <w:rPr>
                <w:rFonts w:ascii="Arial" w:cs="Arial" w:eastAsia="Arial" w:hAnsi="Arial"/>
                <w:sz w:val="18"/>
                <w:szCs w:val="18"/>
                <w:b w:val="1"/>
                <w:bCs w:val="1"/>
                <w:color w:val="auto"/>
                <w:w w:val="91"/>
              </w:rPr>
              <w:t>The Scotts Miracle-Gro Company</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80" w:type="dxa"/>
            <w:vAlign w:val="bottom"/>
            <w:gridSpan w:val="9"/>
          </w:tcPr>
          <w:p>
            <w:pPr>
              <w:jc w:val="center"/>
              <w:ind w:left="1910"/>
              <w:spacing w:after="0"/>
              <w:rPr>
                <w:sz w:val="20"/>
                <w:szCs w:val="20"/>
                <w:color w:val="auto"/>
              </w:rPr>
            </w:pPr>
            <w:r>
              <w:rPr>
                <w:rFonts w:ascii="Arial" w:cs="Arial" w:eastAsia="Arial" w:hAnsi="Arial"/>
                <w:sz w:val="18"/>
                <w:szCs w:val="18"/>
                <w:b w:val="1"/>
                <w:bCs w:val="1"/>
                <w:color w:val="auto"/>
                <w:w w:val="87"/>
              </w:rPr>
              <w:t>Condensed, Consolidating Balance Sheet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52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89"/>
              </w:rPr>
              <w:t>As of September 30, 2009</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5"/>
          </w:tcPr>
          <w:p>
            <w:pPr>
              <w:jc w:val="center"/>
              <w:ind w:right="80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Subsidiary</w:t>
            </w:r>
          </w:p>
        </w:tc>
        <w:tc>
          <w:tcPr>
            <w:tcW w:w="18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Non-</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Parent</w:t>
            </w:r>
          </w:p>
        </w:tc>
        <w:tc>
          <w:tcPr>
            <w:tcW w:w="1140" w:type="dxa"/>
            <w:vAlign w:val="bottom"/>
            <w:gridSpan w:val="3"/>
          </w:tcPr>
          <w:p>
            <w:pPr>
              <w:ind w:left="80"/>
              <w:spacing w:after="0"/>
              <w:rPr>
                <w:sz w:val="20"/>
                <w:szCs w:val="20"/>
                <w:color w:val="auto"/>
              </w:rPr>
            </w:pPr>
            <w:r>
              <w:rPr>
                <w:rFonts w:ascii="Arial" w:cs="Arial" w:eastAsia="Arial" w:hAnsi="Arial"/>
                <w:sz w:val="18"/>
                <w:szCs w:val="18"/>
                <w:color w:val="auto"/>
              </w:rPr>
              <w:t>Guarantors</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Guarantors</w:t>
            </w: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Consolidated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4"/>
              </w:rPr>
              <w:t>ASSETS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tcPr>
          <w:p>
            <w:pPr>
              <w:ind w:left="4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269.1</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115.2</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384.3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 pledged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tcPr>
          <w:p>
            <w:pPr>
              <w:ind w:left="40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328.9</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458.9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159.1</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600" w:type="dxa"/>
            <w:vAlign w:val="bottom"/>
            <w:gridSpan w:val="2"/>
          </w:tcPr>
          <w:p>
            <w:pPr>
              <w:ind w:left="6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734.4</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356.5</w:t>
            </w:r>
          </w:p>
        </w:tc>
        <w:tc>
          <w:tcPr>
            <w:tcW w:w="2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1,090.9</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305.1</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375.2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investment in subsidiaries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Intercompany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798.7</w:t>
            </w: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(798.7)</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1,390.</w:t>
            </w:r>
            <w:r>
              <w:rPr>
                <w:rFonts w:ascii="Arial" w:cs="Arial" w:eastAsia="Arial" w:hAnsi="Arial"/>
                <w:sz w:val="18"/>
                <w:szCs w:val="18"/>
                <w:u w:val="single" w:color="auto"/>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1,659.</w:t>
            </w:r>
            <w:r>
              <w:rPr>
                <w:rFonts w:ascii="Arial" w:cs="Arial" w:eastAsia="Arial" w:hAnsi="Arial"/>
                <w:sz w:val="18"/>
                <w:szCs w:val="18"/>
                <w:u w:val="single" w:color="auto"/>
                <w:color w:val="auto"/>
              </w:rPr>
              <w:t>2</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2,220.</w:t>
            </w:r>
            <w:r>
              <w:rPr>
                <w:rFonts w:ascii="Arial" w:cs="Arial" w:eastAsia="Arial" w:hAnsi="Arial"/>
                <w:sz w:val="18"/>
                <w:szCs w:val="18"/>
                <w:u w:val="single" w:color="auto"/>
                <w:color w:val="auto"/>
              </w:rPr>
              <w:t>1</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80" w:type="dxa"/>
            <w:vAlign w:val="bottom"/>
            <w:gridSpan w:val="11"/>
          </w:tcPr>
          <w:p>
            <w:pPr>
              <w:jc w:val="center"/>
              <w:ind w:left="101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tcPr>
          <w:p>
            <w:pPr>
              <w:ind w:left="400"/>
              <w:spacing w:after="0"/>
              <w:rPr>
                <w:sz w:val="20"/>
                <w:szCs w:val="20"/>
                <w:color w:val="auto"/>
              </w:rPr>
            </w:pPr>
            <w:r>
              <w:rPr>
                <w:rFonts w:ascii="Arial" w:cs="Arial" w:eastAsia="Arial" w:hAnsi="Arial"/>
                <w:sz w:val="18"/>
                <w:szCs w:val="18"/>
                <w:color w:val="auto"/>
              </w:rPr>
              <w:t>Current portion of debt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160.4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tcPr>
          <w:p>
            <w:pPr>
              <w:ind w:left="40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263.1</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141.8</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406.4</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756.8</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632.8</w:t>
            </w:r>
          </w:p>
        </w:tc>
        <w:tc>
          <w:tcPr>
            <w:tcW w:w="8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125.7</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221.6</w:t>
            </w:r>
          </w:p>
        </w:tc>
        <w:tc>
          <w:tcPr>
            <w:tcW w:w="2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(330.4)</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649.7</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Equity investment in subsidiaries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c>
          <w:tcPr>
            <w:tcW w:w="2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Intercompany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60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806.1</w:t>
            </w:r>
          </w:p>
        </w:tc>
        <w:tc>
          <w:tcPr>
            <w:tcW w:w="8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1,078.3</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680.9</w:t>
            </w:r>
          </w:p>
        </w:tc>
        <w:tc>
          <w:tcPr>
            <w:tcW w:w="2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(929.7)</w:t>
            </w:r>
          </w:p>
        </w:tc>
        <w:tc>
          <w:tcPr>
            <w:tcW w:w="2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1,635.6</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584.5</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600" w:type="dxa"/>
            <w:vAlign w:val="bottom"/>
            <w:gridSpan w:val="2"/>
          </w:tcPr>
          <w:p>
            <w:pPr>
              <w:ind w:left="600"/>
              <w:spacing w:after="0"/>
              <w:rPr>
                <w:sz w:val="20"/>
                <w:szCs w:val="20"/>
                <w:color w:val="auto"/>
              </w:rPr>
            </w:pPr>
            <w:r>
              <w:rPr>
                <w:rFonts w:ascii="Arial" w:cs="Arial" w:eastAsia="Arial" w:hAnsi="Arial"/>
                <w:sz w:val="18"/>
                <w:szCs w:val="18"/>
                <w:color w:val="auto"/>
                <w:w w:val="94"/>
              </w:rPr>
              <w:t>Total liabilities and shareholders’ equity</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1,390.</w:t>
            </w:r>
            <w:r>
              <w:rPr>
                <w:rFonts w:ascii="Arial" w:cs="Arial" w:eastAsia="Arial" w:hAnsi="Arial"/>
                <w:sz w:val="18"/>
                <w:szCs w:val="18"/>
                <w:u w:val="single" w:color="auto"/>
                <w:color w:val="auto"/>
              </w:rPr>
              <w:t>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1,659.</w:t>
            </w:r>
            <w:r>
              <w:rPr>
                <w:rFonts w:ascii="Arial" w:cs="Arial" w:eastAsia="Arial" w:hAnsi="Arial"/>
                <w:sz w:val="18"/>
                <w:szCs w:val="18"/>
                <w:u w:val="single" w:color="auto"/>
                <w:color w:val="auto"/>
              </w:rPr>
              <w:t>2</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596.5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(1,426.2)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2,220.</w:t>
            </w:r>
            <w:r>
              <w:rPr>
                <w:rFonts w:ascii="Arial" w:cs="Arial" w:eastAsia="Arial" w:hAnsi="Arial"/>
                <w:sz w:val="18"/>
                <w:szCs w:val="18"/>
                <w:u w:val="single" w:color="auto"/>
                <w:color w:val="auto"/>
              </w:rPr>
              <w:t>1</w:t>
            </w:r>
          </w:p>
        </w:tc>
        <w:tc>
          <w:tcPr>
            <w:tcW w:w="17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center"/>
              <w:ind w:left="430"/>
              <w:spacing w:after="0"/>
              <w:rPr>
                <w:sz w:val="20"/>
                <w:szCs w:val="20"/>
                <w:color w:val="auto"/>
              </w:rPr>
            </w:pPr>
            <w:r>
              <w:rPr>
                <w:rFonts w:ascii="Arial" w:cs="Arial" w:eastAsia="Arial" w:hAnsi="Arial"/>
                <w:sz w:val="18"/>
                <w:szCs w:val="18"/>
                <w:color w:val="auto"/>
                <w:w w:val="89"/>
              </w:rPr>
              <w:t>33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43"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146" w:lineRule="exact"/>
        <w:rPr>
          <w:sz w:val="20"/>
          <w:szCs w:val="20"/>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Executive summary</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Results of operations</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Segment results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Liquidity and capital resources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Regulatory matters</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Critical accounting policies and estimates</w:t>
      </w:r>
    </w:p>
    <w:p>
      <w:pPr>
        <w:spacing w:after="0" w:line="18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EXECUTIVE SUMMARY</w:t>
      </w:r>
    </w:p>
    <w:p>
      <w:pPr>
        <w:spacing w:after="0" w:line="185" w:lineRule="exact"/>
        <w:rPr>
          <w:sz w:val="20"/>
          <w:szCs w:val="20"/>
          <w:color w:val="auto"/>
        </w:rPr>
      </w:pPr>
    </w:p>
    <w:p>
      <w:pPr>
        <w:jc w:val="both"/>
        <w:ind w:left="340" w:right="559"/>
        <w:spacing w:after="0" w:line="249" w:lineRule="auto"/>
        <w:rPr>
          <w:sz w:val="20"/>
          <w:szCs w:val="20"/>
          <w:color w:val="auto"/>
        </w:rPr>
      </w:pPr>
      <w:r>
        <w:rPr>
          <w:rFonts w:ascii="Arial" w:cs="Arial" w:eastAsia="Arial" w:hAnsi="Arial"/>
          <w:sz w:val="16"/>
          <w:szCs w:val="16"/>
          <w:color w:val="auto"/>
        </w:rPr>
        <w:t>We are dedicated to delivering strong, consistent financial results and outstanding shareholder returns by providing products of superior quality and value in order to enhance consumers’ outdoor living environments. We are a leading manufacturer and marketer of consumer branded non-durable products for lawn and garden care and professional horticulture products in North America and Europe. We are Monsanto’s exclusive agent for the marketing and distribution of consumer Roundup</w:t>
      </w:r>
      <w:r>
        <w:rPr>
          <w:rFonts w:ascii="Arial" w:cs="Arial" w:eastAsia="Arial" w:hAnsi="Arial"/>
          <w:sz w:val="23"/>
          <w:szCs w:val="23"/>
          <w:color w:val="auto"/>
          <w:vertAlign w:val="superscript"/>
        </w:rPr>
        <w:t>®</w:t>
      </w:r>
      <w:r>
        <w:rPr>
          <w:rFonts w:ascii="Arial" w:cs="Arial" w:eastAsia="Arial" w:hAnsi="Arial"/>
          <w:sz w:val="16"/>
          <w:szCs w:val="16"/>
          <w:color w:val="auto"/>
        </w:rPr>
        <w:t xml:space="preserve"> non-selective herbicide products within the United States and other contractually specified countries. We have a presence in similar consumer branded and professional horticulture products in Australia, the Far East, Latin America and South America. In the United States, we operate Scotts LawnService</w:t>
      </w:r>
      <w:r>
        <w:rPr>
          <w:rFonts w:ascii="Arial" w:cs="Arial" w:eastAsia="Arial" w:hAnsi="Arial"/>
          <w:sz w:val="23"/>
          <w:szCs w:val="23"/>
          <w:color w:val="auto"/>
          <w:vertAlign w:val="superscript"/>
        </w:rPr>
        <w:t>®</w:t>
      </w:r>
      <w:r>
        <w:rPr>
          <w:rFonts w:ascii="Arial" w:cs="Arial" w:eastAsia="Arial" w:hAnsi="Arial"/>
          <w:sz w:val="16"/>
          <w:szCs w:val="16"/>
          <w:color w:val="auto"/>
        </w:rPr>
        <w:t>, the second largest residential lawn care service business. Our continuing operations are divided into the following reportable segments: Global Consumer, Global Professional, Scotts LawnService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Corporate &amp; Other. The Corporate &amp; Other segment consists of corporate general and administrative expenses.</w:t>
      </w:r>
    </w:p>
    <w:p>
      <w:pPr>
        <w:spacing w:after="0" w:line="16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On July 8, 2009, we announced that we were commencing a process to close the Smith &amp; Hawken business. During our first quarter of fiscal 2010, all Smith &amp; Hawken stores were closed and substantially all operational activities of Smith &amp; Hawken were discontinued. As a result, effective in our first quarter of fiscal 2010, we classified Smith &amp; Hawken as discontinued operations.</w:t>
      </w:r>
    </w:p>
    <w:p>
      <w:pPr>
        <w:spacing w:after="0" w:line="146"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As a leading consumer branded lawn and garden company, our marketing efforts are largely focused on providing innovative and differentiated products and on continually increasing brand and product awareness to inspire consumers and create retail demand. We have successfully applied this model for a number of years, consistently increasing our investment in research and development and investing approximately 5%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increasing market share.</w:t>
      </w:r>
    </w:p>
    <w:p>
      <w:pPr>
        <w:spacing w:after="0" w:line="127"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Our sales are susceptible in any one year to weather conditions in the markets in which our products are sold. For instance, periods of wet weather can adversely impact sales of certain products, while increasing demand for other products. We believe that our diversified product line and our broad geographic diversification reduce this risk. We also believe that weather conditions in any one year, positive or negative, do not materially alter longer-term category growth trends.</w:t>
      </w:r>
    </w:p>
    <w:p>
      <w:pPr>
        <w:spacing w:after="0" w:line="144"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Due to the nature of our lawn and garden business, significant portions of our products ship to our retail customers during our second and third fiscal quarters. Our annual sales are further concentrated in the second and third fiscal quarters by retailers who increasingly rely on our ability to deliver products “in season” when consumers buy our products, thereby reducing retailers’ inventories.</w:t>
      </w:r>
    </w:p>
    <w:p>
      <w:pPr>
        <w:spacing w:after="0" w:line="183"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Percent of Net Sales from</w:t>
      </w:r>
    </w:p>
    <w:p>
      <w:pPr>
        <w:spacing w:after="0" w:line="27"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Continuing Operations by Quarter</w:t>
      </w:r>
    </w:p>
    <w:p>
      <w:pPr>
        <w:spacing w:after="0" w:line="9" w:lineRule="exact"/>
        <w:rPr>
          <w:sz w:val="20"/>
          <w:szCs w:val="20"/>
          <w:color w:val="auto"/>
        </w:rPr>
      </w:pPr>
    </w:p>
    <w:p>
      <w:pPr>
        <w:ind w:left="6160"/>
        <w:spacing w:after="0"/>
        <w:tabs>
          <w:tab w:leader="none" w:pos="7500" w:val="left"/>
          <w:tab w:leader="none" w:pos="8840" w:val="left"/>
        </w:tabs>
        <w:rPr>
          <w:sz w:val="20"/>
          <w:szCs w:val="20"/>
          <w:color w:val="auto"/>
        </w:rPr>
      </w:pPr>
      <w:r>
        <w:rPr>
          <w:rFonts w:ascii="Arial" w:cs="Arial" w:eastAsia="Arial" w:hAnsi="Arial"/>
          <w:sz w:val="18"/>
          <w:szCs w:val="18"/>
          <w:b w:val="1"/>
          <w:bCs w:val="1"/>
          <w:color w:val="auto"/>
        </w:rPr>
        <w:t>2009</w:t>
      </w:r>
      <w:r>
        <w:rPr>
          <w:sz w:val="20"/>
          <w:szCs w:val="20"/>
          <w:color w:val="auto"/>
        </w:rPr>
        <w:tab/>
      </w:r>
      <w:r>
        <w:rPr>
          <w:rFonts w:ascii="Arial" w:cs="Arial" w:eastAsia="Arial" w:hAnsi="Arial"/>
          <w:sz w:val="18"/>
          <w:szCs w:val="18"/>
          <w:b w:val="1"/>
          <w:bCs w:val="1"/>
          <w:color w:val="auto"/>
        </w:rPr>
        <w:t>2008</w:t>
      </w:r>
      <w:r>
        <w:rPr>
          <w:sz w:val="20"/>
          <w:szCs w:val="20"/>
          <w:color w:val="auto"/>
        </w:rPr>
        <w:tab/>
      </w:r>
      <w:r>
        <w:rPr>
          <w:rFonts w:ascii="Arial" w:cs="Arial" w:eastAsia="Arial" w:hAnsi="Arial"/>
          <w:sz w:val="16"/>
          <w:szCs w:val="16"/>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-130810</wp:posOffset>
            </wp:positionV>
            <wp:extent cx="22980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0"/>
        </w:trPr>
        <w:tc>
          <w:tcPr>
            <w:tcW w:w="5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5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First Quarter</w:t>
            </w:r>
          </w:p>
        </w:tc>
        <w:tc>
          <w:tcPr>
            <w:tcW w:w="13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9.6%</w:t>
            </w:r>
          </w:p>
        </w:tc>
        <w:tc>
          <w:tcPr>
            <w:tcW w:w="13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9.5%</w:t>
            </w:r>
          </w:p>
        </w:tc>
        <w:tc>
          <w:tcPr>
            <w:tcW w:w="10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8.4%</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Second Quarter</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31.6%</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Fourth Quarter</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17.3%</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3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Management focuses on a variety of key indicators and operating metrics to monitor the financial condition and performance of the continuing operations of our business. These metrics include consumer purchases (retail point-of-sale data), market share, category growth, net sales (including unit volume, pricing, product mix and foreign exchange movements), organic sales growth (net sales growth excluding the impact of foreign exchange movements, product recalls and acquisitions), gross profit margins, income from operations, income from continuing operations, net income and earnings per share. To the extent applicable, these measures are evaluated with and without impairment, restructuring and other charges, which management believes are not indicative of the ongoing earnings capabilities of our businesses. We also focus on measures to optimize cash flow and return on invested capital, including the management of working capital and capital expenditures.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Registration and Recall Matters</w:t>
      </w:r>
    </w:p>
    <w:p>
      <w:pPr>
        <w:spacing w:after="0" w:line="189"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In April 2008, we became aware that a former associate apparently deliberately circumvented our policies and the U.S. Environmental Protection Agency (“U.S. EPA”) regulations under the Federal Insecticide, Fungicide, and Rodenticide Act of 1947, as amended (“FIFRA”), by failing to obtain valid registrations for products and/or causing invalid product registration forms to be submitted to regulators. Since that time, we have been cooperating with both the U.S. EPA and the U.S. Department of Justice (“U.S. DOJ”) in related civil and criminal investigations into our pesticide product registration issues.</w:t>
      </w:r>
    </w:p>
    <w:p>
      <w:pPr>
        <w:spacing w:after="0" w:line="132" w:lineRule="exact"/>
        <w:rPr>
          <w:sz w:val="20"/>
          <w:szCs w:val="20"/>
          <w:color w:val="auto"/>
        </w:rPr>
      </w:pPr>
    </w:p>
    <w:p>
      <w:pPr>
        <w:jc w:val="both"/>
        <w:ind w:left="340" w:right="559"/>
        <w:spacing w:after="0" w:line="258" w:lineRule="auto"/>
        <w:rPr>
          <w:sz w:val="20"/>
          <w:szCs w:val="20"/>
          <w:color w:val="auto"/>
        </w:rPr>
      </w:pPr>
      <w:r>
        <w:rPr>
          <w:rFonts w:ascii="Arial" w:cs="Arial" w:eastAsia="Arial" w:hAnsi="Arial"/>
          <w:sz w:val="17"/>
          <w:szCs w:val="17"/>
          <w:color w:val="auto"/>
        </w:rPr>
        <w:t>In late April of 2008, in connection with the U.S. EPA’s investigation, we conducted a consumer-level recall of certain consumer lawn and garden products and a Scotts LawnService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product. Subsequently, the Company and the U.S. EPA agreed upon a Compliance Review Plan for conducting a comprehensive, independent review of our product registration records. Pursuant to the Compliance Review Plan, an independent third-party firm, Quality Associates Incorporated (“QAI”), reviewed substantially all of our U.S. pesticide product registrations and associated advertising, some of which were historical in nature and no longer related to sales of our products. The U.S. EPA investigation and the QAI review process resulted in the temporary suspension of sales and shipments of certain products. In addition, as the QAI review process or our internal review identified potential FIFRA registration issues (some of which appear unrelated to the actions of the former associate), we endeavored to stop selling or distributing the affected products until the issues could be resolved. QAI’s review of our U.S. pesticide product registrations and associated advertisements is now substantially complete. The results of the QAI review process did not materially affect the Company’s fiscal 2009 or year-to-date fiscal 2010 sales and are not expected to materially affect the Company’s sales during the remainder of fiscal 2010.</w:t>
      </w:r>
    </w:p>
    <w:p>
      <w:pPr>
        <w:spacing w:after="0" w:line="162" w:lineRule="exact"/>
        <w:rPr>
          <w:sz w:val="20"/>
          <w:szCs w:val="20"/>
          <w:color w:val="auto"/>
        </w:rPr>
      </w:pPr>
    </w:p>
    <w:p>
      <w:pPr>
        <w:jc w:val="both"/>
        <w:ind w:left="340" w:right="559"/>
        <w:spacing w:after="0" w:line="242" w:lineRule="auto"/>
        <w:rPr>
          <w:sz w:val="20"/>
          <w:szCs w:val="20"/>
          <w:color w:val="auto"/>
        </w:rPr>
      </w:pPr>
      <w:r>
        <w:rPr>
          <w:rFonts w:ascii="Arial" w:cs="Arial" w:eastAsia="Arial" w:hAnsi="Arial"/>
          <w:sz w:val="17"/>
          <w:szCs w:val="17"/>
          <w:color w:val="auto"/>
        </w:rPr>
        <w:t>In late 2008, Scotts Miracle-Gro and its indirect subsidiary, EG Systems, Inc., doing business as Scotts LawnService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were named as defendants in a purported class action filed in the U.S. District Court for the Eastern District of Michigan relating to the application of certain pesticide products by Scotts LawnService</w:t>
      </w:r>
      <w:r>
        <w:rPr>
          <w:rFonts w:ascii="Arial" w:cs="Arial" w:eastAsia="Arial" w:hAnsi="Arial"/>
          <w:sz w:val="25"/>
          <w:szCs w:val="25"/>
          <w:color w:val="auto"/>
          <w:vertAlign w:val="superscript"/>
        </w:rPr>
        <w:t>®</w:t>
      </w:r>
      <w:r>
        <w:rPr>
          <w:rFonts w:ascii="Arial" w:cs="Arial" w:eastAsia="Arial" w:hAnsi="Arial"/>
          <w:sz w:val="17"/>
          <w:szCs w:val="17"/>
          <w:color w:val="auto"/>
        </w:rPr>
        <w:t>. In the suit, Mark Baumkel, on behalf of himself and the purported classes, sought an unspecified amount of damages, plus costs and attorneys’ fees, for alleged claims involving breach of contract, unjust enrichment and violation of the state of Michigan’s consumer protection act. On September 28, 2009, the court granted the motion filed by Scotts Miracle-Gro and EG Systems, Inc. and dismissed the suit with prejudice. Since that time, Scotts Miracle-Gro, EG Systems, Inc. and Mr. Baumkel have agreed to a confidential settlement that, among other things, precludes an appeal of the decision. The impact of the confidential settlement did not, and will not, materially affect our financial condition, results of operations or cash flows.</w:t>
      </w:r>
    </w:p>
    <w:p>
      <w:pPr>
        <w:spacing w:after="0" w:line="161"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In fiscal 2008, we conducted a voluntary recall of certain of our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results of the wild bird food recall did not materially affect our fiscal 2009 financial condition, results of operations or cash flows.</w:t>
      </w:r>
    </w:p>
    <w:p>
      <w:pPr>
        <w:spacing w:after="0" w:line="124"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As a result of these registration and recall matters, we have reversed sales associated with estimated returns of affected products, recorded charges for affected inventory and recorded other registration and recall-related costs. The impacts of these adjustments were pre-tax charges of $1.7 million and $8.0 million for the three-month periods, and $4.3 million and $15.6 million for the six-month periods ended April 3, 2010 and March 28, 2009, respectively. We expect to incur $8.0 to $12.0 million in fiscal 2010 on recall and registration matters, excluding possible fines, penalties, judgments and/or litigation costs. These fiscal 2010 charges primarily consist of costs associated with the reworking of certain finished goods inventories, the potential disposal of certain products and ongoing third-party professional services related to the U.S. EPA and U.S. DOJ investigations.</w:t>
      </w:r>
    </w:p>
    <w:p>
      <w:pPr>
        <w:spacing w:after="0" w:line="140"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The U.S. EPA and U.S. DOJ investigations continue and may result in future state, federal or private actions including fines and/or penalties with respect to known or potential additional product registration issues. Until the U.S. EPA and U.S. DOJ investigations are complete, we cannot reasonably determine the scope or magnitude of possible liabilities that could result from known or potential product registration issues, and no reserves for these potential liabilities have been established as of April 3, 2010. However, it is possible that such liabilities, including fines, penalties, judgments and/or litigation costs could be material and have an adverse effect on our financial condition, results of operations or cash flows.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We are committed to providing our customers and consumers with products of superior quality and value to enhance their lawns, gardens and overall outdoor living environments. We believe consumers have come to trust our brands based on the superior quality and value they deliver, and that trust is highly valued. We also are committed to conducting business with the highest degree of ethical standards and in adherence to the law. While we are disappointed in these events, we believe we have made significant progress in addressing the issues and restoring customer and consumer confidence in our products.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OPERATIONS</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Beginning in our first quarter of fiscal 2010, we classified Smith &amp; Hawken as a discontinued operation. Accordingly, we have reclassified our results of operations for the three- and six-month periods ended March 28, 2009 to reflect Smith &amp; Hawken as discontinued operations separate from our results of continuing operations. As a result, and unless specifically stated, all discussions regarding results for the three- and six-month periods ended April 3, 2010 and March 28, 2009, respectively, reflect results from our continuing operations.</w:t>
      </w:r>
    </w:p>
    <w:p>
      <w:pPr>
        <w:spacing w:after="0" w:line="14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table sets forth the components of income and expense as a percentage of net sales for the three- and six-month periods ended April 3, 2010 and March 28, 2009:</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272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THREE MONTHS ENDED</w:t>
            </w:r>
          </w:p>
        </w:tc>
        <w:tc>
          <w:tcPr>
            <w:tcW w:w="24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14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APRIL 3,</w:t>
            </w:r>
          </w:p>
        </w:tc>
        <w:tc>
          <w:tcPr>
            <w:tcW w:w="9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6"/>
              </w:rPr>
              <w:t>MARCH 28,</w:t>
            </w:r>
          </w:p>
        </w:tc>
        <w:tc>
          <w:tcPr>
            <w:tcW w:w="42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APRIL 3,</w:t>
            </w:r>
          </w:p>
        </w:tc>
        <w:tc>
          <w:tcPr>
            <w:tcW w:w="9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6"/>
              </w:rPr>
              <w:t>MARCH 28,</w:t>
            </w:r>
          </w:p>
        </w:tc>
        <w:tc>
          <w:tcPr>
            <w:tcW w:w="160" w:type="dxa"/>
            <w:vAlign w:val="bottom"/>
          </w:tcPr>
          <w:p>
            <w:pPr>
              <w:spacing w:after="0"/>
              <w:rPr>
                <w:sz w:val="16"/>
                <w:szCs w:val="16"/>
                <w:color w:val="auto"/>
              </w:rPr>
            </w:pPr>
          </w:p>
        </w:tc>
      </w:tr>
      <w:tr>
        <w:trPr>
          <w:trHeight w:val="234"/>
        </w:trPr>
        <w:tc>
          <w:tcPr>
            <w:tcW w:w="41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r>
      <w:tr>
        <w:trPr>
          <w:trHeight w:val="210"/>
        </w:trPr>
        <w:tc>
          <w:tcPr>
            <w:tcW w:w="4140" w:type="dxa"/>
            <w:vAlign w:val="bottom"/>
          </w:tcPr>
          <w:p>
            <w:pPr>
              <w:spacing w:after="0"/>
              <w:rPr>
                <w:sz w:val="18"/>
                <w:szCs w:val="18"/>
                <w:color w:val="auto"/>
              </w:rPr>
            </w:pPr>
          </w:p>
        </w:tc>
        <w:tc>
          <w:tcPr>
            <w:tcW w:w="272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(UNAUDITED)</w:t>
            </w:r>
          </w:p>
        </w:tc>
        <w:tc>
          <w:tcPr>
            <w:tcW w:w="246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(UNAUDITED)</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Cost of sales</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61.1</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61.8</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64.7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64.4</w:t>
            </w:r>
          </w:p>
        </w:tc>
      </w:tr>
      <w:tr>
        <w:trPr>
          <w:trHeight w:val="202"/>
        </w:trPr>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sales — product registration and recall</w:t>
            </w: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matters</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r>
      <w:tr>
        <w:trPr>
          <w:trHeight w:val="223"/>
        </w:trPr>
        <w:tc>
          <w:tcPr>
            <w:tcW w:w="414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4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4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4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9"/>
                <w:szCs w:val="19"/>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20.3</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21.7</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25.7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r>
      <w:tr>
        <w:trPr>
          <w:trHeight w:val="216"/>
        </w:trPr>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registration and recall matters</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16"/>
        </w:trPr>
        <w:tc>
          <w:tcPr>
            <w:tcW w:w="414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7"/>
        </w:trPr>
        <w:tc>
          <w:tcPr>
            <w:tcW w:w="4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r>
      <w:tr>
        <w:trPr>
          <w:trHeight w:val="223"/>
        </w:trPr>
        <w:tc>
          <w:tcPr>
            <w:tcW w:w="41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1.4</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1.7</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r>
      <w:tr>
        <w:trPr>
          <w:trHeight w:val="202"/>
        </w:trPr>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17.0</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16"/>
        </w:trPr>
        <w:tc>
          <w:tcPr>
            <w:tcW w:w="4140" w:type="dxa"/>
            <w:vAlign w:val="bottom"/>
          </w:tcPr>
          <w:p>
            <w:pPr>
              <w:ind w:left="200"/>
              <w:spacing w:after="0"/>
              <w:rPr>
                <w:sz w:val="20"/>
                <w:szCs w:val="20"/>
                <w:color w:val="auto"/>
              </w:rPr>
            </w:pPr>
            <w:r>
              <w:rPr>
                <w:rFonts w:ascii="Arial" w:cs="Arial" w:eastAsia="Arial" w:hAnsi="Arial"/>
                <w:sz w:val="18"/>
                <w:szCs w:val="18"/>
                <w:color w:val="auto"/>
              </w:rPr>
              <w:t>Income tax expense from continuing operations</w:t>
            </w: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4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5.0</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r>
      <w:tr>
        <w:trPr>
          <w:trHeight w:val="27"/>
        </w:trPr>
        <w:tc>
          <w:tcPr>
            <w:tcW w:w="4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r>
      <w:tr>
        <w:trPr>
          <w:trHeight w:val="216"/>
        </w:trPr>
        <w:tc>
          <w:tcPr>
            <w:tcW w:w="4140" w:type="dxa"/>
            <w:vAlign w:val="bottom"/>
          </w:tcPr>
          <w:p>
            <w:pPr>
              <w:ind w:left="200"/>
              <w:spacing w:after="0"/>
              <w:rPr>
                <w:sz w:val="20"/>
                <w:szCs w:val="20"/>
                <w:color w:val="auto"/>
              </w:rPr>
            </w:pPr>
            <w:r>
              <w:rPr>
                <w:rFonts w:ascii="Arial" w:cs="Arial" w:eastAsia="Arial" w:hAnsi="Arial"/>
                <w:sz w:val="18"/>
                <w:szCs w:val="18"/>
                <w:color w:val="auto"/>
              </w:rPr>
              <w:t>Loss from discontinued operations, net of tax</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7"/>
        </w:trPr>
        <w:tc>
          <w:tcPr>
            <w:tcW w:w="4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4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Net sales for the three months ended April 3, 2010 were $1.12 billion, an increase of 19.4% from net sales of $940.7 million for the three months ended March 28, 2009. Net sales for the first six months of fiscal 2010 grew 16.2% versus the comparable period of fiscal 2009. We follow a 13-week quarterly accounting cycle, with our first three fiscal quarters ending on a Saturday, while our fiscal year end always occurs on September 30</w:t>
      </w:r>
      <w:r>
        <w:rPr>
          <w:rFonts w:ascii="Arial" w:cs="Arial" w:eastAsia="Arial" w:hAnsi="Arial"/>
          <w:sz w:val="13"/>
          <w:szCs w:val="13"/>
          <w:color w:val="auto"/>
        </w:rPr>
        <w:t>th</w:t>
      </w:r>
      <w:r>
        <w:rPr>
          <w:rFonts w:ascii="Arial" w:cs="Arial" w:eastAsia="Arial" w:hAnsi="Arial"/>
          <w:sz w:val="16"/>
          <w:szCs w:val="16"/>
          <w:color w:val="auto"/>
        </w:rPr>
        <w:t>. This fiscal calendar convention requires us to cycle forward our first three fiscal quarter ends every four to five years. Fiscal 2010 is the most recent year impacted by this fiscal quarter end cycle forward process. Our second quarter of fiscal 2010 ended on April 3</w:t>
      </w:r>
      <w:r>
        <w:rPr>
          <w:rFonts w:ascii="Arial" w:cs="Arial" w:eastAsia="Arial" w:hAnsi="Arial"/>
          <w:sz w:val="13"/>
          <w:szCs w:val="13"/>
          <w:color w:val="auto"/>
        </w:rPr>
        <w:t>rd</w:t>
      </w:r>
      <w:r>
        <w:rPr>
          <w:rFonts w:ascii="Arial" w:cs="Arial" w:eastAsia="Arial" w:hAnsi="Arial"/>
          <w:sz w:val="16"/>
          <w:szCs w:val="16"/>
          <w:color w:val="auto"/>
        </w:rPr>
        <w:t>, compared to March 28</w:t>
      </w:r>
      <w:r>
        <w:rPr>
          <w:rFonts w:ascii="Arial" w:cs="Arial" w:eastAsia="Arial" w:hAnsi="Arial"/>
          <w:sz w:val="13"/>
          <w:szCs w:val="13"/>
          <w:color w:val="auto"/>
        </w:rPr>
        <w:t>th</w:t>
      </w:r>
      <w:r>
        <w:rPr>
          <w:rFonts w:ascii="Arial" w:cs="Arial" w:eastAsia="Arial" w:hAnsi="Arial"/>
          <w:sz w:val="16"/>
          <w:szCs w:val="16"/>
          <w:color w:val="auto"/>
        </w:rPr>
        <w:t xml:space="preserve"> for the second quarter of fiscal 2009. Because the second quarter of fiscal 2010 ended five days later in our peak spring selling season, this calendar shift had a significant impact, increasing net sales by 9.2% and 8.1%, respectively, for the three- and six-month periods ended April 3, 2010.</w:t>
      </w:r>
    </w:p>
    <w:p>
      <w:pPr>
        <w:spacing w:after="0" w:line="12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After the impact of the calendar shift organic net sales growth, which excludes the impact of changes in foreign exchange rates, product recalls and acquisitions, was 8.2% and 5.8% for the three and six months ended April 3, 2010, respectively, as noted in the following table:</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r>
      <w:tr>
        <w:trPr>
          <w:trHeight w:val="216"/>
        </w:trPr>
        <w:tc>
          <w:tcPr>
            <w:tcW w:w="5700" w:type="dxa"/>
            <w:vAlign w:val="bottom"/>
          </w:tcPr>
          <w:p>
            <w:pPr>
              <w:spacing w:after="0"/>
              <w:rPr>
                <w:sz w:val="18"/>
                <w:szCs w:val="18"/>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April 3,</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April 3,</w:t>
            </w:r>
          </w:p>
        </w:tc>
      </w:tr>
      <w:tr>
        <w:trPr>
          <w:trHeight w:val="234"/>
        </w:trPr>
        <w:tc>
          <w:tcPr>
            <w:tcW w:w="570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4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160" w:type="dxa"/>
            <w:vAlign w:val="bottom"/>
          </w:tcPr>
          <w:p>
            <w:pPr>
              <w:spacing w:after="0"/>
              <w:rPr>
                <w:sz w:val="20"/>
                <w:szCs w:val="20"/>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sales growth</w:t>
            </w: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Foreign exchange rates</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7"/>
        </w:trPr>
        <w:tc>
          <w:tcPr>
            <w:tcW w:w="570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Organic net sales growth before impact of calendar shift</w:t>
            </w:r>
          </w:p>
        </w:tc>
        <w:tc>
          <w:tcPr>
            <w:tcW w:w="2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17.4</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Impact of calendar shift</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(9.2)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7"/>
        </w:trPr>
        <w:tc>
          <w:tcPr>
            <w:tcW w:w="570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Organic net sales growth after impact of calendar shift</w:t>
            </w: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57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the Global Consumer segment, organic net sales after the impact of the calendar shift grew by 9.4% and 8.3% for the second quarter and first six months of fiscal 2010, respectively. Global Professional organic net sales after the impact of the calendar shift increased by 8.2% for the second quarter, and declined by 2.7% for the first six months of fiscal 2010 compared to the same period of fiscal 2009. Organic net sales after the impact of the calendar shift for 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declined by 19.0% and 16.8% for</w:t>
      </w:r>
    </w:p>
    <w:p>
      <w:pPr>
        <w:sectPr>
          <w:pgSz w:w="11900" w:h="16838" w:orient="portrait"/>
          <w:cols w:equalWidth="0" w:num="1">
            <w:col w:w="10219"/>
          </w:cols>
          <w:pgMar w:left="240" w:top="419" w:right="1440" w:bottom="19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9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and six months ended April 3, 2010, respectively.</w:t>
      </w:r>
    </w:p>
    <w:p>
      <w:pPr>
        <w:spacing w:after="0" w:line="19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Consolidated net sales for the first six months of our fiscal year have typically comprised 41% to 45% of our total fiscal year consolidated net sales from continuing operations. However, there can be no assurance that a similar sales trend will apply to fiscal 2010. On a consolidated basis, we anticipate full-year fiscal 2010 net sales will increase by 7% to 8% compared to fiscal 2009.</w:t>
      </w:r>
    </w:p>
    <w:p>
      <w:pPr>
        <w:spacing w:after="0" w:line="146"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As a percentage of net sales, gross profit was 38.8% for the second quarter of fiscal 2010 compared to 37.9% for the second quarter of fiscal 2009. For the first six months of fiscal 2010, our gross profit percentage was 35.2% compared to 35.3% in the comparable period of fiscal 2009. Excluding product registration and recall matters, the gross profit rate increased by 80 basis points for the second quarter of fiscal 2010, and declined by 40 basis points for the first six months of fiscal 2010. The fiscal 2010 second quarter gross profit rate increase was primarily driven by favorable product mix and more efficient distribution costs as a result of higher sales volume in our Global Consumer segment, partially offset by a decline in average selling prices in the Global Professional segment. Gross profit rates for the first six months of fiscal 2010 were impacted by similar factors, although the sell-through of inventory at older, higher commodity costs was a primary driver of the decline in gross profit rate versus the comparable period of fiscal 2009. Excluding the impact of product registration and recall matters, we anticipate the fiscal 2010 full-year gross profit rate to improve by as much as 50 basis points compared to fiscal 2009, primarily due to cost efficiencies generated by higher sales volume, supply chain productivity and the anniversary of fiscal 2009 price reductions in our Global Professional segment.</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400" w:type="dxa"/>
            <w:vAlign w:val="bottom"/>
          </w:tcPr>
          <w:p>
            <w:pPr>
              <w:spacing w:after="0"/>
              <w:rPr>
                <w:sz w:val="24"/>
                <w:szCs w:val="24"/>
                <w:color w:val="auto"/>
              </w:rPr>
            </w:pPr>
          </w:p>
        </w:tc>
        <w:tc>
          <w:tcPr>
            <w:tcW w:w="260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22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8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9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191"/>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(IN</w:t>
            </w:r>
          </w:p>
        </w:tc>
        <w:tc>
          <w:tcPr>
            <w:tcW w:w="8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1"/>
              </w:rPr>
              <w:t>MILLIONS)</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(IN</w:t>
            </w:r>
          </w:p>
        </w:tc>
        <w:tc>
          <w:tcPr>
            <w:tcW w:w="86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1"/>
              </w:rPr>
              <w:t>MILLIONS)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rPr>
              <w:t>(UNAUDITED)</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rPr>
              <w:t>(UNAUDITED)</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66.5</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selling, general and administrative</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171.6</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157.9</w:t>
            </w:r>
          </w:p>
        </w:tc>
        <w:tc>
          <w:tcPr>
            <w:tcW w:w="10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294.5</w:t>
            </w:r>
          </w:p>
        </w:tc>
        <w:tc>
          <w:tcPr>
            <w:tcW w:w="5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283.0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5.0</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r>
      <w:tr>
        <w:trPr>
          <w:trHeight w:val="223"/>
        </w:trPr>
        <w:tc>
          <w:tcPr>
            <w:tcW w:w="4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204.0</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366.0</w:t>
            </w:r>
          </w:p>
        </w:tc>
        <w:tc>
          <w:tcPr>
            <w:tcW w:w="34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342.7</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Selling, general and administrative (“SG&amp;A”) expenses increased $24.4 million, or 12.0%, to $228.4 million for the second quarter and $23.3 million, or 6.8%, to $366 million for the first six months of fiscal 2010. Excluding the impact of foreign exchange rates, SG&amp;A expenses for the second quarter and first six months of fiscal 2010 increased 10.3% and 4.8%, respectively. The increase in SG&amp;A expenses is primarily attributable to increased spending in the Global Consumer segment, driven by increased advertising, selling and marketing. SG&amp;A spending for the Global Professional and Scotts LawnService</w:t>
      </w:r>
      <w:r>
        <w:rPr>
          <w:rFonts w:ascii="Arial" w:cs="Arial" w:eastAsia="Arial" w:hAnsi="Arial"/>
          <w:sz w:val="14"/>
          <w:szCs w:val="14"/>
          <w:color w:val="auto"/>
        </w:rPr>
        <w:t>®</w:t>
      </w:r>
      <w:r>
        <w:rPr>
          <w:rFonts w:ascii="Arial" w:cs="Arial" w:eastAsia="Arial" w:hAnsi="Arial"/>
          <w:sz w:val="17"/>
          <w:szCs w:val="17"/>
          <w:color w:val="auto"/>
        </w:rPr>
        <w:t xml:space="preserve"> segments declined, while Corporate &amp; Other SG&amp;A expenses increased slightly. We expect full-year SG&amp;A expenses to increase by 3% to 4%, driven by trends consistent with our first six months.</w:t>
      </w:r>
    </w:p>
    <w:p>
      <w:pPr>
        <w:spacing w:after="0" w:line="137"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recorded $1.1 million and $2.8 million of SG&amp;A-related product registration and recall costs during the second quarter and first six months of fiscal 2010, respectively, which primarily related to third-party compliance review, legal and consulting fees. For the quarter and six months ended March 28, 2009, we recorded $5.5 million and $11.7 million of SG&amp;A-related product registration and recall costs, respectively.</w:t>
      </w:r>
    </w:p>
    <w:p>
      <w:pPr>
        <w:spacing w:after="0" w:line="146"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Interest expense for the second quarter and first six months of fiscal 2010 was $15.1 million and $25.8 million, respectively, compared to $15.9 million and $32.2 million for the second quarter and first six months of fiscal 2009. The decrease in interest expense for the first six months of fiscal 2010 was attributable to decreases in both average borrowings and weighted average interest rates, while the decrease for the second quarter was primarily due to a decrease in average borrowings. Excluding the impact of foreign exchange rates, average borrowings decreased by approximately $126 million during the first six months of fiscal 2010 as compared to the prior year period. Weighted average interest rates decreased by approximately 67 basis points. We expect full-year interest expense to decline compared to fiscal 2009, as lower average borrowings and weighted average interest rates on our senior secured credit facility will be partially offset by higher interest expense attributable to the $200 million aggregate principal amount of Senior Notes, with an effective interest rate of 7.375%, due 2018 (the “Senior Notes”) issued on January 14, 2010. We issued the Senior Notes as part of a broader strategy to diversify sources of liquidity and debt maturities in anticipation of the expiration of our current senior secured credit facility in February 2012. Refer to “NOTE 6. DEBT” of the Notes to Condensed, Consolidated Financial Statements for a further description of the Senior Notes.</w:t>
      </w:r>
    </w:p>
    <w:p>
      <w:pPr>
        <w:spacing w:after="0" w:line="142"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effective tax rate for continuing operations was 37.9% for the first half of fiscal 2010, compared to 35.5% for the same period of fiscal 2009. Fiscal 2010 income tax expense includes a $1.9 million charge recorded during the second quarter related to health care legislation enacted in March 2010 that repealed the existing rule which permitted a tax deduction for the portion of retiree prescription drug expense that was offset by the Medicare Part D subsidy we receive. The effective tax rate used for interim reporting</w:t>
      </w:r>
    </w:p>
    <w:p>
      <w:pPr>
        <w:sectPr>
          <w:pgSz w:w="11900" w:h="16838" w:orient="portrait"/>
          <w:cols w:equalWidth="0" w:num="1">
            <w:col w:w="10219"/>
          </w:cols>
          <w:pgMar w:left="240" w:top="419" w:right="1440" w:bottom="1108"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08"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purposes was based on management’s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as well as other items. We estimate that the fiscal 2010 full-year effective tax rate will be in the range of 36.5% to 37.0%. The estimated effective tax rate is subject to revision in later interim periods and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151"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We reported net income from continuing operations of $119.9 million, or $1.78 per diluted share, for the second quarter of fiscal 2010 compared to $84.1 million, or $1.28 per diluted share, for the second quarter of fiscal 2009. Net income from continuing operations in the first six months of fiscal 2010 was $70.1 million, or $1.04 per diluted share, versus $31.2 million, or $0.47 per diluted share, for the same period of fiscal 2009. The increase for the second quarter and first six months of fiscal 2010 was driven primarily by increased net sales and gross profit in the Global Consumer segment, partially offset by an increase in SG&amp;A spending. The impact of the calendar shift increased earnings by approximately $0.23 and $0.26 per diluted share for the second quarter and first six months of fiscal 2010, respectively. Diluted average common shares used in the diluted net income per common share calculation were 67.4 million for the second quarter of fiscal 2010 compared to 65.8 million for the same period a year ago. Diluted average common shares used in the diluted net income per common share calculation were 67.2 million for the six months ended April 3, 2010 versus 65.7 million for the six months ended March 28, 2009. Diluted average common shares included 1.2 million equivalent shares for both the second quarter and first six months of fiscal 2010 to reflect the effect of the assumed conversion of dilutive stock options, restricted stock and restricted stock unit awards. For both the second quarter and first six months of fiscal 2009, diluted average common shares included 0.9 million equivalent shares. The changes in diluted average common shares were primarily driven by the fluctuation in the Company’s share price.</w:t>
      </w:r>
    </w:p>
    <w:p>
      <w:pPr>
        <w:spacing w:after="0" w:line="131"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In our first quarter of fiscal 2010, we began presenting Smith &amp; Hawken as discontinued operations and prior periods have been reclassified to conform to this presentation. We reported a loss from discontinued operations, net of tax, of $1.4 million for the second quarter of fiscal 2010, compared to a loss, net of tax, of $6.7 million for the second quarter of fiscal 2009. The loss from discontinued operations, net of tax, was $9.3 million for the first six months of fiscal 2010 versus $10.8 million for the same period of fiscal 2009. The losses recorded in fiscal 2010 relate primarily to first quarter charges associated with the termination of retail site lease obligations, third-party agency fees and severance and benefit commitments. These charges were partially offset by a gain of approximately $18 million from the sale of the Smith &amp; Hawken intellectual property on December 30, 2009.</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RESULTS</w:t>
      </w:r>
    </w:p>
    <w:p>
      <w:pPr>
        <w:spacing w:after="0" w:line="198"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Our continuing operations are divided into the following segments: Global Consumer, Global Professional, Scotts LawnService</w:t>
      </w:r>
      <w:r>
        <w:rPr>
          <w:rFonts w:ascii="Arial" w:cs="Arial" w:eastAsia="Arial" w:hAnsi="Arial"/>
          <w:sz w:val="14"/>
          <w:szCs w:val="14"/>
          <w:color w:val="auto"/>
        </w:rPr>
        <w:t>®</w:t>
      </w:r>
      <w:r>
        <w:rPr>
          <w:rFonts w:ascii="Arial" w:cs="Arial" w:eastAsia="Arial" w:hAnsi="Arial"/>
          <w:sz w:val="17"/>
          <w:szCs w:val="17"/>
          <w:color w:val="auto"/>
        </w:rPr>
        <w:t xml:space="preserve"> and Corporate &amp; Other. The Corporate &amp; Other segment consists of corporate general and administrative expenses. This division of reportable segments is consistent with how the segments report to and are managed by senior management of the Company. Certain reclassifications were made to the Global Consumer and Global Professional prior period amounts to reflect changes in the structure of the Company’s organization effective in fiscal 2010.</w:t>
      </w:r>
    </w:p>
    <w:p>
      <w:pPr>
        <w:spacing w:after="0" w:line="132"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Segment performance is evaluated based on several factors, including income from continuing operations before amortization, product registration and recall costs, and impairment, restructuring and other charges, which are not measures of generally accepted accounting principles. Management uses this measure of operating profit to gauge segment performance because we believe this measure is the most indicative of performance trends and the overall earnings potential of each segment.</w:t>
      </w:r>
    </w:p>
    <w:p>
      <w:pPr>
        <w:spacing w:after="0" w:line="11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The following table sets forth net sales by segment:</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400" w:type="dxa"/>
            <w:vAlign w:val="bottom"/>
          </w:tcPr>
          <w:p>
            <w:pPr>
              <w:spacing w:after="0"/>
              <w:rPr>
                <w:sz w:val="24"/>
                <w:szCs w:val="24"/>
                <w:color w:val="auto"/>
              </w:rPr>
            </w:pPr>
          </w:p>
        </w:tc>
        <w:tc>
          <w:tcPr>
            <w:tcW w:w="26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22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70"/>
              <w:spacing w:after="0" w:line="191" w:lineRule="exact"/>
              <w:rPr>
                <w:sz w:val="20"/>
                <w:szCs w:val="20"/>
                <w:color w:val="auto"/>
              </w:rPr>
            </w:pPr>
            <w:r>
              <w:rPr>
                <w:rFonts w:ascii="Arial" w:cs="Arial" w:eastAsia="Arial" w:hAnsi="Arial"/>
                <w:sz w:val="18"/>
                <w:szCs w:val="18"/>
                <w:b w:val="1"/>
                <w:bCs w:val="1"/>
                <w:color w:val="auto"/>
                <w:w w:val="97"/>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350"/>
              <w:spacing w:after="0" w:line="191" w:lineRule="exact"/>
              <w:rPr>
                <w:sz w:val="20"/>
                <w:szCs w:val="20"/>
                <w:color w:val="auto"/>
              </w:rPr>
            </w:pPr>
            <w:r>
              <w:rPr>
                <w:rFonts w:ascii="Arial" w:cs="Arial" w:eastAsia="Arial" w:hAnsi="Arial"/>
                <w:sz w:val="18"/>
                <w:szCs w:val="18"/>
                <w:b w:val="1"/>
                <w:bCs w:val="1"/>
                <w:color w:val="auto"/>
                <w:w w:val="97"/>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8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9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191"/>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(IN</w:t>
            </w:r>
          </w:p>
        </w:tc>
        <w:tc>
          <w:tcPr>
            <w:tcW w:w="86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1"/>
              </w:rPr>
              <w:t>MILLIONS)</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(IN</w:t>
            </w:r>
          </w:p>
        </w:tc>
        <w:tc>
          <w:tcPr>
            <w:tcW w:w="1300" w:type="dxa"/>
            <w:vAlign w:val="bottom"/>
            <w:gridSpan w:val="3"/>
          </w:tcPr>
          <w:p>
            <w:pPr>
              <w:jc w:val="right"/>
              <w:ind w:right="390"/>
              <w:spacing w:after="0" w:line="191" w:lineRule="exact"/>
              <w:rPr>
                <w:sz w:val="20"/>
                <w:szCs w:val="20"/>
                <w:color w:val="auto"/>
              </w:rPr>
            </w:pPr>
            <w:r>
              <w:rPr>
                <w:rFonts w:ascii="Arial" w:cs="Arial" w:eastAsia="Arial" w:hAnsi="Arial"/>
                <w:sz w:val="18"/>
                <w:szCs w:val="18"/>
                <w:b w:val="1"/>
                <w:bCs w:val="1"/>
                <w:color w:val="auto"/>
                <w:w w:val="86"/>
              </w:rPr>
              <w:t>MILLIONS)</w:t>
            </w:r>
          </w:p>
        </w:tc>
        <w:tc>
          <w:tcPr>
            <w:tcW w:w="80" w:type="dxa"/>
            <w:vAlign w:val="bottom"/>
          </w:tcPr>
          <w:p>
            <w:pPr>
              <w:spacing w:after="0"/>
              <w:rPr>
                <w:sz w:val="16"/>
                <w:szCs w:val="16"/>
                <w:color w:val="auto"/>
              </w:rPr>
            </w:pPr>
          </w:p>
        </w:tc>
      </w:tr>
      <w:tr>
        <w:trPr>
          <w:trHeight w:val="234"/>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rPr>
              <w:t>(UNAUDITED)</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(UNAUDITED)</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1,014.7</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840.6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1,228.7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1,028.9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Global Professional</w:t>
            </w:r>
          </w:p>
        </w:tc>
        <w:tc>
          <w:tcPr>
            <w:tcW w:w="10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78.0</w:t>
            </w:r>
          </w:p>
        </w:tc>
        <w:tc>
          <w:tcPr>
            <w:tcW w:w="5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133.4</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127.0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30.6</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63.6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w:t>
            </w:r>
          </w:p>
        </w:tc>
      </w:tr>
      <w:tr>
        <w:trPr>
          <w:trHeight w:val="223"/>
        </w:trPr>
        <w:tc>
          <w:tcPr>
            <w:tcW w:w="4400" w:type="dxa"/>
            <w:vAlign w:val="bottom"/>
          </w:tcPr>
          <w:p>
            <w:pPr>
              <w:ind w:left="200"/>
              <w:spacing w:after="0"/>
              <w:rPr>
                <w:sz w:val="20"/>
                <w:szCs w:val="20"/>
                <w:color w:val="auto"/>
              </w:rPr>
            </w:pPr>
            <w:r>
              <w:rPr>
                <w:rFonts w:ascii="Arial" w:cs="Arial" w:eastAsia="Arial" w:hAnsi="Arial"/>
                <w:sz w:val="18"/>
                <w:szCs w:val="18"/>
                <w:color w:val="auto"/>
              </w:rPr>
              <w:t>Segment total</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1,123.3</w:t>
            </w:r>
          </w:p>
        </w:tc>
        <w:tc>
          <w:tcPr>
            <w:tcW w:w="3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940.9</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1,425.7</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1,227.5</w:t>
            </w:r>
          </w:p>
        </w:tc>
        <w:tc>
          <w:tcPr>
            <w:tcW w:w="8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Product registrations and recall matters — returns</w:t>
            </w:r>
          </w:p>
        </w:tc>
        <w:tc>
          <w:tcPr>
            <w:tcW w:w="10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7"/>
        </w:trPr>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1,123.</w:t>
            </w:r>
            <w:r>
              <w:rPr>
                <w:rFonts w:ascii="Arial" w:cs="Arial" w:eastAsia="Arial" w:hAnsi="Arial"/>
                <w:sz w:val="18"/>
                <w:szCs w:val="18"/>
                <w:u w:val="single" w:color="auto"/>
                <w:color w:val="auto"/>
              </w:rPr>
              <w:t>1</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940.7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1,425.3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1,226.</w:t>
            </w:r>
            <w:r>
              <w:rPr>
                <w:rFonts w:ascii="Arial" w:cs="Arial" w:eastAsia="Arial" w:hAnsi="Arial"/>
                <w:sz w:val="18"/>
                <w:szCs w:val="18"/>
                <w:u w:val="single" w:color="auto"/>
                <w:color w:val="auto"/>
              </w:rPr>
              <w:t>8</w:t>
            </w: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5700" w:type="dxa"/>
            <w:vAlign w:val="bottom"/>
            <w:gridSpan w:val="5"/>
          </w:tcPr>
          <w:p>
            <w:pPr>
              <w:spacing w:after="0"/>
              <w:rPr>
                <w:sz w:val="20"/>
                <w:szCs w:val="20"/>
                <w:color w:val="auto"/>
              </w:rPr>
            </w:pPr>
            <w:r>
              <w:rPr>
                <w:rFonts w:ascii="Arial" w:cs="Arial" w:eastAsia="Arial" w:hAnsi="Arial"/>
                <w:sz w:val="18"/>
                <w:szCs w:val="18"/>
                <w:color w:val="auto"/>
              </w:rPr>
              <w:t>The following table sets forth operating income (loss) by segment:</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22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70"/>
              <w:spacing w:after="0" w:line="191" w:lineRule="exact"/>
              <w:rPr>
                <w:sz w:val="20"/>
                <w:szCs w:val="20"/>
                <w:color w:val="auto"/>
              </w:rPr>
            </w:pPr>
            <w:r>
              <w:rPr>
                <w:rFonts w:ascii="Arial" w:cs="Arial" w:eastAsia="Arial" w:hAnsi="Arial"/>
                <w:sz w:val="18"/>
                <w:szCs w:val="18"/>
                <w:b w:val="1"/>
                <w:bCs w:val="1"/>
                <w:color w:val="auto"/>
                <w:w w:val="99"/>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350"/>
              <w:spacing w:after="0" w:line="191" w:lineRule="exact"/>
              <w:rPr>
                <w:sz w:val="20"/>
                <w:szCs w:val="20"/>
                <w:color w:val="auto"/>
              </w:rPr>
            </w:pPr>
            <w:r>
              <w:rPr>
                <w:rFonts w:ascii="Arial" w:cs="Arial" w:eastAsia="Arial" w:hAnsi="Arial"/>
                <w:sz w:val="18"/>
                <w:szCs w:val="18"/>
                <w:b w:val="1"/>
                <w:bCs w:val="1"/>
                <w:color w:val="auto"/>
                <w:w w:val="97"/>
              </w:rPr>
              <w:t>APRIL 3,</w:t>
            </w: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6"/>
              </w:rPr>
              <w:t>MARCH 28,</w:t>
            </w:r>
          </w:p>
        </w:tc>
        <w:tc>
          <w:tcPr>
            <w:tcW w:w="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9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9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ind w:left="380"/>
              <w:spacing w:after="0" w:line="191" w:lineRule="exact"/>
              <w:rPr>
                <w:sz w:val="20"/>
                <w:szCs w:val="20"/>
                <w:color w:val="auto"/>
              </w:rPr>
            </w:pPr>
            <w:r>
              <w:rPr>
                <w:rFonts w:ascii="Arial" w:cs="Arial" w:eastAsia="Arial" w:hAnsi="Arial"/>
                <w:sz w:val="18"/>
                <w:szCs w:val="18"/>
                <w:b w:val="1"/>
                <w:bCs w:val="1"/>
                <w:color w:val="auto"/>
              </w:rPr>
              <w:t>(IN</w:t>
            </w:r>
          </w:p>
        </w:tc>
        <w:tc>
          <w:tcPr>
            <w:tcW w:w="86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1"/>
              </w:rPr>
              <w:t>MILLIONS)</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(IN</w:t>
            </w:r>
          </w:p>
        </w:tc>
        <w:tc>
          <w:tcPr>
            <w:tcW w:w="86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1"/>
              </w:rPr>
              <w:t>MILLIONS)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rPr>
              <w:t>(UNAUDITED)</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rPr>
              <w:t>(UNAUDITED)</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254.5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199.5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217.5</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164.0</w:t>
            </w: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Global Professional</w:t>
            </w:r>
          </w:p>
        </w:tc>
        <w:tc>
          <w:tcPr>
            <w:tcW w:w="10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8.4</w:t>
            </w:r>
          </w:p>
        </w:tc>
        <w:tc>
          <w:tcPr>
            <w:tcW w:w="5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(14.4)</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(21.3)</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Corporate &amp; Other</w:t>
            </w:r>
          </w:p>
        </w:tc>
        <w:tc>
          <w:tcPr>
            <w:tcW w:w="100" w:type="dxa"/>
            <w:vAlign w:val="bottom"/>
          </w:tcPr>
          <w:p>
            <w:pPr>
              <w:spacing w:after="0"/>
              <w:rPr>
                <w:sz w:val="18"/>
                <w:szCs w:val="18"/>
                <w:color w:val="auto"/>
              </w:rPr>
            </w:pP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(37.1)</w:t>
            </w:r>
          </w:p>
        </w:tc>
        <w:tc>
          <w:tcPr>
            <w:tcW w:w="5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(56.0)</w:t>
            </w:r>
          </w:p>
        </w:tc>
        <w:tc>
          <w:tcPr>
            <w:tcW w:w="5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Segment total</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210.7</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157.5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148.6</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102.7</w:t>
            </w: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100" w:type="dxa"/>
            <w:vAlign w:val="bottom"/>
          </w:tcPr>
          <w:p>
            <w:pPr>
              <w:spacing w:after="0"/>
              <w:rPr>
                <w:sz w:val="18"/>
                <w:szCs w:val="18"/>
                <w:color w:val="auto"/>
              </w:rPr>
            </w:pP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amortization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(5.2)</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3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Product registration and recall matters</w:t>
            </w:r>
          </w:p>
        </w:tc>
        <w:tc>
          <w:tcPr>
            <w:tcW w:w="100" w:type="dxa"/>
            <w:vAlign w:val="bottom"/>
          </w:tcPr>
          <w:p>
            <w:pPr>
              <w:spacing w:after="0"/>
              <w:rPr>
                <w:sz w:val="18"/>
                <w:szCs w:val="18"/>
                <w:color w:val="auto"/>
              </w:rPr>
            </w:pP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206.3</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146.4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138.7</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Global Consumer</w:t>
      </w:r>
    </w:p>
    <w:p>
      <w:pPr>
        <w:spacing w:after="0" w:line="189"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Global Consumer segment net sales were $1.01 billion for the second quarter and $1.23 billion for the first six months of fiscal 2010, an increase of 20.7% and 19.4% from the second quarter and first six months of fiscal 2009, respectively. The calendar shift increased Global Consumer net sales by 9.5% and 9.0%, respectively, for the three- and six-month periods ended April 3, 2010. Organic net sales after the impact of the calendar shift grew by 9.4% and 8.3% for the second quarter and first six months, respectively, driven by unit growth. We believe this growth was partially attributable to increased marketing efforts as well as continued support of the category by our retail partners. Price decreases on certain commodity and private label products, along with aggressive customer-focused promotional spending reduced net sales by 1.6% and 1.0% for the second quarter and first six months of fiscal 2010, respectively. Foreign exchange movements increased net sales by 1.7% and 1.9% for the second quarter and first six months of fiscal 2010, respectively.</w:t>
      </w:r>
    </w:p>
    <w:p>
      <w:pPr>
        <w:spacing w:after="0" w:line="141"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Organic net sales in the U.S. after the impact of the calendar shift increased 10.4% and 10.2% for the second quarter and first six months of fiscal 2010, respectively, driven by unit growth. Price decreases on certain commodity and private label products, along with aggressive customer-focused promotional spending reduced net sales by 2.0% and 1.5% for the second quarter and first six months of fiscal 2010, respectively. Consumer purchases of our products at our largest U.S. retailers (retail point-of-sale, or “POS”) increased by 4.5% and 7.2% for the quarter and first six months, respectively, driven by higher sales in nearly all major categories, led by growing media, grass seed, controls and lawn fertilizers. Organic net sales for International after the impact of the calendar shift increased by 4.5% and 0.4% for the second quarter and first six months of fiscal 2010, respectively. Pricing actions increased net sales by 0.5% and 1.1% for the second quarter and first six months of fiscal 2010, respectively. Net sales in the United Kingdom and Canada have increased in fiscal 2010 driven largely by new product launches and early purchases by retailers in advance of the peak selling season. Net sales in France and Central Europe were flat to slightly down.</w:t>
      </w:r>
    </w:p>
    <w:p>
      <w:pPr>
        <w:spacing w:after="0" w:line="142"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6"/>
          <w:szCs w:val="16"/>
          <w:color w:val="auto"/>
        </w:rPr>
        <w:t>Global Consumer segment operating income increased by $55.0 million and $53.5 million in the second quarter and first six months of fiscal 2010, respectively. The calendar shift increased Global Consumer operating income by $23.4 million and $25.1 million, respectively, for the three- and six-month periods ended April 3, 2010. Excluding the impact of the calendar shift and foreign exchange movements, Global Consumer segment operating income increased by $28.8 million and $26.2 million in the second quarter and first six months of fiscal 2010, respectively. The increase in operating income was driven by the increase in net sales accompanied by improvement in gross margin rates of 90 basis points and 60 basis points for the second quarter and first six months of fiscal 2010, respectively. The increase in gross margin rates was the result of more efficient freight costs, driven by strong sales volumes, and favorable product mix. The improvement in net sales and gross margin rates was partially offset by increases in SG&amp;A spending, primarily related to strategic investments in advertising, selling and marketing.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Global Professional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Global Professional segment net sales were $78.0 million for the second quarter and $133.4 million for the first six months of</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fiscal 2010, an increase of 15.4% and 5.0% from the second quarter and first six months of fiscal 2009, respectively. The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calendar shift increased Global Professional net sales by 1.8% and 2.4%, respectively, for the three- and six-month periods ended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April 3, 2010. Organic net sales after the impact of the calendar shift grew by 8.2% for the second quarter, and declined by 2.7%</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first six months. Organic net sales for the second quarter increased due to growth in unit volume for nearly all parts of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business. Organic net sales for the first six months of fiscal 2010 reflect reduced sales in the first quarter of fiscal 2010 as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customers delayed orders until closer to the peak selling season. Lower average selling prices decreased net sales by 9.2%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9.3% for the second quarter and first six months of fiscal 2010, respectively. Foreign exchange movements increased net sales by</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5.3% and 5.2% for the second quarter and first six months of fiscal 2010, respectively.</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Global Professional segment operating income declined by $0.1 million and $13.2 million in the second quarter and first six months of fiscal 2010, respectively. The calendar shift increased Global Professional operating income by $0.2 million and $0.8 million, respectively, for the three- and six-month periods ended April 3, 2010. Excluding the impact of the calendar shift and foreign exchange movements, Global Consumer segment operating income decreased by $0.7 million and $14.2 million in the second quarter and first six months of fiscal 2010, respectively. The decreases in operating income were driven primarily by lower gross profit due to the sell-through of inventory at older, more expensive commodity costs, as well as lower average selling prices.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Scotts LawnService</w:t>
      </w:r>
      <w:r>
        <w:rPr>
          <w:rFonts w:ascii="Arial" w:cs="Arial" w:eastAsia="Arial" w:hAnsi="Arial"/>
          <w:sz w:val="15"/>
          <w:szCs w:val="15"/>
          <w:b w:val="1"/>
          <w:bCs w:val="1"/>
          <w:color w:val="auto"/>
        </w:rPr>
        <w:t>®</w:t>
      </w:r>
    </w:p>
    <w:p>
      <w:pPr>
        <w:spacing w:after="0" w:line="18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Compared to the same periods in the prior fiscal year, Scotts LawnService</w:t>
      </w:r>
      <w:r>
        <w:rPr>
          <w:rFonts w:ascii="Arial" w:cs="Arial" w:eastAsia="Arial" w:hAnsi="Arial"/>
          <w:sz w:val="15"/>
          <w:szCs w:val="15"/>
          <w:color w:val="auto"/>
        </w:rPr>
        <w:t>®</w:t>
      </w:r>
      <w:r>
        <w:rPr>
          <w:rFonts w:ascii="Arial" w:cs="Arial" w:eastAsia="Arial" w:hAnsi="Arial"/>
          <w:sz w:val="18"/>
          <w:szCs w:val="18"/>
          <w:color w:val="auto"/>
        </w:rPr>
        <w:t xml:space="preserve"> revenues decreased by $2.2 million and $8.0 million in the second quarter and first six months of fiscal 2010, respectively. Excluding the impact of the calendar shift, Scotts LawnService</w:t>
      </w:r>
      <w:r>
        <w:rPr>
          <w:rFonts w:ascii="Arial" w:cs="Arial" w:eastAsia="Arial" w:hAnsi="Arial"/>
          <w:sz w:val="15"/>
          <w:szCs w:val="15"/>
          <w:color w:val="auto"/>
        </w:rPr>
        <w:t>®</w:t>
      </w:r>
      <w:r>
        <w:rPr>
          <w:rFonts w:ascii="Arial" w:cs="Arial" w:eastAsia="Arial" w:hAnsi="Arial"/>
          <w:sz w:val="18"/>
          <w:szCs w:val="18"/>
          <w:color w:val="auto"/>
        </w:rPr>
        <w:t xml:space="preserve"> revenues declined by $7.2 million and $13.0 million in the second quarter and first six months of fiscal 2010, respectively. The decline in revenues was driven primarily by decreased customer count, unfavorable weather conditions in certain markets, and a decline in customer purchases of a la carte services.</w:t>
      </w:r>
    </w:p>
    <w:p>
      <w:pPr>
        <w:spacing w:after="0" w:line="14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segment operating loss decreased by $1.7 million and $2.6 million in the second quarter and first six months of fiscal 2010, respectively. Excluding the impact of the calendar shift, Scotts LawnService</w:t>
      </w:r>
      <w:r>
        <w:rPr>
          <w:rFonts w:ascii="Arial" w:cs="Arial" w:eastAsia="Arial" w:hAnsi="Arial"/>
          <w:sz w:val="15"/>
          <w:szCs w:val="15"/>
          <w:color w:val="auto"/>
        </w:rPr>
        <w:t>®</w:t>
      </w:r>
      <w:r>
        <w:rPr>
          <w:rFonts w:ascii="Arial" w:cs="Arial" w:eastAsia="Arial" w:hAnsi="Arial"/>
          <w:sz w:val="18"/>
          <w:szCs w:val="18"/>
          <w:color w:val="auto"/>
        </w:rPr>
        <w:t xml:space="preserve"> segment operating loss decreased by $1.3 million and $1.8 million in the second quarter and first six months of fiscal 2010, respectively. The decreases were primarily driven by lower input costs, improved labor productivity and lower SG&amp;A spending that offset the decline in revenues.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&amp; Other</w:t>
      </w:r>
    </w:p>
    <w:p>
      <w:pPr>
        <w:spacing w:after="0" w:line="189"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The net operating loss for the Corporate &amp; Other segment increased by $3.4 million in the second quarter of fiscal 2010 as compared to the second quarter of fiscal 2009, partially due to increased equity-based compensation expense driven by the acceleration of expense for key employees whose equity awards vest in fiscal 2010 upon meeting age and service requirements. The net operating loss for Corporate &amp; Other decreased by $3.0 million in the first six months of fiscal 2010 compared to the same period in fiscal 2009, primarily related to gains recorded for the sale of property, plant and equipment in the first quarter of fiscal 2010, as well as decreases in variable compensation and third-party legal fees.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LIQUIDITY AND CAPITAL RESOURCES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Activities</w:t>
      </w:r>
    </w:p>
    <w:p>
      <w:pPr>
        <w:spacing w:after="0" w:line="189"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Cash used in operating activities amounted to $611.4 million and $618.9 million for the six months ended April 3, 2010 and March 28, 2009, respectively. The use of cash in the first six months of our fiscal year is due to the seasonal nature of our operations. We build inventories in preparation for the spring selling season and accounts receivable increase significantly due to heavy March shipments. The decrease in the use of cash for operating activities during the first half of fiscal 2010 compared to the first half of fiscal 2009 is primarily due to higher net income, partially offset by the first quarter fiscal 2010 payment of variable compensation earned in the prior fiscal year, which was significantly higher than variable compensation paid in the first quarter of fiscal 2009.</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Activities</w:t>
      </w:r>
    </w:p>
    <w:p>
      <w:pPr>
        <w:spacing w:after="0" w:line="202"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Cash used in investing activities was $14.3 million and $28.6 million for the six months ended April 3, 2010 and March 28, 2009, respectively. During the first quarter of fiscal 2010, we received $23.6 million related to the sale of long-lived assets, including the sale of the intellectual property of Smith &amp; Hawken to an unrelated third party, in addition to the sale of certain property, plant and equipment. Capital spending increased from $20.1 million in the first half of fiscal 2009 to $37.9 million in the first half of fiscal 2010. A large portion of the growth relates to additional production capacity being added for a key input to our consumer grass seed business. We had acquisition activity in the first half of fiscal 2009 totaling $9.3 million. There was no acquisition activity in the first half of fiscal 2010.</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Financing Activities</w:t>
      </w:r>
    </w:p>
    <w:p>
      <w:pPr>
        <w:spacing w:after="0" w:line="189"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Financing activities provided cash of $597.1 million and $611.9 million for the six months ended April 3, 2010 and March 28, 2009, respectively. The cash provided by financing activities reflects borrowing activity primarily to support seasonal investment in working capital. In addition, financing activities included the issuance of the Senior Notes on January 14, 2010, the proceeds of which were used to reduce outstanding borrowings under our senior secured revolving credit facility. The decrease in net cash provided by financing activities in the first half of fiscal 2010 is primarily due to a decrease in net borrowings partially offset by an increase in cash received from the exercise of stock options.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Borrowing Agreements</w:t>
      </w:r>
    </w:p>
    <w:p>
      <w:pPr>
        <w:spacing w:after="0" w:line="202" w:lineRule="exact"/>
        <w:rPr>
          <w:sz w:val="20"/>
          <w:szCs w:val="20"/>
          <w:color w:val="auto"/>
        </w:rPr>
      </w:pPr>
    </w:p>
    <w:p>
      <w:pPr>
        <w:jc w:val="both"/>
        <w:ind w:left="340" w:right="559"/>
        <w:spacing w:after="0" w:line="253" w:lineRule="auto"/>
        <w:rPr>
          <w:sz w:val="20"/>
          <w:szCs w:val="20"/>
          <w:color w:val="auto"/>
        </w:rPr>
      </w:pPr>
      <w:r>
        <w:rPr>
          <w:rFonts w:ascii="Arial" w:cs="Arial" w:eastAsia="Arial" w:hAnsi="Arial"/>
          <w:sz w:val="18"/>
          <w:szCs w:val="18"/>
          <w:color w:val="auto"/>
        </w:rPr>
        <w:t>Our primary sources of liquidity are cash generated by operations and borrowings under our credit agreements. In February 2007, Scotts Miracle-Gro and certain of its subsidiaries entered into the following senior secured credit facilities totaling up to $2.15 billion in the aggregate: (a) a senior secured five-year term loan facility in the principal amount of $560 million and (b) a senior secured five-year revolving loan facility in the aggregate principal amount of up to $1.59 billion. Under our current structure, we may request an additional $200 million in revolving credit and/or term credit commitments, subject to approval from our lenders. Borrowings may be made in various currencies including U.S. dollars, Euros, British pounds, Australian dollars and Canadian dollars. Amortization payments on the term loan portion of the credit facilities began on September 30, 2007 and are due quarterly through 2012. As of April 3, 2010, the cumulative total amortization payments on the term loan were $173.6 million, reducing the balance of our term loan and effectively reducing the amount outstanding under the credit facilities.</w:t>
      </w:r>
    </w:p>
    <w:p>
      <w:pPr>
        <w:spacing w:after="0" w:line="154"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As of April 3, 2010, there was $837.6 million of availability under the senior secured credit facilities, including letters of credit. Under the revolving loan facility, we have the ability to issue letter of credit commitments up to $65 million. At April 3, 2010, we had letters of credit in the aggregate face amount of $31.7 million outstanding.</w:t>
      </w:r>
    </w:p>
    <w:p>
      <w:pPr>
        <w:spacing w:after="0" w:line="141" w:lineRule="exact"/>
        <w:rPr>
          <w:sz w:val="20"/>
          <w:szCs w:val="20"/>
          <w:color w:val="auto"/>
        </w:rPr>
      </w:pPr>
    </w:p>
    <w:p>
      <w:pPr>
        <w:jc w:val="both"/>
        <w:ind w:left="340" w:right="559"/>
        <w:spacing w:after="0" w:line="283" w:lineRule="auto"/>
        <w:rPr>
          <w:sz w:val="20"/>
          <w:szCs w:val="20"/>
          <w:color w:val="auto"/>
        </w:rPr>
      </w:pPr>
      <w:r>
        <w:rPr>
          <w:rFonts w:ascii="Arial" w:cs="Arial" w:eastAsia="Arial" w:hAnsi="Arial"/>
          <w:sz w:val="16"/>
          <w:szCs w:val="16"/>
          <w:color w:val="auto"/>
        </w:rPr>
        <w:t>On January 14, 2010, Scotts Miracle-Gro issued $200 million aggregate principal amount of 7.25% Senior Notes, the proceeds of which were used to reduce outstanding borrowings under our senior secured revolving credit facility. The Senior Notes represent general unsecured senior obligations of Scotts Miracle-Gro, and were sold to the public at 99.254% of the principal amount thereof, to yield 7.375% to maturity. The Senior Notes have interest payment dates of January 15 and July 15, commencing July 15, 2010, and may be redeemed prior to maturity at applicable redemption premiums. The Senior Notes contain usual and customary incurrence-based covenants, which include, but are not limited to, restrictions on the incurrence of additional indebtedness, the incurrence of liens and the issuance of certain preferred shares, and the making of certain distributions, investments and other restricted payments, as well as other usual and customary covenants, which include, but are not limited to, restrictions on sale and leaseback transactions, restrictions on purchases for or redemptions of Company stock and prepayments of subordinated debt, limitations on asset sales and restrictions on transactions with affiliates. The Senior Notes mature on January 15, 2018. Certain of Scotts Miracle-Gro’s domestic subsidiaries serve as guarantors of the Senior Notes. Refer to “NOTE</w:t>
      </w:r>
    </w:p>
    <w:p>
      <w:pPr>
        <w:spacing w:after="0" w:line="5" w:lineRule="exact"/>
        <w:rPr>
          <w:sz w:val="20"/>
          <w:szCs w:val="20"/>
          <w:color w:val="auto"/>
        </w:rPr>
      </w:pPr>
    </w:p>
    <w:p>
      <w:pPr>
        <w:ind w:left="340" w:right="559" w:hanging="8"/>
        <w:spacing w:after="0" w:line="261" w:lineRule="auto"/>
        <w:tabs>
          <w:tab w:leader="none" w:pos="671"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INFORMATION FOR SUBSIDIARY GUARANTORS AND NON-GUARANTORS” of the Notes to Condensed, Consolidated Financial Statements for more information regarding the guarantor entities.</w:t>
      </w:r>
    </w:p>
    <w:p>
      <w:pPr>
        <w:spacing w:after="0" w:line="157"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At April 3, 2010, we had outstanding interest rate swap agreements with major financial institutions that effectively converted a portion of our variable-rate debt denominated in U.S. dollars to a fixed rate. Interest payments made between the effective date and expiration date are hedged by the swap agreements, except as noted below. The effective dates, expiration dates and rates of these swap agreements are shown in the table below.</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292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NOTIONAL AMOUNT</w:t>
            </w:r>
          </w:p>
        </w:tc>
        <w:tc>
          <w:tcPr>
            <w:tcW w:w="21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EFFECTIVE</w:t>
            </w:r>
          </w:p>
        </w:tc>
        <w:tc>
          <w:tcPr>
            <w:tcW w:w="23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rPr>
              <w:t>EXPIRATION</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FIXED</w:t>
            </w:r>
          </w:p>
        </w:tc>
      </w:tr>
      <w:tr>
        <w:trPr>
          <w:trHeight w:val="234"/>
        </w:trPr>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(IN MILLIONS)</w:t>
            </w:r>
          </w:p>
        </w:tc>
        <w:tc>
          <w:tcPr>
            <w:tcW w:w="7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 (a)</w:t>
            </w:r>
          </w:p>
        </w:tc>
        <w:tc>
          <w:tcPr>
            <w:tcW w:w="58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5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RATE</w:t>
            </w:r>
          </w:p>
        </w:tc>
        <w:tc>
          <w:tcPr>
            <w:tcW w:w="220" w:type="dxa"/>
            <w:vAlign w:val="bottom"/>
          </w:tcPr>
          <w:p>
            <w:pPr>
              <w:spacing w:after="0"/>
              <w:rPr>
                <w:sz w:val="20"/>
                <w:szCs w:val="20"/>
                <w:color w:val="auto"/>
              </w:rPr>
            </w:pPr>
          </w:p>
        </w:tc>
      </w:tr>
      <w:tr>
        <w:trPr>
          <w:trHeight w:val="210"/>
        </w:trPr>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200</w:t>
            </w:r>
          </w:p>
        </w:tc>
        <w:tc>
          <w:tcPr>
            <w:tcW w:w="2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2/14/2007</w:t>
            </w:r>
          </w:p>
        </w:tc>
        <w:tc>
          <w:tcPr>
            <w:tcW w:w="2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2/14/2012</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w:t>
            </w:r>
          </w:p>
        </w:tc>
      </w:tr>
      <w:tr>
        <w:trPr>
          <w:trHeight w:val="216"/>
        </w:trPr>
        <w:tc>
          <w:tcPr>
            <w:tcW w:w="180" w:type="dxa"/>
            <w:vAlign w:val="bottom"/>
          </w:tcPr>
          <w:p>
            <w:pPr>
              <w:spacing w:after="0"/>
              <w:rPr>
                <w:sz w:val="18"/>
                <w:szCs w:val="18"/>
                <w:color w:val="auto"/>
              </w:rPr>
            </w:pPr>
          </w:p>
        </w:tc>
        <w:tc>
          <w:tcPr>
            <w:tcW w:w="2920" w:type="dxa"/>
            <w:vAlign w:val="bottom"/>
            <w:gridSpan w:val="2"/>
          </w:tcPr>
          <w:p>
            <w:pPr>
              <w:jc w:val="right"/>
              <w:ind w:right="700"/>
              <w:spacing w:after="0"/>
              <w:rPr>
                <w:sz w:val="20"/>
                <w:szCs w:val="20"/>
                <w:color w:val="auto"/>
              </w:rPr>
            </w:pPr>
            <w:r>
              <w:rPr>
                <w:rFonts w:ascii="Arial" w:cs="Arial" w:eastAsia="Arial" w:hAnsi="Arial"/>
                <w:sz w:val="18"/>
                <w:szCs w:val="18"/>
                <w:color w:val="auto"/>
              </w:rPr>
              <w:t>50</w:t>
            </w:r>
          </w:p>
        </w:tc>
        <w:tc>
          <w:tcPr>
            <w:tcW w:w="2180" w:type="dxa"/>
            <w:vAlign w:val="bottom"/>
            <w:gridSpan w:val="2"/>
          </w:tcPr>
          <w:p>
            <w:pPr>
              <w:jc w:val="right"/>
              <w:ind w:right="580"/>
              <w:spacing w:after="0"/>
              <w:rPr>
                <w:sz w:val="20"/>
                <w:szCs w:val="20"/>
                <w:color w:val="auto"/>
              </w:rPr>
            </w:pPr>
            <w:r>
              <w:rPr>
                <w:rFonts w:ascii="Arial" w:cs="Arial" w:eastAsia="Arial" w:hAnsi="Arial"/>
                <w:sz w:val="18"/>
                <w:szCs w:val="18"/>
                <w:color w:val="auto"/>
              </w:rPr>
              <w:t>2/14/2012</w:t>
            </w:r>
          </w:p>
        </w:tc>
        <w:tc>
          <w:tcPr>
            <w:tcW w:w="2300" w:type="dxa"/>
            <w:vAlign w:val="bottom"/>
            <w:gridSpan w:val="2"/>
          </w:tcPr>
          <w:p>
            <w:pPr>
              <w:jc w:val="right"/>
              <w:ind w:right="580"/>
              <w:spacing w:after="0"/>
              <w:rPr>
                <w:sz w:val="20"/>
                <w:szCs w:val="20"/>
                <w:color w:val="auto"/>
              </w:rPr>
            </w:pPr>
            <w:r>
              <w:rPr>
                <w:rFonts w:ascii="Arial" w:cs="Arial" w:eastAsia="Arial" w:hAnsi="Arial"/>
                <w:sz w:val="18"/>
                <w:szCs w:val="18"/>
                <w:color w:val="auto"/>
              </w:rPr>
              <w:t>2/14/2016</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r>
      <w:tr>
        <w:trPr>
          <w:trHeight w:val="216"/>
        </w:trPr>
        <w:tc>
          <w:tcPr>
            <w:tcW w:w="18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150(b)</w:t>
            </w:r>
          </w:p>
        </w:tc>
        <w:tc>
          <w:tcPr>
            <w:tcW w:w="2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11/16/2009</w:t>
            </w:r>
          </w:p>
        </w:tc>
        <w:tc>
          <w:tcPr>
            <w:tcW w:w="2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5/16/2016</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w:t>
            </w:r>
          </w:p>
        </w:tc>
      </w:tr>
      <w:tr>
        <w:trPr>
          <w:trHeight w:val="230"/>
        </w:trPr>
        <w:tc>
          <w:tcPr>
            <w:tcW w:w="180" w:type="dxa"/>
            <w:vAlign w:val="bottom"/>
          </w:tcPr>
          <w:p>
            <w:pPr>
              <w:spacing w:after="0"/>
              <w:rPr>
                <w:sz w:val="20"/>
                <w:szCs w:val="20"/>
                <w:color w:val="auto"/>
              </w:rPr>
            </w:pPr>
          </w:p>
        </w:tc>
        <w:tc>
          <w:tcPr>
            <w:tcW w:w="2920" w:type="dxa"/>
            <w:vAlign w:val="bottom"/>
            <w:gridSpan w:val="2"/>
          </w:tcPr>
          <w:p>
            <w:pPr>
              <w:jc w:val="right"/>
              <w:ind w:right="500"/>
              <w:spacing w:after="0"/>
              <w:rPr>
                <w:sz w:val="20"/>
                <w:szCs w:val="20"/>
                <w:color w:val="auto"/>
              </w:rPr>
            </w:pPr>
            <w:r>
              <w:rPr>
                <w:rFonts w:ascii="Arial" w:cs="Arial" w:eastAsia="Arial" w:hAnsi="Arial"/>
                <w:sz w:val="18"/>
                <w:szCs w:val="18"/>
                <w:color w:val="auto"/>
              </w:rPr>
              <w:t>50(c)</w:t>
            </w:r>
          </w:p>
        </w:tc>
        <w:tc>
          <w:tcPr>
            <w:tcW w:w="2180" w:type="dxa"/>
            <w:vAlign w:val="bottom"/>
            <w:gridSpan w:val="2"/>
          </w:tcPr>
          <w:p>
            <w:pPr>
              <w:jc w:val="right"/>
              <w:ind w:right="580"/>
              <w:spacing w:after="0"/>
              <w:rPr>
                <w:sz w:val="20"/>
                <w:szCs w:val="20"/>
                <w:color w:val="auto"/>
              </w:rPr>
            </w:pPr>
            <w:r>
              <w:rPr>
                <w:rFonts w:ascii="Arial" w:cs="Arial" w:eastAsia="Arial" w:hAnsi="Arial"/>
                <w:sz w:val="18"/>
                <w:szCs w:val="18"/>
                <w:color w:val="auto"/>
              </w:rPr>
              <w:t>2/16/2010</w:t>
            </w:r>
          </w:p>
        </w:tc>
        <w:tc>
          <w:tcPr>
            <w:tcW w:w="2300" w:type="dxa"/>
            <w:vAlign w:val="bottom"/>
            <w:gridSpan w:val="2"/>
          </w:tcPr>
          <w:p>
            <w:pPr>
              <w:jc w:val="right"/>
              <w:ind w:right="580"/>
              <w:spacing w:after="0"/>
              <w:rPr>
                <w:sz w:val="20"/>
                <w:szCs w:val="20"/>
                <w:color w:val="auto"/>
              </w:rPr>
            </w:pPr>
            <w:r>
              <w:rPr>
                <w:rFonts w:ascii="Arial" w:cs="Arial" w:eastAsia="Arial" w:hAnsi="Arial"/>
                <w:sz w:val="18"/>
                <w:szCs w:val="18"/>
                <w:color w:val="auto"/>
              </w:rPr>
              <w:t>5/16/2016</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r>
    </w:tbl>
    <w:p>
      <w:pPr>
        <w:spacing w:after="0" w:line="93" w:lineRule="exact"/>
        <w:rPr>
          <w:sz w:val="20"/>
          <w:szCs w:val="20"/>
          <w:color w:val="auto"/>
        </w:rPr>
      </w:pPr>
    </w:p>
    <w:p>
      <w:pPr>
        <w:ind w:left="680" w:hanging="348"/>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effective date refers to the date on which interest payments are first hedged by the applicable swap contract.</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beginning November 14 of each year between the effective date and expiration date are hedged by the swap contract.</w:t>
      </w:r>
    </w:p>
    <w:p>
      <w:pPr>
        <w:spacing w:after="0" w:line="21" w:lineRule="exact"/>
        <w:rPr>
          <w:rFonts w:ascii="Arial" w:cs="Arial" w:eastAsia="Arial" w:hAnsi="Arial"/>
          <w:sz w:val="18"/>
          <w:szCs w:val="18"/>
          <w:color w:val="auto"/>
        </w:rPr>
      </w:pPr>
    </w:p>
    <w:p>
      <w:pPr>
        <w:ind w:left="680" w:right="559" w:hanging="348"/>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beginning February 14 of each year between the effective date and expiration date are hedged by the swap contract.</w:t>
      </w:r>
    </w:p>
    <w:p>
      <w:pPr>
        <w:spacing w:after="0" w:line="130"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On April 9, 2008, we entered into a Master Accounts Receivable Purchase Agreement (the “2008 MARP Agreement”). The 2008 MARP Agreement provided for the discounted sale, on a revolving basis, of accounts receivable generated by specified account debtors, with seasonally adjusted monthly aggregate limits ranging from $10 million to $300 million. The 2008 MARP Agreement also provided for specified account debtor sublimit amounts, which provided limits on the amount of receivables owed by individual account debtors that could be sold to the banks. The 2008 MARP Agreement provided an interest rate that approximated the 7-day LIBOR rate plus 85 basis points. The 2008 MARP Agreement expired by its terms on April 8, 2009.</w:t>
      </w:r>
    </w:p>
    <w:p>
      <w:pPr>
        <w:spacing w:after="0" w:line="124"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On May 1, 2009, we entered into a Master Accounts Receivable Purchase Agreement (the “2009 MARP Agreement”), with an initial stated termination date of May 1, 2010, or such later date as may be mutually agreed by us and our lender. The 2009 MARP Agreement provided for the discounted sale, on an uncommitted, revolving basis, of accounts receivable generated by a specified account debtor, with aggregate limits not to exceed $80 million. The 2009 MARP Agreement provided an interest rate that approximated the 7-day LIBOR rate plus 225 basis points. Borrowings under the 2009 MARP Agreement at April 3, 2010 were $72.3 million.</w:t>
      </w:r>
    </w:p>
    <w:p>
      <w:pPr>
        <w:spacing w:after="0" w:line="166"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On May 13, 2010, we entered into a First Amendment (the “First Amendment”) to the 2009 MARP Agreement with our lender. The First Amendment, which has an effective date of May 1, 2010, extended the stated termination date of the 2009 MARP Agreement through May 12, 2011, or such later date as may be mutually agreed by us and our lender. The 2009 MARP Agreement, as amended by the First Amendment, provides an interest rate that approximates the 7-day LIBOR rate plus 125 basis points. The First Amendment did not otherwise modify any substantive provisions of the 2009 MARP Agreement.</w:t>
      </w:r>
    </w:p>
    <w:p>
      <w:pPr>
        <w:sectPr>
          <w:pgSz w:w="11900" w:h="16838" w:orient="portrait"/>
          <w:cols w:equalWidth="0" w:num="1">
            <w:col w:w="10219"/>
          </w:cols>
          <w:pgMar w:left="240" w:top="419" w:right="1440" w:bottom="82"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2"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Contingent consideration related to our May 2006 acquisition of certain brands and assets of Turf-Seed, Inc., a leading producer of quality commercial turfgrasses, is due to the seller in the second half of fiscal 2012. Payment is largely based on the performance of the Company’s consumer and professional seed business for the twelve-month period ending May 16, 2012.</w:t>
      </w:r>
    </w:p>
    <w:p>
      <w:pPr>
        <w:spacing w:after="0" w:line="120"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As of April 3, 2010, we were in compliance with all debt covenants. Our senior secured credit facilities contain, among other obligations, an affirmative covenant regarding our leverage ratio, calculated as indebtedness relative to our earnings before interest, taxes, depreciation and amortization. Under the terms of the senior secured credit facilities, the maximum leverage ratio was 3.75 as of April 3, 2010 and is scheduled to decrease to 3.50 on September 30, 2010. Our senior secured credit facilities also include an affirmative covenant regarding our interest coverage. Under the terms of the senior secured credit facilities, the minimum interest coverage ratio was 3.50 for the twelve months ended April 3, 2010. We continue to monitor our compliance with the leverage ratio, interest coverage ratio and other covenants contained in the senior secured credit facilities and, based upon our current operating assumptions, we expect to remain in compliance with the permissible leverage ratio and interest coverage ratio throughout fiscal 2010. However, an unanticipated charge to earnings, an increase in debt or other factors could materially adversely affect our ability to remain in compliance with the financial or other covenants of our senior secured credit facilities, potentially causing us to have to seek an amendment or waiver from our lending group which could result in repricing of our senior secured credit facilities. While we believe we have good relationships with our banking group, we can provide no assurance that such a request would be likely to result in a modified or replacement credit facility on reasonable terms, if at all.</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Judicial and Administrative Proceedings</w:t>
      </w:r>
    </w:p>
    <w:p>
      <w:pPr>
        <w:spacing w:after="0" w:line="189"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Apart from the proceedings surrounding the FIFRA compliance matters, which are discussed separately, 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adverse effect on our financial condition, results of operations or cash flows; however, there can be no assurance that future quarterly or annual operating results will not be materially affected by final resolution of these matters.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2010,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REGULATORY MATTERS</w:t>
      </w:r>
    </w:p>
    <w:p>
      <w:pPr>
        <w:spacing w:after="0" w:line="198"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Apart from the proceedings surrounding the FIFRA compliance matters, which are discussed separately, we are involved in several legal actions with various governmental agencies related to environmental matters, including those described in “NOTE 11. CONTINGENCIES” of the Notes to Condensed, Consolidated Financial Statements.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Scotts Miracle Gro’s Annual Report on Form 10-K for the fiscal year ended September 30, 2009, under “ITEM 1. BUSINESS — Regulatory Considerations,” “ITEM 1. BUSINESS — FIFRA Compliance, the Corresponding Governmental Investigations and Similar Matters,” “ITEM 1. BUSINESS — Other Regulatory Matters” and “ITEM 3. LEGAL PROCEEDINGS.”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CRITICAL ACCOUNTING POLICIES AND ESTIMATES</w:t>
      </w:r>
    </w:p>
    <w:p>
      <w:pPr>
        <w:spacing w:after="0" w:line="18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Scotts Miracle-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Gro’s Annual Report on Form 10-K for the fiscal year ended September 30, 2009 includes additional information about us, our operations, our financial condition, our critical accounting policies and accounting estimates, and should be read in conjunction with this Quarterly Report on Form 10-Q.</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8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Market risks have not changed significantly from those disclosed in Scotts Miracle-Gro’s Annual Report on Form 10-K for the fiscal year ended September 30, 2009.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CONTROLS AND PROCEDURES</w:t>
      </w:r>
    </w:p>
    <w:p>
      <w:pPr>
        <w:spacing w:after="0" w:line="198"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With the participation of the principal executive officer and principal financial officer of The Scotts Miracle-Gro Company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w:t>
      </w:r>
    </w:p>
    <w:p>
      <w:pPr>
        <w:spacing w:after="0" w:line="132" w:lineRule="exact"/>
        <w:rPr>
          <w:sz w:val="20"/>
          <w:szCs w:val="20"/>
          <w:color w:val="auto"/>
        </w:rPr>
      </w:pPr>
    </w:p>
    <w:p>
      <w:pPr>
        <w:jc w:val="both"/>
        <w:ind w:left="340" w:right="559" w:hanging="8"/>
        <w:spacing w:after="0" w:line="259" w:lineRule="auto"/>
        <w:tabs>
          <w:tab w:leader="none" w:pos="6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required to be disclosed by the Registrant in this Quarterly Report on Form 10-Q and the other reports that the Registrant files or submits under the Exchange Act has been accumulated and communicated to the Registrant’s management, including its principal executive officer and principal financial officer, as appropriate to allow timely decisions regarding required disclosure;</w:t>
      </w:r>
    </w:p>
    <w:p>
      <w:pPr>
        <w:spacing w:after="0" w:line="146" w:lineRule="exact"/>
        <w:rPr>
          <w:rFonts w:ascii="Arial" w:cs="Arial" w:eastAsia="Arial" w:hAnsi="Arial"/>
          <w:sz w:val="18"/>
          <w:szCs w:val="18"/>
          <w:color w:val="auto"/>
        </w:rPr>
      </w:pPr>
    </w:p>
    <w:p>
      <w:pPr>
        <w:jc w:val="both"/>
        <w:ind w:left="340" w:right="559" w:hanging="8"/>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required to be disclosed by the Registrant in this Quarterly Report on Form 10-Q and the other reports that the Registrant files or submits under the Exchange Act has been recorded, processed, summarized and reported within the time periods specified in the SEC’s rules and forms; and</w:t>
      </w:r>
    </w:p>
    <w:p>
      <w:pPr>
        <w:spacing w:after="0" w:line="154" w:lineRule="exact"/>
        <w:rPr>
          <w:rFonts w:ascii="Arial" w:cs="Arial" w:eastAsia="Arial" w:hAnsi="Arial"/>
          <w:sz w:val="18"/>
          <w:szCs w:val="18"/>
          <w:color w:val="auto"/>
        </w:rPr>
      </w:pPr>
    </w:p>
    <w:p>
      <w:pPr>
        <w:ind w:left="340" w:right="559" w:hanging="8"/>
        <w:spacing w:after="0" w:line="277" w:lineRule="auto"/>
        <w:tabs>
          <w:tab w:leader="none" w:pos="6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disclosure controls and procedures were effective as of the end of the fiscal quarter covered by this Quarterly Report on Form 10-Q.</w:t>
      </w:r>
    </w:p>
    <w:p>
      <w:pPr>
        <w:spacing w:after="0" w:line="130"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In addition, there were no changes in the Registrant’s internal control over financial reporting (as defined in Rule 13a-15(f) under the Exchange Act) that occurred during the Registrant’s fiscal quarter ended April 3, 2010 that have materially affected, or are reasonably likely to materially affect, the Registrant’s internal control over financial reporting.</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 —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Other than as discussed in “NOTE 3. PRODUCT REGISTRATION AND RECALL MATTERS” and “NOTE 11. CONTINGENCIES” of the Notes to Condensed, Consolidated Financial Statements, pending material legal proceedings have not changed significantly since those disclosed in Scotts Miracle-Gro’s Annual Report on Form 10-K for the fiscal year ended September 30, 2009.</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1A. RISK FACTORS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89"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have made and will make “forward-looking statements” within the meaning of Section 27A of the Securities Act of 1933, as amended, and Section 21E of the Securities Exchange Act of 1934, as amended, in this Quarterly Report on Form 10-Q and in other contexts relating to matters including future growth and profitability targets and strategies designed to increase total shareholder value. Forward-looking statements also include, but are not limited to, information regarding our future economic and financial condition and results of operations, the plans and objectives of our management and our assumptions regarding our performance and these plans and objectives.</w:t>
      </w:r>
    </w:p>
    <w:p>
      <w:pPr>
        <w:spacing w:after="0" w:line="153"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6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Some forward-looking statements that we make in this Quarterly Report on Form 10-Q and in other contexts represent challenging goals for the Company, and the achievement of these goals is subject to a variety of risks and assumptions and numerous factors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beyond our control. Important factors that could cause actual results to differ materially from the forward-looking statements we make are included in “ITEM 1A. RISK FACTORS” in Scotts Miracle-Gro’s Quarterly Report on Form 10-Q for the quarterly period ended January 2, 2010. All forward-looking statements attributable to us or persons working on our behalf are expressly qualified in their entirety by those cautionary statements.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Issuer Purchases of Equity Securities</w:t>
      </w:r>
    </w:p>
    <w:p>
      <w:pPr>
        <w:spacing w:after="0" w:line="185"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The following table shows the purchases of common shares of Scotts Miracle-Gro (“Common Shares”) made by or on behalf of Scotts Miracle-Gro or any “affiliated purchaser” (as defined in Rule 10b-18(a)(3) under the Securities Exchange Act of 1934, as amended) of Scotts Miracle-Gro for each fiscal month in the three months ended April 3, 2010: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 Number of</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 Shares</w:t>
            </w:r>
          </w:p>
        </w:tc>
        <w:tc>
          <w:tcPr>
            <w:tcW w:w="1760" w:type="dxa"/>
            <w:vAlign w:val="bottom"/>
            <w:gridSpan w:val="2"/>
          </w:tcPr>
          <w:p>
            <w:pPr>
              <w:spacing w:after="0"/>
              <w:rPr>
                <w:sz w:val="20"/>
                <w:szCs w:val="20"/>
                <w:color w:val="auto"/>
              </w:rPr>
            </w:pPr>
            <w:r>
              <w:rPr>
                <w:rFonts w:ascii="Arial" w:cs="Arial" w:eastAsia="Arial" w:hAnsi="Arial"/>
                <w:sz w:val="18"/>
                <w:szCs w:val="18"/>
                <w:b w:val="1"/>
                <w:bCs w:val="1"/>
                <w:color w:val="auto"/>
                <w:w w:val="97"/>
              </w:rPr>
              <w:t>Maximum Number of</w:t>
            </w:r>
          </w:p>
        </w:tc>
      </w:tr>
      <w:tr>
        <w:trPr>
          <w:trHeight w:val="216"/>
        </w:trPr>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Average Price</w:t>
            </w: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Purchased as</w:t>
            </w:r>
          </w:p>
        </w:tc>
        <w:tc>
          <w:tcPr>
            <w:tcW w:w="1760" w:type="dxa"/>
            <w:vAlign w:val="bottom"/>
            <w:gridSpan w:val="2"/>
          </w:tcPr>
          <w:p>
            <w:pPr>
              <w:spacing w:after="0"/>
              <w:rPr>
                <w:sz w:val="20"/>
                <w:szCs w:val="20"/>
                <w:color w:val="auto"/>
              </w:rPr>
            </w:pPr>
            <w:r>
              <w:rPr>
                <w:rFonts w:ascii="Arial" w:cs="Arial" w:eastAsia="Arial" w:hAnsi="Arial"/>
                <w:sz w:val="18"/>
                <w:szCs w:val="18"/>
                <w:b w:val="1"/>
                <w:bCs w:val="1"/>
                <w:color w:val="auto"/>
                <w:w w:val="93"/>
              </w:rPr>
              <w:t>Common Shares That</w:t>
            </w:r>
          </w:p>
        </w:tc>
      </w:tr>
      <w:tr>
        <w:trPr>
          <w:trHeight w:val="216"/>
        </w:trPr>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Total Number of</w:t>
            </w:r>
          </w:p>
        </w:tc>
        <w:tc>
          <w:tcPr>
            <w:tcW w:w="200" w:type="dxa"/>
            <w:vAlign w:val="bottom"/>
          </w:tcPr>
          <w:p>
            <w:pPr>
              <w:spacing w:after="0"/>
              <w:rPr>
                <w:sz w:val="18"/>
                <w:szCs w:val="18"/>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Paid</w:t>
            </w: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Part of Publicly</w:t>
            </w:r>
          </w:p>
        </w:tc>
        <w:tc>
          <w:tcPr>
            <w:tcW w:w="1760" w:type="dxa"/>
            <w:vAlign w:val="bottom"/>
            <w:gridSpan w:val="2"/>
          </w:tcPr>
          <w:p>
            <w:pPr>
              <w:ind w:left="400"/>
              <w:spacing w:after="0"/>
              <w:rPr>
                <w:sz w:val="20"/>
                <w:szCs w:val="20"/>
                <w:color w:val="auto"/>
              </w:rPr>
            </w:pPr>
            <w:r>
              <w:rPr>
                <w:rFonts w:ascii="Arial" w:cs="Arial" w:eastAsia="Arial" w:hAnsi="Arial"/>
                <w:sz w:val="18"/>
                <w:szCs w:val="18"/>
                <w:b w:val="1"/>
                <w:bCs w:val="1"/>
                <w:color w:val="auto"/>
              </w:rPr>
              <w:t>May Yet Be</w:t>
            </w:r>
          </w:p>
        </w:tc>
      </w:tr>
      <w:tr>
        <w:trPr>
          <w:trHeight w:val="216"/>
        </w:trPr>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Common Shares</w:t>
            </w: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per Common</w:t>
            </w: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Announced Plans or</w:t>
            </w:r>
          </w:p>
        </w:tc>
        <w:tc>
          <w:tcPr>
            <w:tcW w:w="176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Purchased Under the</w:t>
            </w:r>
          </w:p>
        </w:tc>
      </w:tr>
      <w:tr>
        <w:trPr>
          <w:trHeight w:val="234"/>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260" w:type="dxa"/>
            <w:vAlign w:val="bottom"/>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Share</w:t>
            </w:r>
          </w:p>
        </w:tc>
        <w:tc>
          <w:tcPr>
            <w:tcW w:w="2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240" w:type="dxa"/>
            <w:vAlign w:val="bottom"/>
          </w:tcPr>
          <w:p>
            <w:pPr>
              <w:spacing w:after="0"/>
              <w:rPr>
                <w:sz w:val="20"/>
                <w:szCs w:val="20"/>
                <w:color w:val="auto"/>
              </w:rPr>
            </w:pPr>
          </w:p>
        </w:tc>
        <w:tc>
          <w:tcPr>
            <w:tcW w:w="16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6"/>
              </w:rPr>
              <w:t>Plans or Programs</w:t>
            </w:r>
          </w:p>
        </w:tc>
        <w:tc>
          <w:tcPr>
            <w:tcW w:w="80" w:type="dxa"/>
            <w:vAlign w:val="bottom"/>
          </w:tcPr>
          <w:p>
            <w:pPr>
              <w:spacing w:after="0"/>
              <w:rPr>
                <w:sz w:val="20"/>
                <w:szCs w:val="20"/>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3"/>
              </w:rPr>
              <w:t>January 3 through January 30, 2010</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39.25</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applicable</w:t>
            </w: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January 31 through February 27,</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720" w:type="dxa"/>
            <w:vAlign w:val="bottom"/>
          </w:tcPr>
          <w:p>
            <w:pPr>
              <w:ind w:left="200"/>
              <w:spacing w:after="0"/>
              <w:rPr>
                <w:sz w:val="20"/>
                <w:szCs w:val="20"/>
                <w:color w:val="auto"/>
              </w:rPr>
            </w:pPr>
            <w:r>
              <w:rPr>
                <w:rFonts w:ascii="Arial" w:cs="Arial" w:eastAsia="Arial" w:hAnsi="Arial"/>
                <w:sz w:val="18"/>
                <w:szCs w:val="18"/>
                <w:color w:val="auto"/>
              </w:rPr>
              <w:t>2010</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748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38.80</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760" w:type="dxa"/>
            <w:vAlign w:val="bottom"/>
            <w:gridSpan w:val="2"/>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February 28 through April 3, 2010</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45.98</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applicable</w:t>
            </w: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39.56</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Not applicable</w:t>
            </w:r>
          </w:p>
        </w:tc>
      </w:tr>
      <w:tr>
        <w:trPr>
          <w:trHeight w:val="20"/>
        </w:trPr>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266065</wp:posOffset>
            </wp:positionV>
            <wp:extent cx="10636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680" w:right="559" w:hanging="348"/>
        <w:spacing w:after="0" w:line="285"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in this column represent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Performance Award (each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accounts under the ERP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accounts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42" w:lineRule="exact"/>
        <w:rPr>
          <w:rFonts w:ascii="Arial" w:cs="Arial" w:eastAsia="Arial" w:hAnsi="Arial"/>
          <w:sz w:val="16"/>
          <w:szCs w:val="16"/>
          <w:color w:val="auto"/>
        </w:rPr>
      </w:pPr>
    </w:p>
    <w:p>
      <w:pPr>
        <w:ind w:left="680" w:right="559"/>
        <w:spacing w:after="0" w:line="277" w:lineRule="auto"/>
        <w:rPr>
          <w:rFonts w:ascii="Arial" w:cs="Arial" w:eastAsia="Arial" w:hAnsi="Arial"/>
          <w:sz w:val="16"/>
          <w:szCs w:val="16"/>
          <w:color w:val="auto"/>
        </w:rPr>
      </w:pPr>
      <w:r>
        <w:rPr>
          <w:rFonts w:ascii="Arial" w:cs="Arial" w:eastAsia="Arial" w:hAnsi="Arial"/>
          <w:sz w:val="18"/>
          <w:szCs w:val="18"/>
          <w:color w:val="auto"/>
        </w:rPr>
        <w:t>None of the Common Shares purchased during the three months ended April 3, 2010 were purchased pursuant to a publicly announced plan or program.</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5. OTHER INFORMATION</w:t>
      </w:r>
    </w:p>
    <w:p>
      <w:pPr>
        <w:spacing w:after="0" w:line="185"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On May 13, 2010, the Company and its lender entered into a First Amendment to the Master Accounts Receivable Purchase Agreement between the Company and its lender (as so amended, the “Amended 2009 MARP”). The Amended 2009 MARP has an effective date of May 1, 2010 and a stated termination date of May 12, 2011, or such later date as may be mutually agreed by the Company and its lender. The Amended 2009 MARP provides for the discounted sale, on an uncommitted, revolving basis, of accounts receivable generated by a specified account debtor, with aggregate limits not to exceed $80 million. The Amended 2009 MARP provides an interest rate that approximates the 7-day LIBOR rate plus 125 basis points.</w:t>
      </w:r>
    </w:p>
    <w:p>
      <w:pPr>
        <w:spacing w:after="0" w:line="138"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The foregoing description of the Amended 2009 MARP is qualified in its entirety by reference to the full text of (i) the Master Accounts Receivable Purchase Agreement, dated as of May 1, 2009, between the Company and its lender, a copy of which is included as Exhibit 10.1 to the Company’s Current Report on Form 8-K filed May 6, 2009 and is incorporated herein by reference and (ii) the First Amendment to the Master Accounts Receivable Purchase Agreement, a copy of which is included as Exhibit 10.6 to this Quarterly Report on Form 10-Q and is incorporated herein by reference.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6. EXHIBITS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Index to Exhibits at page 47 for a list of the exhibits included herewith.</w:t>
      </w:r>
    </w:p>
    <w:p>
      <w:pPr>
        <w:spacing w:after="0" w:line="200" w:lineRule="exact"/>
        <w:rPr>
          <w:sz w:val="20"/>
          <w:szCs w:val="20"/>
          <w:color w:val="auto"/>
        </w:rPr>
      </w:pP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left="340" w:right="1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4460" w:type="dxa"/>
            <w:vAlign w:val="bottom"/>
          </w:tcPr>
          <w:p>
            <w:pPr>
              <w:ind w:left="340"/>
              <w:spacing w:after="0"/>
              <w:rPr>
                <w:sz w:val="20"/>
                <w:szCs w:val="20"/>
                <w:color w:val="auto"/>
              </w:rPr>
            </w:pPr>
            <w:r>
              <w:rPr>
                <w:rFonts w:ascii="Arial" w:cs="Arial" w:eastAsia="Arial" w:hAnsi="Arial"/>
                <w:sz w:val="18"/>
                <w:szCs w:val="18"/>
                <w:color w:val="auto"/>
              </w:rPr>
              <w:t>Date: May 13, 2010</w:t>
            </w:r>
          </w:p>
        </w:tc>
        <w:tc>
          <w:tcPr>
            <w:tcW w:w="6960" w:type="dxa"/>
            <w:vAlign w:val="bottom"/>
            <w:gridSpan w:val="2"/>
          </w:tcPr>
          <w:p>
            <w:pPr>
              <w:spacing w:after="0"/>
              <w:rPr>
                <w:sz w:val="20"/>
                <w:szCs w:val="20"/>
                <w:color w:val="auto"/>
              </w:rPr>
            </w:pPr>
            <w:r>
              <w:rPr>
                <w:rFonts w:ascii="Arial" w:cs="Arial" w:eastAsia="Arial" w:hAnsi="Arial"/>
                <w:sz w:val="18"/>
                <w:szCs w:val="18"/>
                <w:color w:val="auto"/>
              </w:rPr>
              <w:t>/s/ DAVID C. EVANS</w:t>
            </w:r>
          </w:p>
        </w:tc>
      </w:tr>
      <w:tr>
        <w:trPr>
          <w:trHeight w:val="195"/>
        </w:trPr>
        <w:tc>
          <w:tcPr>
            <w:tcW w:w="44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C. Evans</w:t>
            </w:r>
          </w:p>
        </w:tc>
        <w:tc>
          <w:tcPr>
            <w:tcW w:w="3040" w:type="dxa"/>
            <w:vAlign w:val="bottom"/>
          </w:tcPr>
          <w:p>
            <w:pPr>
              <w:spacing w:after="0"/>
              <w:rPr>
                <w:sz w:val="16"/>
                <w:szCs w:val="16"/>
                <w:color w:val="auto"/>
              </w:rPr>
            </w:pPr>
          </w:p>
        </w:tc>
      </w:tr>
      <w:tr>
        <w:trPr>
          <w:trHeight w:val="216"/>
        </w:trPr>
        <w:tc>
          <w:tcPr>
            <w:tcW w:w="446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446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(Principal Financial and Principal Accounting Officer)</w:t>
            </w:r>
          </w:p>
        </w:tc>
      </w:tr>
      <w:tr>
        <w:trPr>
          <w:trHeight w:val="230"/>
        </w:trPr>
        <w:tc>
          <w:tcPr>
            <w:tcW w:w="446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(Duly Authorized Officer)</w:t>
            </w:r>
          </w:p>
        </w:tc>
      </w:tr>
      <w:tr>
        <w:trPr>
          <w:trHeight w:val="783"/>
        </w:trPr>
        <w:tc>
          <w:tcPr>
            <w:tcW w:w="4460" w:type="dxa"/>
            <w:vAlign w:val="bottom"/>
          </w:tcPr>
          <w:p>
            <w:pPr>
              <w:spacing w:after="0"/>
              <w:rPr>
                <w:sz w:val="24"/>
                <w:szCs w:val="24"/>
                <w:color w:val="auto"/>
              </w:rPr>
            </w:pPr>
          </w:p>
        </w:tc>
        <w:tc>
          <w:tcPr>
            <w:tcW w:w="3920" w:type="dxa"/>
            <w:vAlign w:val="bottom"/>
          </w:tcPr>
          <w:p>
            <w:pPr>
              <w:ind w:left="440"/>
              <w:spacing w:after="0"/>
              <w:rPr>
                <w:sz w:val="20"/>
                <w:szCs w:val="20"/>
                <w:color w:val="auto"/>
              </w:rPr>
            </w:pPr>
            <w:r>
              <w:rPr>
                <w:rFonts w:ascii="Arial" w:cs="Arial" w:eastAsia="Arial" w:hAnsi="Arial"/>
                <w:sz w:val="18"/>
                <w:szCs w:val="18"/>
                <w:color w:val="auto"/>
              </w:rPr>
              <w:t>46</w:t>
            </w:r>
          </w:p>
        </w:tc>
        <w:tc>
          <w:tcPr>
            <w:tcW w:w="3040" w:type="dxa"/>
            <w:vAlign w:val="bottom"/>
          </w:tcPr>
          <w:p>
            <w:pPr>
              <w:spacing w:after="0"/>
              <w:rPr>
                <w:sz w:val="24"/>
                <w:szCs w:val="24"/>
                <w:color w:val="auto"/>
              </w:rPr>
            </w:pPr>
          </w:p>
        </w:tc>
      </w:tr>
      <w:tr>
        <w:trPr>
          <w:trHeight w:val="226"/>
        </w:trPr>
        <w:tc>
          <w:tcPr>
            <w:tcW w:w="446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FOR THE QUARTERLY PERIOD ENDED APRIL 3, 2010</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INDEX TO EXHIBITS</w:t>
      </w:r>
    </w:p>
    <w:p>
      <w:pPr>
        <w:sectPr>
          <w:pgSz w:w="11900" w:h="16838" w:orient="portrait"/>
          <w:cols w:equalWidth="0" w:num="1">
            <w:col w:w="10219"/>
          </w:cols>
          <w:pgMar w:left="240" w:top="419" w:right="1440" w:bottom="987" w:gutter="0" w:footer="0" w:header="0"/>
        </w:sectPr>
      </w:pP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NO.</w:t>
            </w:r>
          </w:p>
        </w:tc>
        <w:tc>
          <w:tcPr>
            <w:tcW w:w="280" w:type="dxa"/>
            <w:vAlign w:val="bottom"/>
          </w:tcPr>
          <w:p>
            <w:pPr>
              <w:spacing w:after="0"/>
              <w:rPr>
                <w:sz w:val="20"/>
                <w:szCs w:val="20"/>
                <w:color w:val="auto"/>
              </w:rPr>
            </w:pPr>
          </w:p>
        </w:tc>
        <w:tc>
          <w:tcPr>
            <w:tcW w:w="388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00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4.1</w:t>
            </w:r>
          </w:p>
        </w:tc>
        <w:tc>
          <w:tcPr>
            <w:tcW w:w="28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w w:val="91"/>
              </w:rPr>
              <w:t>Indenture, dated as of January 14, 2010, among The</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6"/>
              </w:rPr>
              <w:t>Scotts Miracle-Gro Company, the guarantors from</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8"/>
              </w:rPr>
              <w:t>time to time party thereto and U.S. Bank National</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Association, as Trustee</w:t>
            </w:r>
          </w:p>
        </w:tc>
      </w:tr>
      <w:tr>
        <w:trPr>
          <w:trHeight w:val="418"/>
        </w:trPr>
        <w:tc>
          <w:tcPr>
            <w:tcW w:w="1000" w:type="dxa"/>
            <w:vAlign w:val="bottom"/>
          </w:tcPr>
          <w:p>
            <w:pPr>
              <w:jc w:val="right"/>
              <w:ind w:right="29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89"/>
              </w:rPr>
              <w:t>First Supplemental Indenture, dated as of January 14,</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3"/>
              </w:rPr>
              <w:t>2010, among The Scotts Miracle-Gro Company, the</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6"/>
              </w:rPr>
              <w:t>guarantors named therein and U.S. Bank National</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Association, as Trustee</w:t>
            </w:r>
          </w:p>
        </w:tc>
      </w:tr>
      <w:tr>
        <w:trPr>
          <w:trHeight w:val="634"/>
        </w:trPr>
        <w:tc>
          <w:tcPr>
            <w:tcW w:w="1000" w:type="dxa"/>
            <w:vAlign w:val="bottom"/>
          </w:tcPr>
          <w:p>
            <w:pPr>
              <w:jc w:val="right"/>
              <w:ind w:right="29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5"/>
              </w:rPr>
              <w:t>Form of 7.25% Senior Notes due 2018 (included in</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Exhibit 4.2)</w:t>
            </w:r>
          </w:p>
        </w:tc>
      </w:tr>
      <w:tr>
        <w:trPr>
          <w:trHeight w:val="850"/>
        </w:trPr>
        <w:tc>
          <w:tcPr>
            <w:tcW w:w="100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First Amendment to The Scotts Miracle-Gro</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4"/>
              </w:rPr>
              <w:t>Company Amended and Restated 2006 Long-Term</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Incentive Plan (effective as of January 20, 2010)</w:t>
            </w:r>
          </w:p>
        </w:tc>
      </w:tr>
      <w:tr>
        <w:trPr>
          <w:trHeight w:val="634"/>
        </w:trPr>
        <w:tc>
          <w:tcPr>
            <w:tcW w:w="100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Specimen form of Deferred Stock Unit Award</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2"/>
              </w:rPr>
              <w:t>Agreement for Nonemployee Directors (with Related</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8"/>
              </w:rPr>
              <w:t>Dividend Equivalents) used to evidence grants of</w:t>
            </w: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2"/>
              </w:rPr>
              <w:t>Deferred Stock Units which may be made under The</w:t>
            </w: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0"/>
              </w:rPr>
              <w:t>Scotts Miracle-Gro Company Amended and Restated</w:t>
            </w:r>
          </w:p>
        </w:tc>
      </w:tr>
    </w:tbl>
    <w:p>
      <w:pPr>
        <w:ind w:left="1620" w:right="280"/>
        <w:spacing w:after="0" w:line="323" w:lineRule="auto"/>
        <w:rPr>
          <w:sz w:val="20"/>
          <w:szCs w:val="20"/>
          <w:color w:val="auto"/>
        </w:rPr>
      </w:pPr>
      <w:r>
        <w:rPr>
          <w:rFonts w:ascii="Arial" w:cs="Arial" w:eastAsia="Arial" w:hAnsi="Arial"/>
          <w:sz w:val="16"/>
          <w:szCs w:val="16"/>
          <w:color w:val="auto"/>
        </w:rPr>
        <w:t>2006 Long-Term Incentive Plan (Deferral of Cash Retainer — post-January 21, 2010 version)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LOCATION</w:t>
      </w:r>
    </w:p>
    <w:p>
      <w:pPr>
        <w:spacing w:after="0" w:line="27" w:lineRule="exact"/>
        <w:rPr>
          <w:sz w:val="20"/>
          <w:szCs w:val="20"/>
          <w:color w:val="auto"/>
        </w:rPr>
      </w:pPr>
    </w:p>
    <w:p>
      <w:pPr>
        <w:ind w:right="779"/>
        <w:spacing w:after="0" w:line="279" w:lineRule="auto"/>
        <w:rPr>
          <w:sz w:val="20"/>
          <w:szCs w:val="20"/>
          <w:color w:val="auto"/>
        </w:rPr>
      </w:pPr>
      <w:r>
        <w:rPr>
          <w:rFonts w:ascii="Arial" w:cs="Arial" w:eastAsia="Arial" w:hAnsi="Arial"/>
          <w:sz w:val="17"/>
          <w:szCs w:val="17"/>
          <w:color w:val="auto"/>
        </w:rPr>
        <w:t>Incorporated herein by reference to the Current Report on Form 8-K of The Scotts Miracle-Gro Company (the “Registrant”) filed January 14, 2010 (File No. 1-11593) [Exhibit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-576580</wp:posOffset>
            </wp:positionV>
            <wp:extent cx="24784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151" w:lineRule="exact"/>
        <w:rPr>
          <w:sz w:val="20"/>
          <w:szCs w:val="20"/>
          <w:color w:val="auto"/>
        </w:rPr>
      </w:pPr>
    </w:p>
    <w:p>
      <w:pPr>
        <w:jc w:val="both"/>
        <w:ind w:right="739"/>
        <w:spacing w:after="0" w:line="286" w:lineRule="auto"/>
        <w:rPr>
          <w:sz w:val="20"/>
          <w:szCs w:val="20"/>
          <w:color w:val="auto"/>
        </w:rPr>
      </w:pPr>
      <w:r>
        <w:rPr>
          <w:rFonts w:ascii="Arial" w:cs="Arial" w:eastAsia="Arial" w:hAnsi="Arial"/>
          <w:sz w:val="17"/>
          <w:szCs w:val="17"/>
          <w:color w:val="auto"/>
        </w:rPr>
        <w:t>Incorporated herein by reference to the Registrant’s Current Report on Form 8-K filed January 14, 2010 (File No. 1-11593) [Exhibit 4.2]</w:t>
      </w:r>
    </w:p>
    <w:p>
      <w:pPr>
        <w:spacing w:after="0" w:line="200" w:lineRule="exact"/>
        <w:rPr>
          <w:sz w:val="20"/>
          <w:szCs w:val="20"/>
          <w:color w:val="auto"/>
        </w:rPr>
      </w:pPr>
    </w:p>
    <w:p>
      <w:pPr>
        <w:spacing w:after="0" w:line="398" w:lineRule="exact"/>
        <w:rPr>
          <w:sz w:val="20"/>
          <w:szCs w:val="20"/>
          <w:color w:val="auto"/>
        </w:rPr>
      </w:pPr>
    </w:p>
    <w:p>
      <w:pPr>
        <w:jc w:val="both"/>
        <w:ind w:right="739"/>
        <w:spacing w:after="0" w:line="312" w:lineRule="auto"/>
        <w:rPr>
          <w:sz w:val="20"/>
          <w:szCs w:val="20"/>
          <w:color w:val="auto"/>
        </w:rPr>
      </w:pPr>
      <w:r>
        <w:rPr>
          <w:rFonts w:ascii="Arial" w:cs="Arial" w:eastAsia="Arial" w:hAnsi="Arial"/>
          <w:sz w:val="16"/>
          <w:szCs w:val="16"/>
          <w:color w:val="auto"/>
        </w:rPr>
        <w:t>Incorporated herein by reference to the Registrant’s Current Report on Form 8-K filed January 14, 2010 (File No. 1-11593) [Included in Exhibit 4.2]</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739"/>
        <w:spacing w:after="0" w:line="25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 No. 1-11593) [Exhibit 10.1]</w:t>
      </w:r>
    </w:p>
    <w:p>
      <w:pPr>
        <w:spacing w:after="0" w:line="835" w:lineRule="exact"/>
        <w:rPr>
          <w:sz w:val="20"/>
          <w:szCs w:val="20"/>
          <w:color w:val="auto"/>
        </w:rPr>
      </w:pPr>
    </w:p>
    <w:p>
      <w:pPr>
        <w:sectPr>
          <w:pgSz w:w="11900" w:h="16838" w:orient="portrait"/>
          <w:cols w:equalWidth="0" w:num="2">
            <w:col w:w="5500" w:space="260"/>
            <w:col w:w="4459"/>
          </w:cols>
          <w:pgMar w:left="240" w:top="419" w:right="1440" w:bottom="987" w:gutter="0" w:footer="0" w:header="0"/>
          <w:type w:val="continuous"/>
        </w:sectPr>
      </w:pPr>
    </w:p>
    <w:tbl>
      <w:tblPr>
        <w:tblLayout w:type="fixed"/>
        <w:tblInd w:w="640" w:type="dxa"/>
        <w:tblCellMar>
          <w:top w:w="0" w:type="dxa"/>
          <w:left w:w="0" w:type="dxa"/>
          <w:bottom w:w="0" w:type="dxa"/>
          <w:right w:w="0" w:type="dxa"/>
        </w:tblCellMar>
      </w:tblPr>
      <w:tr>
        <w:trPr>
          <w:trHeight w:val="216"/>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10.3</w:t>
            </w:r>
          </w:p>
        </w:tc>
        <w:tc>
          <w:tcPr>
            <w:tcW w:w="4100" w:type="dxa"/>
            <w:vAlign w:val="bottom"/>
          </w:tcPr>
          <w:p>
            <w:pPr>
              <w:ind w:left="340"/>
              <w:spacing w:after="0"/>
              <w:rPr>
                <w:sz w:val="20"/>
                <w:szCs w:val="20"/>
                <w:color w:val="auto"/>
              </w:rPr>
            </w:pPr>
            <w:r>
              <w:rPr>
                <w:rFonts w:ascii="Arial" w:cs="Arial" w:eastAsia="Arial" w:hAnsi="Arial"/>
                <w:sz w:val="18"/>
                <w:szCs w:val="18"/>
                <w:color w:val="auto"/>
              </w:rPr>
              <w:t>Specimen form of Restricted Stock Unit Award</w:t>
            </w:r>
          </w:p>
        </w:tc>
      </w:tr>
      <w:tr>
        <w:trPr>
          <w:trHeight w:val="216"/>
        </w:trPr>
        <w:tc>
          <w:tcPr>
            <w:tcW w:w="64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w w:val="95"/>
              </w:rPr>
              <w:t>Agreement for Employees (with Related Dividend</w:t>
            </w:r>
          </w:p>
        </w:tc>
      </w:tr>
      <w:tr>
        <w:trPr>
          <w:trHeight w:val="216"/>
        </w:trPr>
        <w:tc>
          <w:tcPr>
            <w:tcW w:w="64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w w:val="93"/>
              </w:rPr>
              <w:t>Equivalents) used to evidence grants of Restricted</w:t>
            </w:r>
          </w:p>
        </w:tc>
      </w:tr>
      <w:tr>
        <w:trPr>
          <w:trHeight w:val="216"/>
        </w:trPr>
        <w:tc>
          <w:tcPr>
            <w:tcW w:w="64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w w:val="93"/>
              </w:rPr>
              <w:t>Stock Units which may be made under The Scotts</w:t>
            </w:r>
          </w:p>
        </w:tc>
      </w:tr>
      <w:tr>
        <w:trPr>
          <w:trHeight w:val="216"/>
        </w:trPr>
        <w:tc>
          <w:tcPr>
            <w:tcW w:w="64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w w:val="90"/>
              </w:rPr>
              <w:t>Miracle-Gro Company Amended and Restated 2006</w:t>
            </w:r>
          </w:p>
        </w:tc>
      </w:tr>
      <w:tr>
        <w:trPr>
          <w:trHeight w:val="216"/>
        </w:trPr>
        <w:tc>
          <w:tcPr>
            <w:tcW w:w="64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w w:val="94"/>
              </w:rPr>
              <w:t>Long-Term Incentive Plan (post-January 19, 2010</w:t>
            </w:r>
          </w:p>
        </w:tc>
      </w:tr>
      <w:tr>
        <w:trPr>
          <w:trHeight w:val="230"/>
        </w:trPr>
        <w:tc>
          <w:tcPr>
            <w:tcW w:w="640" w:type="dxa"/>
            <w:vAlign w:val="bottom"/>
          </w:tcPr>
          <w:p>
            <w:pPr>
              <w:spacing w:after="0"/>
              <w:rPr>
                <w:sz w:val="20"/>
                <w:szCs w:val="20"/>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version)</w:t>
            </w:r>
          </w:p>
        </w:tc>
      </w:tr>
    </w:tbl>
    <w:p>
      <w:pPr>
        <w:spacing w:after="0" w:line="20" w:lineRule="exact"/>
        <w:rPr>
          <w:sz w:val="20"/>
          <w:szCs w:val="20"/>
          <w:color w:val="auto"/>
        </w:rPr>
      </w:pPr>
      <w:r>
        <w:rPr>
          <w:sz w:val="20"/>
          <w:szCs w:val="20"/>
          <w:color w:val="auto"/>
        </w:rPr>
        <w:br w:type="column"/>
      </w:r>
    </w:p>
    <w:p>
      <w:pPr>
        <w:ind w:right="739"/>
        <w:spacing w:after="0" w:line="25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 No. 1-11593) [Exhibit 10.2]</w:t>
      </w:r>
    </w:p>
    <w:p>
      <w:pPr>
        <w:spacing w:after="0" w:line="833" w:lineRule="exact"/>
        <w:rPr>
          <w:sz w:val="20"/>
          <w:szCs w:val="20"/>
          <w:color w:val="auto"/>
        </w:rPr>
      </w:pPr>
    </w:p>
    <w:p>
      <w:pPr>
        <w:sectPr>
          <w:pgSz w:w="11900" w:h="16838" w:orient="portrait"/>
          <w:cols w:equalWidth="0" w:num="2">
            <w:col w:w="5380" w:space="380"/>
            <w:col w:w="4459"/>
          </w:cols>
          <w:pgMar w:left="240" w:top="419" w:right="1440" w:bottom="987" w:gutter="0" w:footer="0" w:header="0"/>
          <w:type w:val="continuous"/>
        </w:sectPr>
      </w:pPr>
    </w:p>
    <w:p>
      <w:pPr>
        <w:spacing w:after="0" w:line="218"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10.4</w:t>
            </w:r>
          </w:p>
        </w:tc>
        <w:tc>
          <w:tcPr>
            <w:tcW w:w="3980" w:type="dxa"/>
            <w:vAlign w:val="bottom"/>
          </w:tcPr>
          <w:p>
            <w:pPr>
              <w:ind w:left="340"/>
              <w:spacing w:after="0"/>
              <w:rPr>
                <w:sz w:val="20"/>
                <w:szCs w:val="20"/>
                <w:color w:val="auto"/>
              </w:rPr>
            </w:pPr>
            <w:r>
              <w:rPr>
                <w:rFonts w:ascii="Arial" w:cs="Arial" w:eastAsia="Arial" w:hAnsi="Arial"/>
                <w:sz w:val="18"/>
                <w:szCs w:val="18"/>
                <w:color w:val="auto"/>
                <w:w w:val="97"/>
              </w:rPr>
              <w:t>Specimen form of Restricted Stock Unit Award</w:t>
            </w:r>
          </w:p>
        </w:tc>
      </w:tr>
      <w:tr>
        <w:trPr>
          <w:trHeight w:val="230"/>
        </w:trPr>
        <w:tc>
          <w:tcPr>
            <w:tcW w:w="640" w:type="dxa"/>
            <w:vAlign w:val="bottom"/>
          </w:tcPr>
          <w:p>
            <w:pPr>
              <w:spacing w:after="0"/>
              <w:rPr>
                <w:sz w:val="20"/>
                <w:szCs w:val="20"/>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w w:val="92"/>
              </w:rPr>
              <w:t>Agreement for Employees (with Related Dividend</w:t>
            </w:r>
          </w:p>
        </w:tc>
      </w:tr>
    </w:tbl>
    <w:p>
      <w:pPr>
        <w:ind w:left="1620"/>
        <w:spacing w:after="0" w:line="271" w:lineRule="auto"/>
        <w:rPr>
          <w:sz w:val="20"/>
          <w:szCs w:val="20"/>
          <w:color w:val="auto"/>
        </w:rPr>
      </w:pPr>
      <w:r>
        <w:rPr>
          <w:rFonts w:ascii="Arial" w:cs="Arial" w:eastAsia="Arial" w:hAnsi="Arial"/>
          <w:sz w:val="17"/>
          <w:szCs w:val="17"/>
          <w:color w:val="auto"/>
        </w:rPr>
        <w:t>Equivalents) used to evidence grants of Restricted Stock Units which may be made under The Scotts Miracle-Gro Company Amended and Restated 2006 Long-Term Incentive Plan (French Specimen) [post-January 19, 2010 version]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739"/>
        <w:spacing w:after="0" w:line="25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 No. 1-11593) [Exhibit 10.3]</w:t>
      </w:r>
    </w:p>
    <w:p>
      <w:pPr>
        <w:spacing w:after="0" w:line="856" w:lineRule="exact"/>
        <w:rPr>
          <w:sz w:val="20"/>
          <w:szCs w:val="20"/>
          <w:color w:val="auto"/>
        </w:rPr>
      </w:pPr>
    </w:p>
    <w:p>
      <w:pPr>
        <w:sectPr>
          <w:pgSz w:w="11900" w:h="16838" w:orient="portrait"/>
          <w:cols w:equalWidth="0" w:num="2">
            <w:col w:w="5400" w:space="360"/>
            <w:col w:w="4459"/>
          </w:cols>
          <w:pgMar w:left="240" w:top="419" w:right="1440" w:bottom="987" w:gutter="0" w:footer="0" w:header="0"/>
          <w:type w:val="continuous"/>
        </w:sectPr>
      </w:pPr>
    </w:p>
    <w:p>
      <w:pPr>
        <w:spacing w:after="0" w:line="195"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660" w:type="dxa"/>
            <w:vAlign w:val="bottom"/>
          </w:tcPr>
          <w:p>
            <w:pPr>
              <w:jc w:val="right"/>
              <w:ind w:right="270"/>
              <w:spacing w:after="0"/>
              <w:rPr>
                <w:sz w:val="20"/>
                <w:szCs w:val="20"/>
                <w:color w:val="auto"/>
              </w:rPr>
            </w:pPr>
            <w:r>
              <w:rPr>
                <w:rFonts w:ascii="Arial" w:cs="Arial" w:eastAsia="Arial" w:hAnsi="Arial"/>
                <w:sz w:val="18"/>
                <w:szCs w:val="18"/>
                <w:color w:val="auto"/>
                <w:w w:val="79"/>
              </w:rPr>
              <w:t>10.5</w:t>
            </w:r>
          </w:p>
        </w:tc>
        <w:tc>
          <w:tcPr>
            <w:tcW w:w="4180" w:type="dxa"/>
            <w:vAlign w:val="bottom"/>
          </w:tcPr>
          <w:p>
            <w:pPr>
              <w:ind w:left="360"/>
              <w:spacing w:after="0"/>
              <w:rPr>
                <w:sz w:val="20"/>
                <w:szCs w:val="20"/>
                <w:color w:val="auto"/>
              </w:rPr>
            </w:pPr>
            <w:r>
              <w:rPr>
                <w:rFonts w:ascii="Arial" w:cs="Arial" w:eastAsia="Arial" w:hAnsi="Arial"/>
                <w:sz w:val="18"/>
                <w:szCs w:val="18"/>
                <w:color w:val="auto"/>
                <w:w w:val="92"/>
              </w:rPr>
              <w:t>Specimen form of Nonqualified Stock Option Award</w:t>
            </w:r>
          </w:p>
        </w:tc>
      </w:tr>
      <w:tr>
        <w:trPr>
          <w:trHeight w:val="230"/>
        </w:trPr>
        <w:tc>
          <w:tcPr>
            <w:tcW w:w="660" w:type="dxa"/>
            <w:vAlign w:val="bottom"/>
          </w:tcPr>
          <w:p>
            <w:pPr>
              <w:spacing w:after="0"/>
              <w:rPr>
                <w:sz w:val="20"/>
                <w:szCs w:val="20"/>
                <w:color w:val="auto"/>
              </w:rPr>
            </w:pPr>
          </w:p>
        </w:tc>
        <w:tc>
          <w:tcPr>
            <w:tcW w:w="4180" w:type="dxa"/>
            <w:vAlign w:val="bottom"/>
          </w:tcPr>
          <w:p>
            <w:pPr>
              <w:ind w:left="360"/>
              <w:spacing w:after="0"/>
              <w:rPr>
                <w:sz w:val="20"/>
                <w:szCs w:val="20"/>
                <w:color w:val="auto"/>
              </w:rPr>
            </w:pPr>
            <w:r>
              <w:rPr>
                <w:rFonts w:ascii="Arial" w:cs="Arial" w:eastAsia="Arial" w:hAnsi="Arial"/>
                <w:sz w:val="18"/>
                <w:szCs w:val="18"/>
                <w:color w:val="auto"/>
                <w:w w:val="89"/>
              </w:rPr>
              <w:t>Agreement for Employees used to evidence grants of</w:t>
            </w:r>
          </w:p>
        </w:tc>
      </w:tr>
    </w:tbl>
    <w:p>
      <w:pPr>
        <w:ind w:left="1620" w:right="80"/>
        <w:spacing w:after="0" w:line="254" w:lineRule="auto"/>
        <w:rPr>
          <w:sz w:val="20"/>
          <w:szCs w:val="20"/>
          <w:color w:val="auto"/>
        </w:rPr>
      </w:pPr>
      <w:r>
        <w:rPr>
          <w:rFonts w:ascii="Arial" w:cs="Arial" w:eastAsia="Arial" w:hAnsi="Arial"/>
          <w:sz w:val="18"/>
          <w:szCs w:val="18"/>
          <w:color w:val="auto"/>
        </w:rPr>
        <w:t>Nonqualified Stock Options which may be made under The Scotts Miracle-Gro Company Amended and Restated 2006 Long-Term Incentive Plan (post-January 19, 2010 version)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739"/>
        <w:spacing w:after="0" w:line="25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 No. 1-11593) [Exhibit 10.4]</w:t>
      </w:r>
    </w:p>
    <w:p>
      <w:pPr>
        <w:spacing w:after="0" w:line="629" w:lineRule="exact"/>
        <w:rPr>
          <w:sz w:val="20"/>
          <w:szCs w:val="20"/>
          <w:color w:val="auto"/>
        </w:rPr>
      </w:pPr>
    </w:p>
    <w:p>
      <w:pPr>
        <w:sectPr>
          <w:pgSz w:w="11900" w:h="16838" w:orient="portrait"/>
          <w:cols w:equalWidth="0" w:num="2">
            <w:col w:w="5440" w:space="320"/>
            <w:col w:w="4459"/>
          </w:cols>
          <w:pgMar w:left="240" w:top="419" w:right="1440" w:bottom="9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87"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NO.</w:t>
            </w:r>
          </w:p>
        </w:tc>
        <w:tc>
          <w:tcPr>
            <w:tcW w:w="280" w:type="dxa"/>
            <w:vAlign w:val="bottom"/>
          </w:tcPr>
          <w:p>
            <w:pPr>
              <w:spacing w:after="0"/>
              <w:rPr>
                <w:sz w:val="20"/>
                <w:szCs w:val="20"/>
                <w:color w:val="auto"/>
              </w:rPr>
            </w:pPr>
          </w:p>
        </w:tc>
        <w:tc>
          <w:tcPr>
            <w:tcW w:w="390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DESCRIPTION</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96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10.6</w:t>
            </w:r>
          </w:p>
        </w:tc>
        <w:tc>
          <w:tcPr>
            <w:tcW w:w="280" w:type="dxa"/>
            <w:vAlign w:val="bottom"/>
          </w:tcPr>
          <w:p>
            <w:pPr>
              <w:spacing w:after="0"/>
              <w:rPr>
                <w:sz w:val="16"/>
                <w:szCs w:val="16"/>
                <w:color w:val="auto"/>
              </w:rPr>
            </w:pPr>
          </w:p>
        </w:tc>
        <w:tc>
          <w:tcPr>
            <w:tcW w:w="3900" w:type="dxa"/>
            <w:vAlign w:val="bottom"/>
          </w:tcPr>
          <w:p>
            <w:pPr>
              <w:spacing w:after="0" w:line="195" w:lineRule="exact"/>
              <w:rPr>
                <w:sz w:val="20"/>
                <w:szCs w:val="20"/>
                <w:color w:val="auto"/>
              </w:rPr>
            </w:pPr>
            <w:r>
              <w:rPr>
                <w:rFonts w:ascii="Arial" w:cs="Arial" w:eastAsia="Arial" w:hAnsi="Arial"/>
                <w:sz w:val="18"/>
                <w:szCs w:val="18"/>
                <w:color w:val="auto"/>
                <w:w w:val="95"/>
              </w:rPr>
              <w:t>First Amendment, dated as of May 13, 2010, to the</w:t>
            </w: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5"/>
              </w:rPr>
              <w:t>Master Accounts Receivable Purchase Agreement,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89"/>
              </w:rPr>
              <w:t>dated as of May 1, 2009, among The Scotts Company</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LLC as the Company, The Scotts Miracle-Gro</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Company as the Parent and Credit Agricole</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7"/>
              </w:rPr>
              <w:t>Corporate and Investment Bank New York Branch</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2"/>
              </w:rPr>
              <w:t>(formerly known as Calyon New York Branch) as the</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Bank</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60" w:type="dxa"/>
            <w:vAlign w:val="bottom"/>
          </w:tcPr>
          <w:p>
            <w:pPr>
              <w:jc w:val="right"/>
              <w:ind w:right="29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Summary of Compensation for Nonemployee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Directors of The Scotts Miracle-Gro Company,</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effective as of January 22, 2010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60" w:type="dxa"/>
            <w:vAlign w:val="bottom"/>
          </w:tcPr>
          <w:p>
            <w:pPr>
              <w:jc w:val="right"/>
              <w:ind w:right="29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8"/>
              </w:rPr>
              <w:t>Rule 13a-14(a)/15d-14(a) Certifications (Principal</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Executive Officer)</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960" w:type="dxa"/>
            <w:vAlign w:val="bottom"/>
          </w:tcPr>
          <w:p>
            <w:pPr>
              <w:jc w:val="right"/>
              <w:ind w:right="29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8"/>
              </w:rPr>
              <w:t>Rule 13a-14(a)/15d-14(a) Certifications (Principal</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Financial Officer)</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960" w:type="dxa"/>
            <w:vAlign w:val="bottom"/>
          </w:tcPr>
          <w:p>
            <w:pPr>
              <w:jc w:val="right"/>
              <w:ind w:right="29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Section 1350 Certifications (Principal Executive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Officer and Principal Financial Officer)</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9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17145</wp:posOffset>
            </wp:positionV>
            <wp:extent cx="24872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ectPr>
          <w:pgSz w:w="11900" w:h="16838" w:orient="portrait"/>
          <w:cols w:equalWidth="0" w:num="2">
            <w:col w:w="6500" w:space="720"/>
            <w:col w:w="2999"/>
          </w:cols>
          <w:pgMar w:left="240" w:top="419" w:right="1440" w:bottom="1440" w:gutter="0" w:footer="0" w:header="0"/>
        </w:sectPr>
      </w:pPr>
    </w:p>
    <w:bookmarkStart w:id="49" w:name="page50"/>
    <w:bookmarkEnd w:id="49"/>
    <w:p>
      <w:pPr>
        <w:jc w:val="right"/>
        <w:ind w:right="559"/>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FIRST AMENDMENT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THE SCOTTS MIRACLE-GRO COMPANY</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2006 LONG-TERM INCENTIVE PLAN</w:t>
      </w:r>
    </w:p>
    <w:p>
      <w:pPr>
        <w:spacing w:after="0" w:line="184"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WHEREAS, The Scotts Miracle-Gro Company (the “Company”) previously adopted the The Scotts Miracle-Gro Company Amended and Restated 2006 Long-Term Incentive Plan (the “Plan”); and</w:t>
      </w:r>
    </w:p>
    <w:p>
      <w:pPr>
        <w:spacing w:after="0" w:line="130" w:lineRule="exact"/>
        <w:rPr>
          <w:sz w:val="20"/>
          <w:szCs w:val="20"/>
          <w:color w:val="auto"/>
        </w:rPr>
      </w:pPr>
    </w:p>
    <w:p>
      <w:pPr>
        <w:jc w:val="both"/>
        <w:ind w:right="559" w:firstLine="373"/>
        <w:spacing w:after="0" w:line="308" w:lineRule="auto"/>
        <w:rPr>
          <w:sz w:val="20"/>
          <w:szCs w:val="20"/>
          <w:color w:val="auto"/>
        </w:rPr>
      </w:pPr>
      <w:r>
        <w:rPr>
          <w:rFonts w:ascii="Arial" w:cs="Arial" w:eastAsia="Arial" w:hAnsi="Arial"/>
          <w:sz w:val="17"/>
          <w:szCs w:val="17"/>
          <w:color w:val="auto"/>
        </w:rPr>
        <w:t>WHEREAS, subject to the limitations set forth in Article 18.1 of the Plan, the Company, through its Board of Directors, may amend the Plan and any Award Agreements (as defined in the Plan) without shareholder approval; and</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WHEREAS, the Company desires to amend the Plan as provided herein to be effective as of the </w:t>
      </w:r>
      <w:r>
        <w:rPr>
          <w:rFonts w:ascii="Arial" w:cs="Arial" w:eastAsia="Arial" w:hAnsi="Arial"/>
          <w:sz w:val="16"/>
          <w:szCs w:val="16"/>
          <w:u w:val="single" w:color="auto"/>
          <w:color w:val="auto"/>
        </w:rPr>
        <w:t>20th</w:t>
      </w:r>
      <w:r>
        <w:rPr>
          <w:rFonts w:ascii="Arial" w:cs="Arial" w:eastAsia="Arial" w:hAnsi="Arial"/>
          <w:sz w:val="16"/>
          <w:szCs w:val="16"/>
          <w:color w:val="auto"/>
        </w:rPr>
        <w:t xml:space="preserve"> day of January, 2010.</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the Company hereby amends the Plan as follows: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2.47 shall be amended by adding the following sentence at the end thereof:</w:t>
      </w:r>
    </w:p>
    <w:p>
      <w:pPr>
        <w:spacing w:after="0" w:line="185" w:lineRule="exact"/>
        <w:rPr>
          <w:sz w:val="20"/>
          <w:szCs w:val="20"/>
          <w:color w:val="auto"/>
        </w:rPr>
      </w:pPr>
    </w:p>
    <w:p>
      <w:pPr>
        <w:jc w:val="both"/>
        <w:ind w:right="559" w:firstLine="373"/>
        <w:spacing w:after="0" w:line="279" w:lineRule="auto"/>
        <w:rPr>
          <w:sz w:val="20"/>
          <w:szCs w:val="20"/>
          <w:color w:val="auto"/>
        </w:rPr>
      </w:pPr>
      <w:r>
        <w:rPr>
          <w:rFonts w:ascii="Arial" w:cs="Arial" w:eastAsia="Arial" w:hAnsi="Arial"/>
          <w:sz w:val="17"/>
          <w:szCs w:val="17"/>
          <w:color w:val="auto"/>
        </w:rPr>
        <w:t>Effective for Awards granted on or after January 20, 2010, an Award Agreement may specify a different definition of “Termination” or “Terminate,” that will apply to such Award Agreement; provided that no such different definition shall cause the term of the Award to which it relates to extend beyond the maximum possible term for such Award contemplated under the applicable provisions of this Plan and any applicable law, regulation or stock exchange rule.</w:t>
      </w:r>
    </w:p>
    <w:p>
      <w:pPr>
        <w:spacing w:after="0" w:line="144"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IN WITNESS WHEREOF, the Company has caused this First Amendment to the Plan to be executed by its duly authorized officer effective as of the date first set forth above</w:t>
      </w:r>
    </w:p>
    <w:p>
      <w:pPr>
        <w:spacing w:after="0" w:line="17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/s/ Denise Stump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14605</wp:posOffset>
            </wp:positionV>
            <wp:extent cx="2109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Its:  EVP, Global Human Resources</w:t>
      </w:r>
    </w:p>
    <w:p>
      <w:pPr>
        <w:sectPr>
          <w:pgSz w:w="11900" w:h="16838" w:orient="portrait"/>
          <w:cols w:equalWidth="0" w:num="1">
            <w:col w:w="9879"/>
          </w:cols>
          <w:pgMar w:left="580" w:top="121" w:right="1440" w:bottom="1440" w:gutter="0" w:footer="0" w:header="0"/>
        </w:sectPr>
      </w:pPr>
    </w:p>
    <w:bookmarkStart w:id="50" w:name="page51"/>
    <w:bookmarkEnd w:id="50"/>
    <w:p>
      <w:pPr>
        <w:jc w:val="right"/>
        <w:ind w:right="559"/>
        <w:spacing w:after="0"/>
        <w:rPr>
          <w:sz w:val="20"/>
          <w:szCs w:val="20"/>
          <w:color w:val="auto"/>
        </w:rPr>
      </w:pPr>
      <w:r>
        <w:rPr>
          <w:rFonts w:ascii="Arial" w:cs="Arial" w:eastAsia="Arial" w:hAnsi="Arial"/>
          <w:sz w:val="18"/>
          <w:szCs w:val="18"/>
          <w:b w:val="1"/>
          <w:bCs w:val="1"/>
          <w:color w:val="auto"/>
        </w:rPr>
        <w:t>Exhibit 10.6</w:t>
      </w:r>
    </w:p>
    <w:p>
      <w:pPr>
        <w:spacing w:after="0" w:line="189"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Execution Version</w:t>
      </w:r>
    </w:p>
    <w:p>
      <w:pPr>
        <w:spacing w:after="0" w:line="198" w:lineRule="exact"/>
        <w:rPr>
          <w:sz w:val="20"/>
          <w:szCs w:val="20"/>
          <w:color w:val="auto"/>
        </w:rPr>
      </w:pPr>
    </w:p>
    <w:p>
      <w:pPr>
        <w:jc w:val="both"/>
        <w:ind w:left="8" w:right="559" w:firstLine="373"/>
        <w:spacing w:after="0" w:line="257" w:lineRule="auto"/>
        <w:rPr>
          <w:sz w:val="20"/>
          <w:szCs w:val="20"/>
          <w:color w:val="auto"/>
        </w:rPr>
      </w:pPr>
      <w:r>
        <w:rPr>
          <w:rFonts w:ascii="Arial" w:cs="Arial" w:eastAsia="Arial" w:hAnsi="Arial"/>
          <w:sz w:val="18"/>
          <w:szCs w:val="18"/>
          <w:color w:val="auto"/>
        </w:rPr>
        <w:t>FIRST AMENDMENT dated as of May 13, 2010 (the “Amendment”) to the Master Accounts Receivable Purchase Agreement dated as of May 1, 2009 (the “Agreement”) among Credit Agricole Corporate and Investment Bank New York Branch (formerly known as Calyon New York Branch), as the Bank, The Scotts Company LLC, as the Company, and The Scotts Miracle-Gro Company, as the Parent. Capitalized terms used herein unless otherwise defined herein shall have the meanings assigned to them in the Agreement.</w:t>
      </w:r>
    </w:p>
    <w:p>
      <w:pPr>
        <w:spacing w:after="0" w:line="148" w:lineRule="exact"/>
        <w:rPr>
          <w:sz w:val="20"/>
          <w:szCs w:val="20"/>
          <w:color w:val="auto"/>
        </w:rPr>
      </w:pPr>
    </w:p>
    <w:p>
      <w:pPr>
        <w:jc w:val="both"/>
        <w:ind w:left="8" w:right="559" w:firstLine="373"/>
        <w:spacing w:after="0" w:line="277" w:lineRule="auto"/>
        <w:rPr>
          <w:sz w:val="20"/>
          <w:szCs w:val="20"/>
          <w:color w:val="auto"/>
        </w:rPr>
      </w:pPr>
      <w:r>
        <w:rPr>
          <w:rFonts w:ascii="Arial" w:cs="Arial" w:eastAsia="Arial" w:hAnsi="Arial"/>
          <w:sz w:val="18"/>
          <w:szCs w:val="18"/>
          <w:color w:val="auto"/>
        </w:rPr>
        <w:t>WHEREAS, the Bank, the Company and the Parent have agreed to certain amendments to the Agreement on the terms and conditions set forth herein.</w:t>
      </w:r>
    </w:p>
    <w:p>
      <w:pPr>
        <w:spacing w:after="0" w:line="130" w:lineRule="exact"/>
        <w:rPr>
          <w:sz w:val="20"/>
          <w:szCs w:val="20"/>
          <w:color w:val="auto"/>
        </w:rPr>
      </w:pPr>
    </w:p>
    <w:p>
      <w:pPr>
        <w:ind w:left="368"/>
        <w:spacing w:after="0"/>
        <w:rPr>
          <w:sz w:val="20"/>
          <w:szCs w:val="20"/>
          <w:color w:val="auto"/>
        </w:rPr>
      </w:pPr>
      <w:r>
        <w:rPr>
          <w:rFonts w:ascii="Arial" w:cs="Arial" w:eastAsia="Arial" w:hAnsi="Arial"/>
          <w:sz w:val="17"/>
          <w:szCs w:val="17"/>
          <w:color w:val="auto"/>
        </w:rPr>
        <w:t>NOW, THEREFORE, in consideration of the premises set forth herein, the parties hereto hereby agree as follows.</w:t>
      </w:r>
    </w:p>
    <w:p>
      <w:pPr>
        <w:spacing w:after="0" w:line="210" w:lineRule="exact"/>
        <w:rPr>
          <w:sz w:val="20"/>
          <w:szCs w:val="20"/>
          <w:color w:val="auto"/>
        </w:rPr>
      </w:pPr>
    </w:p>
    <w:p>
      <w:pPr>
        <w:ind w:left="8" w:right="559" w:firstLine="365"/>
        <w:spacing w:after="0" w:line="277" w:lineRule="auto"/>
        <w:tabs>
          <w:tab w:leader="none" w:pos="5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references to “Calyon” in the Agreement and the other Transaction Documents shall be deemed references to “Credit Agricole Corporate and Investment Bank”.</w:t>
      </w:r>
    </w:p>
    <w:p>
      <w:pPr>
        <w:spacing w:after="0" w:line="129" w:lineRule="exact"/>
        <w:rPr>
          <w:rFonts w:ascii="Arial" w:cs="Arial" w:eastAsia="Arial" w:hAnsi="Arial"/>
          <w:sz w:val="18"/>
          <w:szCs w:val="18"/>
          <w:color w:val="auto"/>
        </w:rPr>
      </w:pPr>
    </w:p>
    <w:p>
      <w:pPr>
        <w:ind w:left="8" w:right="559" w:firstLine="365"/>
        <w:spacing w:after="0" w:line="308" w:lineRule="auto"/>
        <w:tabs>
          <w:tab w:leader="none" w:pos="55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definition of “Stated Termination Date” in the Agreement shall be amended and restated in its entirety as follows (for purposes of clarification only, the amended language is in italics, which shall have no effect on the amended provision):</w:t>
      </w:r>
    </w:p>
    <w:p>
      <w:pPr>
        <w:spacing w:after="0" w:line="106" w:lineRule="exact"/>
        <w:rPr>
          <w:sz w:val="20"/>
          <w:szCs w:val="20"/>
          <w:color w:val="auto"/>
        </w:rPr>
      </w:pPr>
    </w:p>
    <w:p>
      <w:pPr>
        <w:ind w:left="368" w:right="559"/>
        <w:spacing w:after="0" w:line="277" w:lineRule="auto"/>
        <w:rPr>
          <w:sz w:val="20"/>
          <w:szCs w:val="20"/>
          <w:color w:val="auto"/>
        </w:rPr>
      </w:pPr>
      <w:r>
        <w:rPr>
          <w:rFonts w:ascii="Arial" w:cs="Arial" w:eastAsia="Arial" w:hAnsi="Arial"/>
          <w:sz w:val="18"/>
          <w:szCs w:val="18"/>
          <w:i w:val="1"/>
          <w:iCs w:val="1"/>
          <w:color w:val="auto"/>
        </w:rPr>
        <w:t xml:space="preserve">“Stated Termination Date” </w:t>
      </w:r>
      <w:r>
        <w:rPr>
          <w:rFonts w:ascii="Arial" w:cs="Arial" w:eastAsia="Arial" w:hAnsi="Arial"/>
          <w:sz w:val="18"/>
          <w:szCs w:val="18"/>
          <w:color w:val="auto"/>
        </w:rPr>
        <w:t>means</w:t>
      </w:r>
      <w:r>
        <w:rPr>
          <w:rFonts w:ascii="Arial" w:cs="Arial" w:eastAsia="Arial" w:hAnsi="Arial"/>
          <w:sz w:val="18"/>
          <w:szCs w:val="18"/>
          <w:i w:val="1"/>
          <w:iCs w:val="1"/>
          <w:color w:val="auto"/>
        </w:rPr>
        <w:t xml:space="preserve"> May 12, 2011</w:t>
      </w:r>
      <w:r>
        <w:rPr>
          <w:rFonts w:ascii="Arial" w:cs="Arial" w:eastAsia="Arial" w:hAnsi="Arial"/>
          <w:sz w:val="18"/>
          <w:szCs w:val="18"/>
          <w:color w:val="auto"/>
        </w:rPr>
        <w:t>, or such later date as may be extended by mutual agreement of the Bank</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Company.</w:t>
      </w:r>
    </w:p>
    <w:p>
      <w:pPr>
        <w:spacing w:after="0" w:line="143" w:lineRule="exact"/>
        <w:rPr>
          <w:sz w:val="20"/>
          <w:szCs w:val="20"/>
          <w:color w:val="auto"/>
        </w:rPr>
      </w:pPr>
    </w:p>
    <w:p>
      <w:pPr>
        <w:jc w:val="both"/>
        <w:ind w:left="8" w:right="559" w:firstLine="365"/>
        <w:spacing w:after="0" w:line="264" w:lineRule="auto"/>
        <w:tabs>
          <w:tab w:leader="none" w:pos="575" w:val="left"/>
        </w:tabs>
        <w:numPr>
          <w:ilvl w:val="1"/>
          <w:numId w:val="14"/>
        </w:numPr>
        <w:rPr>
          <w:rFonts w:ascii="Arial" w:cs="Arial" w:eastAsia="Arial" w:hAnsi="Arial"/>
          <w:sz w:val="18"/>
          <w:szCs w:val="18"/>
          <w:color w:val="auto"/>
        </w:rPr>
      </w:pPr>
      <w:r>
        <w:rPr>
          <w:rFonts w:ascii="Arial" w:cs="Arial" w:eastAsia="Arial" w:hAnsi="Arial"/>
          <w:sz w:val="18"/>
          <w:szCs w:val="18"/>
          <w:color w:val="auto"/>
        </w:rPr>
        <w:t>Schedule 5 to the Agreement shall be amended and restated in its entirety as set forth in Exhibit A to this Amendment (for purposes of clarification only, the amended language in such schedule is in italics, which shall have no effect on the amended schedule).</w:t>
      </w:r>
    </w:p>
    <w:p>
      <w:pPr>
        <w:spacing w:after="0" w:line="140" w:lineRule="exact"/>
        <w:rPr>
          <w:rFonts w:ascii="Arial" w:cs="Arial" w:eastAsia="Arial" w:hAnsi="Arial"/>
          <w:sz w:val="18"/>
          <w:szCs w:val="18"/>
          <w:color w:val="auto"/>
        </w:rPr>
      </w:pPr>
    </w:p>
    <w:p>
      <w:pPr>
        <w:jc w:val="both"/>
        <w:ind w:left="8" w:right="559" w:firstLine="365"/>
        <w:spacing w:after="0" w:line="288" w:lineRule="auto"/>
        <w:tabs>
          <w:tab w:leader="none" w:pos="563"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Borrower and the Parent each represents to the Bank that (a) it has full power and authority, and has taken all action necessary, to execute and deliver this Amendment, and to perform its obligations hereunder; (b) this Amendment has been duly executed and delivered by it and constitutes its legal, valid and binding obligation, enforceable in accordance with its terms;</w:t>
      </w:r>
    </w:p>
    <w:p>
      <w:pPr>
        <w:jc w:val="both"/>
        <w:ind w:left="8" w:right="559" w:hanging="8"/>
        <w:spacing w:after="0" w:line="268" w:lineRule="auto"/>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representations and warranties made by it in the Agreement are true on and as of the date hereof as though made on such date; (d) the execution and delivery of this Amendment, and the performance of its obligations hereunder, will not (i) conflict with or result in a breach of, or require any consent under, its governing documents, (ii) violate any provision of any law, rule, regulation, order, writ, judgment, injunction, decree, determination or award currently in effect and applicable to it, (iii) result in a breach of or constitute a default under any indenture or financing or credit agreement or any other agreement, lease or instrument to which it is a party or by which it or its properties may be bound or affected, or (iv) result in, or require, the creation or imposition of any Encumbrance upon or with respect to any of its properties or assets; (e) no authorization or approval or other action by, and no notice to or filing with,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629920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1" w:right="1440" w:bottom="1440" w:gutter="0" w:footer="0" w:header="0"/>
        </w:sectPr>
      </w:pPr>
    </w:p>
    <w:bookmarkStart w:id="51" w:name="page52"/>
    <w:bookmarkEnd w:id="51"/>
    <w:p>
      <w:pPr>
        <w:ind w:left="8000"/>
        <w:spacing w:after="0"/>
        <w:rPr>
          <w:sz w:val="20"/>
          <w:szCs w:val="20"/>
          <w:color w:val="auto"/>
        </w:rPr>
      </w:pPr>
      <w:r>
        <w:rPr>
          <w:rFonts w:ascii="Arial" w:cs="Arial" w:eastAsia="Arial" w:hAnsi="Arial"/>
          <w:sz w:val="16"/>
          <w:szCs w:val="16"/>
          <w:color w:val="auto"/>
        </w:rPr>
        <w:t>Execution Version</w:t>
      </w:r>
    </w:p>
    <w:p>
      <w:pPr>
        <w:spacing w:after="0" w:line="221"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governmental authority is required for the due execution, delivery and performance by it of this Amendment or any other document related hereto to which it is a party; (f) no Termination Event has occurred; and (g) there has been no amendment, modification or supplement to the Amended and Restated Credit Agreement among the Parent, JPMorgan Chase Bank, N.A, as Agent (the “Agent”), and the other parties thereto dated as of February 7, 2007, which would affect the validity of the Letter dated May 1, 2009 to the Agent related to such agreement.</w:t>
      </w:r>
    </w:p>
    <w:p>
      <w:pPr>
        <w:spacing w:after="0" w:line="148" w:lineRule="exact"/>
        <w:rPr>
          <w:sz w:val="20"/>
          <w:szCs w:val="20"/>
          <w:color w:val="auto"/>
        </w:rPr>
      </w:pPr>
    </w:p>
    <w:p>
      <w:pPr>
        <w:ind w:right="559" w:firstLine="365"/>
        <w:spacing w:after="0" w:line="277" w:lineRule="auto"/>
        <w:tabs>
          <w:tab w:leader="none" w:pos="5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Amendment shall become effective as of May 1, 2010 (the “Effective Date”) upon satisfaction in the determination of the Bank of the following conditions:</w:t>
      </w:r>
    </w:p>
    <w:p>
      <w:pPr>
        <w:spacing w:after="0" w:line="129" w:lineRule="exact"/>
        <w:rPr>
          <w:rFonts w:ascii="Arial" w:cs="Arial" w:eastAsia="Arial" w:hAnsi="Arial"/>
          <w:sz w:val="18"/>
          <w:szCs w:val="18"/>
          <w:color w:val="auto"/>
        </w:rPr>
      </w:pPr>
    </w:p>
    <w:p>
      <w:pPr>
        <w:ind w:left="1080" w:right="559" w:hanging="345"/>
        <w:spacing w:after="0" w:line="277"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Bank shall have received all of the documents listed in Exhibit B hereto in form and substance reasonably satisfactory to it;</w:t>
      </w:r>
    </w:p>
    <w:p>
      <w:pPr>
        <w:spacing w:after="0" w:line="170" w:lineRule="exact"/>
        <w:rPr>
          <w:rFonts w:ascii="Arial" w:cs="Arial" w:eastAsia="Arial" w:hAnsi="Arial"/>
          <w:sz w:val="18"/>
          <w:szCs w:val="18"/>
          <w:color w:val="auto"/>
        </w:rPr>
      </w:pPr>
    </w:p>
    <w:p>
      <w:pPr>
        <w:ind w:left="1080" w:right="559" w:hanging="345"/>
        <w:spacing w:after="0" w:line="277"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representations and warranties made by the Company and the Parent in Section 4 above are true and correct as of the Effective Date; and</w:t>
      </w:r>
    </w:p>
    <w:p>
      <w:pPr>
        <w:spacing w:after="0" w:line="170" w:lineRule="exact"/>
        <w:rPr>
          <w:rFonts w:ascii="Arial" w:cs="Arial" w:eastAsia="Arial" w:hAnsi="Arial"/>
          <w:sz w:val="18"/>
          <w:szCs w:val="18"/>
          <w:color w:val="auto"/>
        </w:rPr>
      </w:pPr>
    </w:p>
    <w:p>
      <w:pPr>
        <w:ind w:left="1080" w:right="559" w:hanging="345"/>
        <w:spacing w:after="0" w:line="277"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Bank shall have received the fees and other amounts payable by the Company pursuant to the Fee Letter dated as of May 13, 2010, attached hereto as Exhibit C.</w:t>
      </w:r>
    </w:p>
    <w:p>
      <w:pPr>
        <w:spacing w:after="0" w:line="143" w:lineRule="exact"/>
        <w:rPr>
          <w:rFonts w:ascii="Arial" w:cs="Arial" w:eastAsia="Arial" w:hAnsi="Arial"/>
          <w:sz w:val="18"/>
          <w:szCs w:val="18"/>
          <w:color w:val="auto"/>
        </w:rPr>
      </w:pPr>
    </w:p>
    <w:p>
      <w:pPr>
        <w:jc w:val="both"/>
        <w:ind w:right="559" w:firstLine="365"/>
        <w:spacing w:after="0" w:line="286" w:lineRule="auto"/>
        <w:tabs>
          <w:tab w:leader="none" w:pos="585" w:val="left"/>
        </w:tabs>
        <w:numPr>
          <w:ilvl w:val="0"/>
          <w:numId w:val="16"/>
        </w:numPr>
        <w:rPr>
          <w:rFonts w:ascii="Arial" w:cs="Arial" w:eastAsia="Arial" w:hAnsi="Arial"/>
          <w:sz w:val="17"/>
          <w:szCs w:val="17"/>
          <w:color w:val="auto"/>
        </w:rPr>
      </w:pPr>
      <w:r>
        <w:rPr>
          <w:rFonts w:ascii="Arial" w:cs="Arial" w:eastAsia="Arial" w:hAnsi="Arial"/>
          <w:sz w:val="17"/>
          <w:szCs w:val="17"/>
          <w:color w:val="auto"/>
        </w:rPr>
        <w:t>Upon the effectiveness of this Amendment, (a) the Agreement, as affected hereby, is hereby ratified, approved and confirmed in each and every respect, and (b) all references to the Agreement in any other document, instrument, agreement or writing (including any Transaction Document) shall hereafter be deemed to refer to the Agreement as affected hereby.</w:t>
      </w:r>
    </w:p>
    <w:p>
      <w:pPr>
        <w:spacing w:after="0" w:line="125" w:lineRule="exact"/>
        <w:rPr>
          <w:rFonts w:ascii="Arial" w:cs="Arial" w:eastAsia="Arial" w:hAnsi="Arial"/>
          <w:sz w:val="17"/>
          <w:szCs w:val="17"/>
          <w:color w:val="auto"/>
        </w:rPr>
      </w:pPr>
    </w:p>
    <w:p>
      <w:pPr>
        <w:jc w:val="both"/>
        <w:ind w:right="559" w:firstLine="365"/>
        <w:spacing w:after="0" w:line="276" w:lineRule="auto"/>
        <w:tabs>
          <w:tab w:leader="none" w:pos="55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Amendment shall be governed by and construed in accordance with the laws of the State of New York, United States of America, without giving effect to its conflicts of law principles (other than Section 5-1401 of the New York General Obligations Law). The parties hereto hereby agree that the provisions of Section 20.2 of the Agreement shall apply to this Agreement, including, without limitation, the submission to the jurisdiction of the courts of the State of New York sitting in New York County, New York and of the United States District Court for the Southern District of New York.</w:t>
      </w:r>
    </w:p>
    <w:p>
      <w:pPr>
        <w:spacing w:after="0" w:line="128" w:lineRule="exact"/>
        <w:rPr>
          <w:rFonts w:ascii="Arial" w:cs="Arial" w:eastAsia="Arial" w:hAnsi="Arial"/>
          <w:sz w:val="17"/>
          <w:szCs w:val="17"/>
          <w:color w:val="auto"/>
        </w:rPr>
      </w:pPr>
    </w:p>
    <w:p>
      <w:pPr>
        <w:jc w:val="both"/>
        <w:ind w:right="559" w:firstLine="365"/>
        <w:spacing w:after="0" w:line="256" w:lineRule="auto"/>
        <w:tabs>
          <w:tab w:leader="none" w:pos="63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THE PARENT AND THE BANK HEREBY KNOWINGLY, VOLUNTARILY AND INTENTIONALLY WAIVE ANY RIGHTS THEY MAY HAVE TO TRIAL BY JURY IN RESPECT OF ANY LITIGATION BASED HEREON, OR ARISING OUT OF, UNDER, OR IN CONNECTION WITH, THIS AMENDMENT OR ANY OTHER DOCUMENT EXECUTED IN CONNECTION WITH THIS AMENDMENT, OR ANY COURSE OF CONDUCT, COURSE OF DEALING, STATEMENTS (WHETHER VERBAL OR WRITTEN) OR ACTIONS OF THE COMPANY, THE PARENT OR THE BANK.</w:t>
      </w:r>
    </w:p>
    <w:p>
      <w:pPr>
        <w:spacing w:after="0" w:line="200" w:lineRule="exact"/>
        <w:rPr>
          <w:sz w:val="20"/>
          <w:szCs w:val="20"/>
          <w:color w:val="auto"/>
        </w:rPr>
      </w:pPr>
    </w:p>
    <w:p>
      <w:pPr>
        <w:spacing w:after="0" w:line="35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52" w:name="page53"/>
    <w:bookmarkEnd w:id="52"/>
    <w:p>
      <w:pPr>
        <w:ind w:left="8000"/>
        <w:spacing w:after="0"/>
        <w:rPr>
          <w:sz w:val="20"/>
          <w:szCs w:val="20"/>
          <w:color w:val="auto"/>
        </w:rPr>
      </w:pPr>
      <w:r>
        <w:rPr>
          <w:rFonts w:ascii="Arial" w:cs="Arial" w:eastAsia="Arial" w:hAnsi="Arial"/>
          <w:sz w:val="16"/>
          <w:szCs w:val="16"/>
          <w:color w:val="auto"/>
        </w:rPr>
        <w:t>Execution Version</w:t>
      </w:r>
    </w:p>
    <w:p>
      <w:pPr>
        <w:spacing w:after="0" w:line="221"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IN WITNESS WHEREOF, the parties hereto have caused this Amendment to be duly executed by their respective duly authorized officers as of the date first above written.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CREDIT AGRICOLE CORPORATE AND INVESTMENT BANK NEW YORK BRANCH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By: /s/ Andre Gazal</w:t>
            </w:r>
          </w:p>
        </w:tc>
        <w:tc>
          <w:tcPr>
            <w:tcW w:w="5300" w:type="dxa"/>
            <w:vAlign w:val="bottom"/>
            <w:gridSpan w:val="2"/>
          </w:tcPr>
          <w:p>
            <w:pPr>
              <w:ind w:left="1220"/>
              <w:spacing w:after="0"/>
              <w:rPr>
                <w:sz w:val="20"/>
                <w:szCs w:val="20"/>
                <w:color w:val="auto"/>
              </w:rPr>
            </w:pPr>
            <w:r>
              <w:rPr>
                <w:rFonts w:ascii="Arial" w:cs="Arial" w:eastAsia="Arial" w:hAnsi="Arial"/>
                <w:sz w:val="18"/>
                <w:szCs w:val="18"/>
                <w:color w:val="auto"/>
              </w:rPr>
              <w:t>By: /s/ Thibault Berger</w:t>
            </w:r>
          </w:p>
        </w:tc>
      </w:tr>
      <w:tr>
        <w:trPr>
          <w:trHeight w:val="209"/>
        </w:trPr>
        <w:tc>
          <w:tcPr>
            <w:tcW w:w="34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Andre Gazal</w:t>
            </w:r>
          </w:p>
        </w:tc>
        <w:tc>
          <w:tcPr>
            <w:tcW w:w="1580" w:type="dxa"/>
            <w:vAlign w:val="bottom"/>
          </w:tcPr>
          <w:p>
            <w:pPr>
              <w:spacing w:after="0"/>
              <w:rPr>
                <w:sz w:val="18"/>
                <w:szCs w:val="18"/>
                <w:color w:val="auto"/>
              </w:rPr>
            </w:pPr>
          </w:p>
        </w:tc>
        <w:tc>
          <w:tcPr>
            <w:tcW w:w="3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Thibault Berger</w:t>
            </w:r>
          </w:p>
        </w:tc>
      </w:tr>
      <w:tr>
        <w:trPr>
          <w:trHeight w:val="230"/>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158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Title: Vice President</w:t>
            </w:r>
          </w:p>
        </w:tc>
      </w:tr>
      <w:tr>
        <w:trPr>
          <w:trHeight w:val="432"/>
        </w:trPr>
        <w:tc>
          <w:tcPr>
            <w:tcW w:w="4020" w:type="dxa"/>
            <w:vAlign w:val="bottom"/>
            <w:gridSpan w:val="2"/>
          </w:tcPr>
          <w:p>
            <w:pPr>
              <w:spacing w:after="0"/>
              <w:rPr>
                <w:sz w:val="20"/>
                <w:szCs w:val="20"/>
                <w:color w:val="auto"/>
              </w:rPr>
            </w:pPr>
            <w:r>
              <w:rPr>
                <w:rFonts w:ascii="Arial" w:cs="Arial" w:eastAsia="Arial" w:hAnsi="Arial"/>
                <w:sz w:val="18"/>
                <w:szCs w:val="18"/>
                <w:color w:val="auto"/>
              </w:rPr>
              <w:t>THE SCOTTS COMPANY LLC</w:t>
            </w:r>
          </w:p>
        </w:tc>
        <w:tc>
          <w:tcPr>
            <w:tcW w:w="15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32"/>
        </w:trPr>
        <w:tc>
          <w:tcPr>
            <w:tcW w:w="4020" w:type="dxa"/>
            <w:vAlign w:val="bottom"/>
            <w:gridSpan w:val="2"/>
          </w:tcPr>
          <w:p>
            <w:pPr>
              <w:spacing w:after="0"/>
              <w:rPr>
                <w:sz w:val="20"/>
                <w:szCs w:val="20"/>
                <w:color w:val="auto"/>
              </w:rPr>
            </w:pPr>
            <w:r>
              <w:rPr>
                <w:rFonts w:ascii="Arial" w:cs="Arial" w:eastAsia="Arial" w:hAnsi="Arial"/>
                <w:sz w:val="18"/>
                <w:szCs w:val="18"/>
                <w:color w:val="auto"/>
              </w:rPr>
              <w:t>By: /s/ David C. Evans</w:t>
            </w:r>
          </w:p>
        </w:tc>
        <w:tc>
          <w:tcPr>
            <w:tcW w:w="5300" w:type="dxa"/>
            <w:vAlign w:val="bottom"/>
            <w:gridSpan w:val="2"/>
          </w:tcPr>
          <w:p>
            <w:pPr>
              <w:ind w:left="1220"/>
              <w:spacing w:after="0"/>
              <w:rPr>
                <w:sz w:val="20"/>
                <w:szCs w:val="20"/>
                <w:color w:val="auto"/>
              </w:rPr>
            </w:pPr>
            <w:r>
              <w:rPr>
                <w:rFonts w:ascii="Arial" w:cs="Arial" w:eastAsia="Arial" w:hAnsi="Arial"/>
                <w:sz w:val="18"/>
                <w:szCs w:val="18"/>
                <w:color w:val="auto"/>
              </w:rPr>
              <w:t>By: /s/ Scott M. Haefke</w:t>
            </w:r>
          </w:p>
        </w:tc>
      </w:tr>
      <w:tr>
        <w:trPr>
          <w:trHeight w:val="209"/>
        </w:trPr>
        <w:tc>
          <w:tcPr>
            <w:tcW w:w="34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David C. Evans</w:t>
            </w:r>
          </w:p>
        </w:tc>
        <w:tc>
          <w:tcPr>
            <w:tcW w:w="1580" w:type="dxa"/>
            <w:vAlign w:val="bottom"/>
          </w:tcPr>
          <w:p>
            <w:pPr>
              <w:spacing w:after="0"/>
              <w:rPr>
                <w:sz w:val="18"/>
                <w:szCs w:val="18"/>
                <w:color w:val="auto"/>
              </w:rPr>
            </w:pPr>
          </w:p>
        </w:tc>
        <w:tc>
          <w:tcPr>
            <w:tcW w:w="3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Scott M. Haefke</w:t>
            </w: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Title: Executive Vice President and</w:t>
            </w:r>
          </w:p>
        </w:tc>
        <w:tc>
          <w:tcPr>
            <w:tcW w:w="15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Title: Vice President and Treasurer</w:t>
            </w:r>
          </w:p>
        </w:tc>
      </w:tr>
      <w:tr>
        <w:trPr>
          <w:trHeight w:val="230"/>
        </w:trPr>
        <w:tc>
          <w:tcPr>
            <w:tcW w:w="340" w:type="dxa"/>
            <w:vAlign w:val="bottom"/>
          </w:tcPr>
          <w:p>
            <w:pPr>
              <w:spacing w:after="0"/>
              <w:rPr>
                <w:sz w:val="20"/>
                <w:szCs w:val="20"/>
                <w:color w:val="auto"/>
              </w:rPr>
            </w:pPr>
          </w:p>
        </w:tc>
        <w:tc>
          <w:tcPr>
            <w:tcW w:w="3680" w:type="dxa"/>
            <w:vAlign w:val="bottom"/>
          </w:tcPr>
          <w:p>
            <w:pPr>
              <w:ind w:left="400"/>
              <w:spacing w:after="0"/>
              <w:rPr>
                <w:sz w:val="20"/>
                <w:szCs w:val="20"/>
                <w:color w:val="auto"/>
              </w:rPr>
            </w:pPr>
            <w:r>
              <w:rPr>
                <w:rFonts w:ascii="Arial" w:cs="Arial" w:eastAsia="Arial" w:hAnsi="Arial"/>
                <w:sz w:val="18"/>
                <w:szCs w:val="18"/>
                <w:color w:val="auto"/>
              </w:rPr>
              <w:t>Chief Financial Officer</w:t>
            </w:r>
          </w:p>
        </w:tc>
        <w:tc>
          <w:tcPr>
            <w:tcW w:w="15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432"/>
        </w:trPr>
        <w:tc>
          <w:tcPr>
            <w:tcW w:w="4020" w:type="dxa"/>
            <w:vAlign w:val="bottom"/>
            <w:gridSpan w:val="2"/>
          </w:tcPr>
          <w:p>
            <w:pPr>
              <w:spacing w:after="0"/>
              <w:rPr>
                <w:sz w:val="20"/>
                <w:szCs w:val="20"/>
                <w:color w:val="auto"/>
              </w:rPr>
            </w:pPr>
            <w:r>
              <w:rPr>
                <w:rFonts w:ascii="Arial" w:cs="Arial" w:eastAsia="Arial" w:hAnsi="Arial"/>
                <w:sz w:val="18"/>
                <w:szCs w:val="18"/>
                <w:color w:val="auto"/>
              </w:rPr>
              <w:t>THE SCOTTS MIRACLE-GRO COMPANY</w:t>
            </w:r>
          </w:p>
        </w:tc>
        <w:tc>
          <w:tcPr>
            <w:tcW w:w="15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32"/>
        </w:trPr>
        <w:tc>
          <w:tcPr>
            <w:tcW w:w="4020" w:type="dxa"/>
            <w:vAlign w:val="bottom"/>
            <w:gridSpan w:val="2"/>
          </w:tcPr>
          <w:p>
            <w:pPr>
              <w:spacing w:after="0"/>
              <w:rPr>
                <w:sz w:val="20"/>
                <w:szCs w:val="20"/>
                <w:color w:val="auto"/>
              </w:rPr>
            </w:pPr>
            <w:r>
              <w:rPr>
                <w:rFonts w:ascii="Arial" w:cs="Arial" w:eastAsia="Arial" w:hAnsi="Arial"/>
                <w:sz w:val="18"/>
                <w:szCs w:val="18"/>
                <w:color w:val="auto"/>
              </w:rPr>
              <w:t>By: /s/ David C. Evans</w:t>
            </w:r>
          </w:p>
        </w:tc>
        <w:tc>
          <w:tcPr>
            <w:tcW w:w="5300" w:type="dxa"/>
            <w:vAlign w:val="bottom"/>
            <w:gridSpan w:val="2"/>
          </w:tcPr>
          <w:p>
            <w:pPr>
              <w:ind w:left="1220"/>
              <w:spacing w:after="0"/>
              <w:rPr>
                <w:sz w:val="20"/>
                <w:szCs w:val="20"/>
                <w:color w:val="auto"/>
              </w:rPr>
            </w:pPr>
            <w:r>
              <w:rPr>
                <w:rFonts w:ascii="Arial" w:cs="Arial" w:eastAsia="Arial" w:hAnsi="Arial"/>
                <w:sz w:val="18"/>
                <w:szCs w:val="18"/>
                <w:color w:val="auto"/>
              </w:rPr>
              <w:t>By: /s/ Scott M. Haefke</w:t>
            </w:r>
          </w:p>
        </w:tc>
      </w:tr>
      <w:tr>
        <w:trPr>
          <w:trHeight w:val="209"/>
        </w:trPr>
        <w:tc>
          <w:tcPr>
            <w:tcW w:w="34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David C. Evans</w:t>
            </w:r>
          </w:p>
        </w:tc>
        <w:tc>
          <w:tcPr>
            <w:tcW w:w="1580" w:type="dxa"/>
            <w:vAlign w:val="bottom"/>
          </w:tcPr>
          <w:p>
            <w:pPr>
              <w:spacing w:after="0"/>
              <w:rPr>
                <w:sz w:val="18"/>
                <w:szCs w:val="18"/>
                <w:color w:val="auto"/>
              </w:rPr>
            </w:pPr>
          </w:p>
        </w:tc>
        <w:tc>
          <w:tcPr>
            <w:tcW w:w="3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Scott M. Haefke</w:t>
            </w: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Title: Executive Vice President and</w:t>
            </w:r>
          </w:p>
        </w:tc>
        <w:tc>
          <w:tcPr>
            <w:tcW w:w="15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Title: Vice President and Treasurer</w:t>
            </w:r>
          </w:p>
        </w:tc>
      </w:tr>
      <w:tr>
        <w:trPr>
          <w:trHeight w:val="230"/>
        </w:trPr>
        <w:tc>
          <w:tcPr>
            <w:tcW w:w="340" w:type="dxa"/>
            <w:vAlign w:val="bottom"/>
          </w:tcPr>
          <w:p>
            <w:pPr>
              <w:spacing w:after="0"/>
              <w:rPr>
                <w:sz w:val="20"/>
                <w:szCs w:val="20"/>
                <w:color w:val="auto"/>
              </w:rPr>
            </w:pPr>
          </w:p>
        </w:tc>
        <w:tc>
          <w:tcPr>
            <w:tcW w:w="3680" w:type="dxa"/>
            <w:vAlign w:val="bottom"/>
          </w:tcPr>
          <w:p>
            <w:pPr>
              <w:ind w:left="400"/>
              <w:spacing w:after="0"/>
              <w:rPr>
                <w:sz w:val="20"/>
                <w:szCs w:val="20"/>
                <w:color w:val="auto"/>
              </w:rPr>
            </w:pPr>
            <w:r>
              <w:rPr>
                <w:rFonts w:ascii="Arial" w:cs="Arial" w:eastAsia="Arial" w:hAnsi="Arial"/>
                <w:sz w:val="18"/>
                <w:szCs w:val="18"/>
                <w:color w:val="auto"/>
              </w:rPr>
              <w:t>Chief Financial Officer</w:t>
            </w:r>
          </w:p>
        </w:tc>
        <w:tc>
          <w:tcPr>
            <w:tcW w:w="15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797"/>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color w:val="auto"/>
              </w:rPr>
              <w:t>-3-</w:t>
            </w:r>
          </w:p>
        </w:tc>
        <w:tc>
          <w:tcPr>
            <w:tcW w:w="3720" w:type="dxa"/>
            <w:vAlign w:val="bottom"/>
          </w:tcPr>
          <w:p>
            <w:pPr>
              <w:spacing w:after="0"/>
              <w:rPr>
                <w:sz w:val="24"/>
                <w:szCs w:val="24"/>
                <w:color w:val="auto"/>
              </w:rPr>
            </w:pPr>
          </w:p>
        </w:tc>
      </w:tr>
    </w:tbl>
    <w:p>
      <w:pPr>
        <w:sectPr>
          <w:pgSz w:w="11900" w:h="16838" w:orient="portrait"/>
          <w:cols w:equalWidth="0" w:num="1">
            <w:col w:w="9879"/>
          </w:cols>
          <w:pgMar w:left="580" w:top="936" w:right="1440" w:bottom="1440" w:gutter="0" w:footer="0" w:header="0"/>
        </w:sectPr>
      </w:pPr>
    </w:p>
    <w:bookmarkStart w:id="53" w:name="page54"/>
    <w:bookmarkEnd w:id="53"/>
    <w:p>
      <w:pPr>
        <w:jc w:val="right"/>
        <w:ind w:right="559"/>
        <w:spacing w:after="0"/>
        <w:rPr>
          <w:sz w:val="20"/>
          <w:szCs w:val="20"/>
          <w:color w:val="auto"/>
        </w:rPr>
      </w:pPr>
      <w:r>
        <w:rPr>
          <w:rFonts w:ascii="Arial" w:cs="Arial" w:eastAsia="Arial" w:hAnsi="Arial"/>
          <w:sz w:val="18"/>
          <w:szCs w:val="18"/>
          <w:b w:val="1"/>
          <w:bCs w:val="1"/>
          <w:color w:val="auto"/>
        </w:rPr>
        <w:t>Exhibit 10.7</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Summary of Compensation for Nonemployee Directors of</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The Scotts Miracle-Gro Company</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Effective as of January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237490</wp:posOffset>
            </wp:positionV>
            <wp:extent cx="15347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559" w:firstLine="373"/>
        <w:spacing w:after="0" w:line="302" w:lineRule="auto"/>
        <w:rPr>
          <w:sz w:val="20"/>
          <w:szCs w:val="20"/>
          <w:color w:val="auto"/>
        </w:rPr>
      </w:pPr>
      <w:r>
        <w:rPr>
          <w:rFonts w:ascii="Arial" w:cs="Arial" w:eastAsia="Arial" w:hAnsi="Arial"/>
          <w:sz w:val="16"/>
          <w:szCs w:val="16"/>
          <w:color w:val="auto"/>
        </w:rPr>
        <w:t>At the meeting of the Board of Directors (the “Board”) of The Scotts Miracle-Gro Company (the “Company”) held on January 21, 2010, the Board approved the recommendations of the Governance and Nominating Committee of the Board with respect to compensation for the 2010 calendar year for nonemployee members of the Board (“Nonemployee Directors”) and the Lead Independent Director of the Company. The compensation approved by the Board is described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Retainer; Reimbursement of Expenses</w:t>
      </w:r>
    </w:p>
    <w:p>
      <w:pPr>
        <w:spacing w:after="0" w:line="185"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Effective January 22, 2010, each of the Nonemployee Directors will be paid an annual cash retainer in the amount of $100,000 and the Lead Independent Director will be paid an additional annual cash retainer in the amount of $15,000. The annual cash retainer(s) will be paid on a quarterly basis, in January, April, July and October, 2010. Nonemployee Directors receive reimbursement of all reasonable travel and other expenses associated with attending Board and Board committee meetings.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Stock Units</w:t>
      </w:r>
    </w:p>
    <w:p>
      <w:pPr>
        <w:spacing w:after="0" w:line="198" w:lineRule="exact"/>
        <w:rPr>
          <w:sz w:val="20"/>
          <w:szCs w:val="20"/>
          <w:color w:val="auto"/>
        </w:rPr>
      </w:pPr>
    </w:p>
    <w:p>
      <w:pPr>
        <w:jc w:val="both"/>
        <w:ind w:right="559" w:firstLine="373"/>
        <w:spacing w:after="0" w:line="270" w:lineRule="auto"/>
        <w:rPr>
          <w:sz w:val="20"/>
          <w:szCs w:val="20"/>
          <w:color w:val="auto"/>
        </w:rPr>
      </w:pPr>
      <w:r>
        <w:rPr>
          <w:rFonts w:ascii="Arial" w:cs="Arial" w:eastAsia="Arial" w:hAnsi="Arial"/>
          <w:sz w:val="17"/>
          <w:szCs w:val="17"/>
          <w:color w:val="auto"/>
        </w:rPr>
        <w:t>On January 22, 2010: (a) each Nonemployee Director was granted deferred stock units having a value of $70,000; (b) the Lead Independent Director was granted additional deferred stock units having a value of $35,000; (c) each Nonemployee Director was granted additional deferred stock units having a value of $12,500 for each committee of the Board on which such Nonemployee Director serves; (d) each Nonemployee Director serving as the chairperson of a committee of the Board was granted additional deferred stock units having a value of $25,000; and (e) each Nonemployee Director serving on the Audit Committee of the Board was granted additional deferred stock units having a value of $5,000. The number of deferred stock units (and related dividend equivalents) granted to each Nonemployee Director (including the Lead Independent Director) was calculated by dividing the aggregate value of deferred stock units to be granted to such Nonemployee Director by the closing price of the Company’s common shares on the January 22, 2010 grant date ($41.03) and rounding any resulting fractional deferred stock unit up to the next whole deferred stock unit.</w:t>
      </w:r>
    </w:p>
    <w:p>
      <w:pPr>
        <w:spacing w:after="0" w:line="137" w:lineRule="exact"/>
        <w:rPr>
          <w:sz w:val="20"/>
          <w:szCs w:val="20"/>
          <w:color w:val="auto"/>
        </w:rPr>
      </w:pPr>
    </w:p>
    <w:p>
      <w:pPr>
        <w:jc w:val="both"/>
        <w:ind w:right="559" w:firstLine="373"/>
        <w:spacing w:after="0" w:line="272" w:lineRule="auto"/>
        <w:rPr>
          <w:sz w:val="20"/>
          <w:szCs w:val="20"/>
          <w:color w:val="auto"/>
        </w:rPr>
      </w:pPr>
      <w:r>
        <w:rPr>
          <w:rFonts w:ascii="Arial" w:cs="Arial" w:eastAsia="Arial" w:hAnsi="Arial"/>
          <w:sz w:val="17"/>
          <w:szCs w:val="17"/>
          <w:color w:val="auto"/>
        </w:rPr>
        <w:t>The deferred stock units (and related dividend equivalents) were granted under The Scotts Miracle-Gro Company Amended and Restated 2006 Long-Term Incentive Plan (the “2006 Plan”). Each whole deferred stock unit represents the right to receive one full common share of the Company at the time and in the manner described in the Deferred Stock Unit Award Agreement for Nonemployee Directors (with Related Dividend Equivalents) evidencing the award. Each dividend equivalent represents the right to receive additional deferred stock units (rounded to the nearest whole deferred stock unit) in respect of dividends that are declared and paid during the period beginning on the grant date and ending on the settlement date with respect to the common share of the Company represented by the related deferred stock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626110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4" w:name="page55"/>
    <w:bookmarkEnd w:id="54"/>
    <w:p>
      <w:pPr>
        <w:jc w:val="both"/>
        <w:ind w:left="8" w:right="559" w:firstLine="373"/>
        <w:spacing w:after="0" w:line="255" w:lineRule="auto"/>
        <w:rPr>
          <w:sz w:val="20"/>
          <w:szCs w:val="20"/>
          <w:color w:val="auto"/>
        </w:rPr>
      </w:pPr>
      <w:r>
        <w:rPr>
          <w:rFonts w:ascii="Arial" w:cs="Arial" w:eastAsia="Arial" w:hAnsi="Arial"/>
          <w:sz w:val="18"/>
          <w:szCs w:val="18"/>
          <w:color w:val="auto"/>
        </w:rPr>
        <w:t xml:space="preserve">The deferred stock units, including any deferred stock units received in respect of dividend equivalents on or prior to the vesting date, will generally become 100% vested on January 22, 2013. Any deferred stock units received in respect of dividend equivalents following the vesting date will be 100% vested on the date they are credited to the Nonemployee Director. If, prior to the vesting date, a Nonemployee Director ceases to be a member of the Board after having been convicted of, or pleading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(“Cause”), the Nonemployee Director’s deferred stock units (and related dividend equivalents) will be immediately forfeited.</w:t>
      </w:r>
    </w:p>
    <w:p>
      <w:pPr>
        <w:spacing w:after="0" w:line="166" w:lineRule="exact"/>
        <w:rPr>
          <w:sz w:val="20"/>
          <w:szCs w:val="20"/>
          <w:color w:val="auto"/>
        </w:rPr>
      </w:pPr>
    </w:p>
    <w:p>
      <w:pPr>
        <w:jc w:val="both"/>
        <w:ind w:left="8" w:right="559" w:firstLine="373"/>
        <w:spacing w:after="0" w:line="284" w:lineRule="auto"/>
        <w:rPr>
          <w:sz w:val="20"/>
          <w:szCs w:val="20"/>
          <w:color w:val="auto"/>
        </w:rPr>
      </w:pPr>
      <w:r>
        <w:rPr>
          <w:rFonts w:ascii="Arial" w:cs="Arial" w:eastAsia="Arial" w:hAnsi="Arial"/>
          <w:sz w:val="16"/>
          <w:szCs w:val="16"/>
          <w:color w:val="auto"/>
        </w:rPr>
        <w:t>Under certain circumstances, the deferred stock units will vest prior to January 22, 2013. These circumstances depend, in part, on whether a Nonemployee Director had served one full term on the Board as of January 22, 2010. If a Nonemployee Director who had served less than one full term on the Board as of January 22, 2010: (a) ceases to be a member of the Board (other than for Cause) after completing at least one full term of continuous service on the Board, (b) dies or (c) becomes totally disabled, then the deferred stock units granted during the Nonemployee Director’s first term will become 100% vested as of the date of such event. If a Nonemployee Director who had served at least one full term on the Board as of January 22, 2010:</w:t>
      </w:r>
    </w:p>
    <w:p>
      <w:pPr>
        <w:spacing w:after="0" w:line="5" w:lineRule="exact"/>
        <w:rPr>
          <w:sz w:val="20"/>
          <w:szCs w:val="20"/>
          <w:color w:val="auto"/>
        </w:rPr>
      </w:pPr>
    </w:p>
    <w:p>
      <w:pPr>
        <w:jc w:val="both"/>
        <w:ind w:left="8" w:right="559" w:hanging="8"/>
        <w:spacing w:after="0" w:line="271" w:lineRule="auto"/>
        <w:tabs>
          <w:tab w:leader="none" w:pos="263" w:val="left"/>
        </w:tabs>
        <w:numPr>
          <w:ilvl w:val="0"/>
          <w:numId w:val="17"/>
        </w:numPr>
        <w:rPr>
          <w:rFonts w:ascii="Arial" w:cs="Arial" w:eastAsia="Arial" w:hAnsi="Arial"/>
          <w:sz w:val="17"/>
          <w:szCs w:val="17"/>
          <w:color w:val="auto"/>
        </w:rPr>
      </w:pPr>
      <w:r>
        <w:rPr>
          <w:rFonts w:ascii="Arial" w:cs="Arial" w:eastAsia="Arial" w:hAnsi="Arial"/>
          <w:sz w:val="17"/>
          <w:szCs w:val="17"/>
          <w:color w:val="auto"/>
        </w:rPr>
        <w:t>ceases to be a member of the Board (other than for Cause) after completing at least two full terms of continuous service on the Board and attaining age 50, (b) dies or (c) becomes totally disabled, then all of the Nonemployee Director’s deferred stock units will become 100% vested as of the date of such event. If a Nonemployee Director ceases to be a member of the Board prior to the vesting date for any reason not described in the preceding two sentences, the Nonemployee Director’s deferred stock units (and related dividend equivalents) will be immediately forfeited.</w:t>
      </w:r>
    </w:p>
    <w:p>
      <w:pPr>
        <w:spacing w:after="0" w:line="138" w:lineRule="exact"/>
        <w:rPr>
          <w:sz w:val="20"/>
          <w:szCs w:val="20"/>
          <w:color w:val="auto"/>
        </w:rPr>
      </w:pPr>
    </w:p>
    <w:p>
      <w:pPr>
        <w:jc w:val="both"/>
        <w:ind w:left="8" w:right="559" w:firstLine="373"/>
        <w:spacing w:after="0" w:line="255" w:lineRule="auto"/>
        <w:rPr>
          <w:sz w:val="20"/>
          <w:szCs w:val="20"/>
          <w:color w:val="auto"/>
        </w:rPr>
      </w:pPr>
      <w:r>
        <w:rPr>
          <w:rFonts w:ascii="Arial" w:cs="Arial" w:eastAsia="Arial" w:hAnsi="Arial"/>
          <w:sz w:val="18"/>
          <w:szCs w:val="18"/>
          <w:color w:val="auto"/>
        </w:rPr>
        <w:t>Subject to the terms of the 2006 Plan, vested deferred stock units will be settled in a lump sum as soon as administratively practicable, but no later than 90 days, following the earliest to occur of: (i) a Nonemployee Director’s ceasing to be a member of the Board; (ii) a Nonemployee Director’s death; (iii) the date a Nonemployee Director becomes totally disabled; or (iv) January 22, 2015. Whole deferred stock units will be settled in full common shares of the Company and any fractional deferred stock units will be settled in cash, determined based on the fair market value of a common share of the Company on the settlement date.</w:t>
      </w:r>
    </w:p>
    <w:p>
      <w:pPr>
        <w:spacing w:after="0" w:line="153" w:lineRule="exact"/>
        <w:rPr>
          <w:sz w:val="20"/>
          <w:szCs w:val="20"/>
          <w:color w:val="auto"/>
        </w:rPr>
      </w:pPr>
    </w:p>
    <w:p>
      <w:pPr>
        <w:jc w:val="both"/>
        <w:ind w:left="8" w:right="559" w:firstLine="373"/>
        <w:spacing w:after="0" w:line="277" w:lineRule="auto"/>
        <w:rPr>
          <w:sz w:val="20"/>
          <w:szCs w:val="20"/>
          <w:color w:val="auto"/>
        </w:rPr>
      </w:pPr>
      <w:r>
        <w:rPr>
          <w:rFonts w:ascii="Arial" w:cs="Arial" w:eastAsia="Arial" w:hAnsi="Arial"/>
          <w:sz w:val="18"/>
          <w:szCs w:val="18"/>
          <w:color w:val="auto"/>
        </w:rPr>
        <w:t>If there is a Change in Control (as defined in the 2006 Plan), each Nonemployee Director’s deferred stock units will become 100% vested on the date of the Change in Control and will be settled as described in the 2006 Plan.</w:t>
      </w:r>
    </w:p>
    <w:p>
      <w:pPr>
        <w:spacing w:after="0" w:line="143" w:lineRule="exact"/>
        <w:rPr>
          <w:sz w:val="20"/>
          <w:szCs w:val="20"/>
          <w:color w:val="auto"/>
        </w:rPr>
      </w:pPr>
    </w:p>
    <w:p>
      <w:pPr>
        <w:jc w:val="both"/>
        <w:ind w:left="8" w:right="559" w:firstLine="373"/>
        <w:spacing w:after="0" w:line="255" w:lineRule="auto"/>
        <w:rPr>
          <w:sz w:val="20"/>
          <w:szCs w:val="20"/>
          <w:color w:val="auto"/>
        </w:rPr>
      </w:pPr>
      <w:r>
        <w:rPr>
          <w:rFonts w:ascii="Arial" w:cs="Arial" w:eastAsia="Arial" w:hAnsi="Arial"/>
          <w:sz w:val="18"/>
          <w:szCs w:val="18"/>
          <w:color w:val="auto"/>
        </w:rPr>
        <w:t>For more information about the deferred stock units (and related dividend equivalents) granted to the Nonemployee Directors, please refer to (a) the form of Deferred Stock Unit Award Agreement for Nonemployee Directors (with Related Dividend Equivalents) that is included as Exhibit 10.1 to the Company’s Quarterly Report on Form 10-Q for the quarterly period ended March 28, 2009; (b) the 2006 Plan that is included as Exhibit 10(r)(2) to the Company’s Annual Report on Form 10-K for the fiscal year ended September 30, 2007; and (c) the First Amendment to the 2006 Plan that is included as Exhibit 10.1 to this Quarterly Report on Form 10-Q.</w:t>
      </w:r>
    </w:p>
    <w:p>
      <w:pPr>
        <w:spacing w:after="0" w:line="200" w:lineRule="exact"/>
        <w:rPr>
          <w:sz w:val="20"/>
          <w:szCs w:val="20"/>
          <w:color w:val="auto"/>
        </w:rPr>
      </w:pPr>
    </w:p>
    <w:p>
      <w:pPr>
        <w:spacing w:after="0" w:line="344"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887"/>
          </w:cols>
          <w:pgMar w:left="572" w:top="936" w:right="1440" w:bottom="1440" w:gutter="0" w:footer="0" w:header="0"/>
        </w:sectPr>
      </w:pPr>
    </w:p>
    <w:bookmarkStart w:id="55" w:name="page56"/>
    <w:bookmarkEnd w:id="55"/>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85" w:lineRule="exact"/>
        <w:rPr>
          <w:sz w:val="20"/>
          <w:szCs w:val="20"/>
          <w:color w:val="auto"/>
        </w:rPr>
      </w:pPr>
    </w:p>
    <w:p>
      <w:pPr>
        <w:ind w:left="700" w:right="559" w:hanging="343"/>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April 3, 2010;</w:t>
      </w:r>
    </w:p>
    <w:p>
      <w:pPr>
        <w:spacing w:after="0" w:line="129"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700" w:right="559" w:hanging="343"/>
        <w:spacing w:after="0" w:line="286" w:lineRule="auto"/>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jc w:val="both"/>
        <w:ind w:left="1080" w:right="559" w:hanging="345"/>
        <w:spacing w:after="0" w:line="259"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080" w:right="559" w:hanging="345"/>
        <w:spacing w:after="0" w:line="277"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Date: May 13, 2010</w:t>
            </w:r>
          </w:p>
        </w:tc>
        <w:tc>
          <w:tcPr>
            <w:tcW w:w="6120" w:type="dxa"/>
            <w:vAlign w:val="bottom"/>
            <w:gridSpan w:val="3"/>
          </w:tcPr>
          <w:p>
            <w:pPr>
              <w:ind w:left="840"/>
              <w:spacing w:after="0"/>
              <w:rPr>
                <w:sz w:val="20"/>
                <w:szCs w:val="20"/>
                <w:color w:val="auto"/>
              </w:rPr>
            </w:pPr>
            <w:r>
              <w:rPr>
                <w:rFonts w:ascii="Arial" w:cs="Arial" w:eastAsia="Arial" w:hAnsi="Arial"/>
                <w:sz w:val="18"/>
                <w:szCs w:val="18"/>
                <w:color w:val="auto"/>
              </w:rPr>
              <w:t>By: /s/ JAMES HAGEDORN</w:t>
            </w:r>
          </w:p>
        </w:tc>
      </w:tr>
      <w:tr>
        <w:trPr>
          <w:trHeight w:val="195"/>
        </w:trPr>
        <w:tc>
          <w:tcPr>
            <w:tcW w:w="2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9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Printed Name: James Hagedorn</w:t>
            </w:r>
          </w:p>
        </w:tc>
      </w:tr>
      <w:tr>
        <w:trPr>
          <w:trHeight w:val="230"/>
        </w:trPr>
        <w:tc>
          <w:tcPr>
            <w:tcW w:w="2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Pr>
          <w:p>
            <w:pPr>
              <w:ind w:left="380"/>
              <w:spacing w:after="0"/>
              <w:rPr>
                <w:sz w:val="20"/>
                <w:szCs w:val="20"/>
                <w:color w:val="auto"/>
              </w:rPr>
            </w:pPr>
            <w:r>
              <w:rPr>
                <w:rFonts w:ascii="Arial" w:cs="Arial" w:eastAsia="Arial" w:hAnsi="Arial"/>
                <w:sz w:val="18"/>
                <w:szCs w:val="18"/>
                <w:color w:val="auto"/>
                <w:w w:val="93"/>
              </w:rPr>
              <w:t>Chief Executive Officer and Chairman of the Board</w:t>
            </w:r>
          </w:p>
        </w:tc>
      </w:tr>
    </w:tbl>
    <w:p>
      <w:pPr>
        <w:sectPr>
          <w:pgSz w:w="11900" w:h="16838" w:orient="portrait"/>
          <w:cols w:equalWidth="0" w:num="1">
            <w:col w:w="9879"/>
          </w:cols>
          <w:pgMar w:left="580" w:top="121" w:right="1440" w:bottom="1440" w:gutter="0" w:footer="0" w:header="0"/>
        </w:sectPr>
      </w:pPr>
    </w:p>
    <w:bookmarkStart w:id="56" w:name="page57"/>
    <w:bookmarkEnd w:id="56"/>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185" w:lineRule="exact"/>
        <w:rPr>
          <w:sz w:val="20"/>
          <w:szCs w:val="20"/>
          <w:color w:val="auto"/>
        </w:rPr>
      </w:pPr>
    </w:p>
    <w:p>
      <w:pPr>
        <w:ind w:left="700" w:right="559" w:hanging="343"/>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April 3, 2010;</w:t>
      </w:r>
    </w:p>
    <w:p>
      <w:pPr>
        <w:spacing w:after="0" w:line="129"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700" w:right="559" w:hanging="343"/>
        <w:spacing w:after="0" w:line="286" w:lineRule="auto"/>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jc w:val="both"/>
        <w:ind w:left="1080" w:right="559" w:hanging="345"/>
        <w:spacing w:after="0" w:line="259"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080" w:right="559" w:hanging="345"/>
        <w:spacing w:after="0" w:line="277"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Date: May 13, 2010</w:t>
            </w:r>
          </w:p>
        </w:tc>
        <w:tc>
          <w:tcPr>
            <w:tcW w:w="6180" w:type="dxa"/>
            <w:vAlign w:val="bottom"/>
            <w:gridSpan w:val="3"/>
          </w:tcPr>
          <w:p>
            <w:pPr>
              <w:ind w:left="800"/>
              <w:spacing w:after="0"/>
              <w:rPr>
                <w:sz w:val="20"/>
                <w:szCs w:val="20"/>
                <w:color w:val="auto"/>
              </w:rPr>
            </w:pPr>
            <w:r>
              <w:rPr>
                <w:rFonts w:ascii="Arial" w:cs="Arial" w:eastAsia="Arial" w:hAnsi="Arial"/>
                <w:sz w:val="18"/>
                <w:szCs w:val="18"/>
                <w:color w:val="auto"/>
              </w:rPr>
              <w:t>By: /s/ DAVID C. EVANS</w:t>
            </w:r>
          </w:p>
        </w:tc>
      </w:tr>
      <w:tr>
        <w:trPr>
          <w:trHeight w:val="195"/>
        </w:trPr>
        <w:tc>
          <w:tcPr>
            <w:tcW w:w="2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Printed Name: David C. Evans</w:t>
            </w:r>
          </w:p>
        </w:tc>
      </w:tr>
      <w:tr>
        <w:trPr>
          <w:trHeight w:val="230"/>
        </w:trPr>
        <w:tc>
          <w:tcPr>
            <w:tcW w:w="2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380"/>
              <w:spacing w:after="0"/>
              <w:rPr>
                <w:sz w:val="20"/>
                <w:szCs w:val="20"/>
                <w:color w:val="auto"/>
              </w:rPr>
            </w:pPr>
            <w:r>
              <w:rPr>
                <w:rFonts w:ascii="Arial" w:cs="Arial" w:eastAsia="Arial" w:hAnsi="Arial"/>
                <w:sz w:val="18"/>
                <w:szCs w:val="18"/>
                <w:color w:val="auto"/>
                <w:w w:val="92"/>
              </w:rPr>
              <w:t>Executive Vice President and Chief Financial Officer</w:t>
            </w:r>
          </w:p>
        </w:tc>
      </w:tr>
    </w:tbl>
    <w:p>
      <w:pPr>
        <w:sectPr>
          <w:pgSz w:w="11900" w:h="16838" w:orient="portrait"/>
          <w:cols w:equalWidth="0" w:num="1">
            <w:col w:w="9879"/>
          </w:cols>
          <w:pgMar w:left="580" w:top="121" w:right="1440" w:bottom="1440" w:gutter="0" w:footer="0" w:header="0"/>
        </w:sectPr>
      </w:pPr>
    </w:p>
    <w:bookmarkStart w:id="57" w:name="page58"/>
    <w:bookmarkEnd w:id="57"/>
    <w:p>
      <w:pPr>
        <w:jc w:val="right"/>
        <w:ind w:right="559"/>
        <w:spacing w:after="0"/>
        <w:rPr>
          <w:sz w:val="20"/>
          <w:szCs w:val="20"/>
          <w:color w:val="auto"/>
        </w:rPr>
      </w:pPr>
      <w:r>
        <w:rPr>
          <w:rFonts w:ascii="Arial" w:cs="Arial" w:eastAsia="Arial" w:hAnsi="Arial"/>
          <w:sz w:val="18"/>
          <w:szCs w:val="18"/>
          <w:b w:val="1"/>
          <w:bCs w:val="1"/>
          <w:color w:val="auto"/>
        </w:rPr>
        <w:t>Exhibit 32</w:t>
      </w:r>
    </w:p>
    <w:p>
      <w:pPr>
        <w:spacing w:after="0" w:line="189"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SECTION 1350 CERTIFICATIONS*</w:t>
      </w:r>
    </w:p>
    <w:p>
      <w:pPr>
        <w:spacing w:after="0" w:line="198" w:lineRule="exact"/>
        <w:rPr>
          <w:sz w:val="20"/>
          <w:szCs w:val="20"/>
          <w:color w:val="auto"/>
        </w:rPr>
      </w:pPr>
    </w:p>
    <w:p>
      <w:pPr>
        <w:jc w:val="both"/>
        <w:ind w:left="8" w:right="559"/>
        <w:spacing w:after="0" w:line="255"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quarterly period ended April 3, 2010 as filed with the Securities and Exchange Commission on the date hereof (the “Report”), the undersigned James Hagedorn, Chief Executive Officer and Chairman of the Board of the Company, and David C. Evans,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53" w:lineRule="exact"/>
        <w:rPr>
          <w:sz w:val="20"/>
          <w:szCs w:val="20"/>
          <w:color w:val="auto"/>
        </w:rPr>
      </w:pPr>
    </w:p>
    <w:p>
      <w:pPr>
        <w:ind w:left="708" w:hanging="343"/>
        <w:spacing w:after="0"/>
        <w:tabs>
          <w:tab w:leader="none" w:pos="70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and</w:t>
      </w:r>
    </w:p>
    <w:p>
      <w:pPr>
        <w:spacing w:after="0" w:line="196" w:lineRule="exact"/>
        <w:rPr>
          <w:rFonts w:ascii="Arial" w:cs="Arial" w:eastAsia="Arial" w:hAnsi="Arial"/>
          <w:sz w:val="17"/>
          <w:szCs w:val="17"/>
          <w:color w:val="auto"/>
        </w:rPr>
      </w:pPr>
    </w:p>
    <w:p>
      <w:pPr>
        <w:ind w:left="708" w:right="559" w:hanging="343"/>
        <w:spacing w:after="0" w:line="277" w:lineRule="auto"/>
        <w:tabs>
          <w:tab w:leader="none" w:pos="7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300" w:type="dxa"/>
            <w:vAlign w:val="bottom"/>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4360" w:type="dxa"/>
            <w:vAlign w:val="bottom"/>
          </w:tcPr>
          <w:p>
            <w:pPr>
              <w:spacing w:after="0"/>
              <w:rPr>
                <w:sz w:val="20"/>
                <w:szCs w:val="20"/>
                <w:color w:val="auto"/>
              </w:rPr>
            </w:pPr>
            <w:r>
              <w:rPr>
                <w:rFonts w:ascii="Arial" w:cs="Arial" w:eastAsia="Arial" w:hAnsi="Arial"/>
                <w:sz w:val="18"/>
                <w:szCs w:val="18"/>
                <w:color w:val="auto"/>
              </w:rPr>
              <w:t>James Hagedorn</w:t>
            </w:r>
          </w:p>
        </w:tc>
        <w:tc>
          <w:tcPr>
            <w:tcW w:w="3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and Chairman of the Board</w:t>
            </w:r>
          </w:p>
        </w:tc>
        <w:tc>
          <w:tcPr>
            <w:tcW w:w="3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May 13, 2010</w:t>
            </w:r>
          </w:p>
        </w:tc>
        <w:tc>
          <w:tcPr>
            <w:tcW w:w="30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May 13, 2010</w:t>
            </w:r>
          </w:p>
        </w:tc>
      </w:tr>
    </w:tbl>
    <w:p>
      <w:pPr>
        <w:spacing w:after="0" w:line="107" w:lineRule="exact"/>
        <w:rPr>
          <w:sz w:val="20"/>
          <w:szCs w:val="20"/>
          <w:color w:val="auto"/>
        </w:rPr>
      </w:pPr>
    </w:p>
    <w:p>
      <w:pPr>
        <w:jc w:val="both"/>
        <w:ind w:left="348" w:right="559" w:hanging="348"/>
        <w:spacing w:after="0" w:line="255" w:lineRule="auto"/>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Letter"/>
      <w:start w:val="2"/>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6"/>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upperLetter"/>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1"/>
    </w:lvl>
    <w:lvl w:ilvl="1">
      <w:lvlJc w:val="left"/>
      <w:lvlText w:val="%2."/>
      <w:numFmt w:val="decimal"/>
      <w:start w:val="3"/>
    </w:lvl>
  </w:abstractNum>
  <w:abstractNum w:abstractNumId="14">
    <w:nsid w:val="431BD7B7"/>
    <w:multiLevelType w:val="hybridMultilevel"/>
    <w:lvl w:ilvl="0">
      <w:lvlJc w:val="left"/>
      <w:lvlText w:val="(%1)"/>
      <w:numFmt w:val="lowerLetter"/>
      <w:start w:val="3"/>
    </w:lvl>
    <w:lvl w:ilvl="1">
      <w:lvlJc w:val="left"/>
      <w:lvlText w:val="%2"/>
      <w:numFmt w:val="decimal"/>
      <w:start w:val="1"/>
    </w:lvl>
  </w:abstractNum>
  <w:abstractNum w:abstractNumId="15">
    <w:nsid w:val="3F2DBA31"/>
    <w:multiLevelType w:val="hybridMultilevel"/>
    <w:lvl w:ilvl="0">
      <w:lvlJc w:val="left"/>
      <w:lvlText w:val="%1."/>
      <w:numFmt w:val="decimal"/>
      <w:start w:val="5"/>
    </w:lvl>
    <w:lvl w:ilvl="1">
      <w:lvlJc w:val="left"/>
      <w:lvlText w:val="%2."/>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2019-12-10T08:16:12Z</dcterms:created>
  <dcterms:modified xsi:type="dcterms:W3CDTF">2019-12-10T08:16:12Z</dcterms:modified>
</cp:coreProperties>
</file>