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lineRule="auto" w:line="417" w:before="0" w:after="6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September 15, 2026 (September 11,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_________________________________</w:t>
      </w:r>
    </w:p>
    <w:tbl>
      <w:tblPr>
        <w:tblW w:w="5668" w:type="dxa"/>
        <w:jc w:val="center"/>
        <w:tblInd w:w="0" w:type="dxa"/>
        <w:tblLayout w:type="fixed"/>
        <w:tblCellMar>
          <w:top w:w="28" w:type="dxa"/>
          <w:left w:w="28" w:type="dxa"/>
          <w:bottom w:w="28" w:type="dxa"/>
          <w:right w:w="28" w:type="dxa"/>
        </w:tblCellMar>
      </w:tblPr>
      <w:tblGrid>
        <w:gridCol w:w="1010"/>
        <w:gridCol w:w="884"/>
        <w:gridCol w:w="895"/>
        <w:gridCol w:w="408"/>
        <w:gridCol w:w="408"/>
        <w:gridCol w:w="413"/>
        <w:gridCol w:w="482"/>
        <w:gridCol w:w="482"/>
        <w:gridCol w:w="686"/>
      </w:tblGrid>
      <w:tr>
        <w:trPr/>
        <w:tc>
          <w:tcPr>
            <w:tcW w:w="101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001-11593</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31-1414921</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 or organization)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File Number)</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5897" w:type="dxa"/>
        <w:jc w:val="center"/>
        <w:tblInd w:w="0" w:type="dxa"/>
        <w:tblLayout w:type="fixed"/>
        <w:tblCellMar>
          <w:top w:w="28" w:type="dxa"/>
          <w:left w:w="28" w:type="dxa"/>
          <w:bottom w:w="28" w:type="dxa"/>
          <w:right w:w="28" w:type="dxa"/>
        </w:tblCellMar>
      </w:tblPr>
      <w:tblGrid>
        <w:gridCol w:w="1195"/>
        <w:gridCol w:w="1051"/>
        <w:gridCol w:w="1054"/>
        <w:gridCol w:w="345"/>
        <w:gridCol w:w="345"/>
        <w:gridCol w:w="346"/>
        <w:gridCol w:w="175"/>
        <w:gridCol w:w="175"/>
        <w:gridCol w:w="176"/>
        <w:gridCol w:w="303"/>
        <w:gridCol w:w="303"/>
        <w:gridCol w:w="429"/>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14111 Scottslawn Road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Marysville</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43041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(937) 644-0011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ind w:left="0" w:right="0" w:hanging="720"/>
        <w:jc w:val="both"/>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39" w:type="dxa"/>
        <w:jc w:val="center"/>
        <w:tblInd w:w="0" w:type="dxa"/>
        <w:tblLayout w:type="fixed"/>
        <w:tblCellMar>
          <w:top w:w="28" w:type="dxa"/>
          <w:left w:w="28" w:type="dxa"/>
          <w:bottom w:w="28" w:type="dxa"/>
          <w:right w:w="28" w:type="dxa"/>
        </w:tblCellMar>
      </w:tblPr>
      <w:tblGrid>
        <w:gridCol w:w="1092"/>
        <w:gridCol w:w="956"/>
        <w:gridCol w:w="967"/>
        <w:gridCol w:w="539"/>
        <w:gridCol w:w="539"/>
        <w:gridCol w:w="541"/>
        <w:gridCol w:w="1085"/>
        <w:gridCol w:w="1085"/>
        <w:gridCol w:w="1535"/>
      </w:tblGrid>
      <w:tr>
        <w:trPr/>
        <w:tc>
          <w:tcPr>
            <w:tcW w:w="109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$0.01 stated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SMG</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 of this chapter).  Emerging growth company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Section13(a) of the Exchange Act. ☐</w:t>
      </w:r>
    </w:p>
    <w:p>
      <w:pPr>
        <w:pStyle w:val="TextBody"/>
        <w:bidi w:val="0"/>
        <w:spacing w:before="0" w:after="0"/>
        <w:ind w:left="0" w:right="0" w:hanging="72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Item 1.02. Termination of Material Definitive Agreement.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set forth under Item 8.01 below is incorporated by reference into this Item 1.02.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u w:val="single"/>
        </w:rPr>
      </w:pPr>
      <w:r>
        <w:rPr>
          <w:rFonts w:ascii="Times New Roman;serif" w:hAnsi="Times New Roman;serif"/>
          <w:b/>
          <w:color w:val="000000"/>
          <w:sz w:val="20"/>
          <w:u w:val="single"/>
        </w:rPr>
        <w:t>Item 8.01. Other Events.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11, 2026 (the “Redemption Date”), The Scotts Miracle-Gro Company redeemed all $250.0 million aggregate principal amount of its outstanding 5.250% Senior Notes due 2026 (the “5.250% Senior Notes”), pursuant to the terms of the indenture governing the 5.250% Senior Notes, at a redemption price equal to the aggregate principal amount of the 5.250% Senior Notes, plus accrued and unpaid interest to the Redemption Date (the “Redemption Price”). As of the Redemption Date, the 5.250% Senior Notes were no longer deemed outstanding, interest on the 5.250% Senior Notes ceased to accrue and all rights with respect to the 5.250% Senior Notes ceased, except for the right to receive the Redemption Price.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copy of the Company's press release announcing this development, among other things, is being furnished as Exhibit 99.1 to this Current Report on Form 8-K.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Item 9.01. Financial Statements and Exhibits.</w:t>
      </w:r>
    </w:p>
    <w:p>
      <w:pPr>
        <w:pStyle w:val="TextBody"/>
        <w:bidi w:val="0"/>
        <w:spacing w:lineRule="auto" w:line="288" w:before="180" w:after="283"/>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Financial statements of businesses acquired:</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180" w:after="283"/>
        <w:jc w:val="both"/>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Pro forma financial information:</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180" w:after="283"/>
        <w:jc w:val="both"/>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Shell company transactions:</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180" w:after="283"/>
        <w:jc w:val="both"/>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color w:val="000000"/>
        </w:rPr>
        <w:t xml:space="preserve"> </w:t>
      </w:r>
    </w:p>
    <w:tbl>
      <w:tblPr>
        <w:tblW w:w="7844" w:type="dxa"/>
        <w:jc w:val="center"/>
        <w:tblInd w:w="0" w:type="dxa"/>
        <w:tblLayout w:type="fixed"/>
        <w:tblCellMar>
          <w:top w:w="28" w:type="dxa"/>
          <w:left w:w="28" w:type="dxa"/>
          <w:bottom w:w="28" w:type="dxa"/>
          <w:right w:w="28" w:type="dxa"/>
        </w:tblCellMar>
      </w:tblPr>
      <w:tblGrid>
        <w:gridCol w:w="391"/>
        <w:gridCol w:w="344"/>
        <w:gridCol w:w="345"/>
        <w:gridCol w:w="1973"/>
        <w:gridCol w:w="1973"/>
        <w:gridCol w:w="281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81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News Release issued by The Scotts Miracle-Gro Company on September 15, 2026</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7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967" w:type="dxa"/>
        <w:jc w:val="left"/>
        <w:tblInd w:w="0" w:type="dxa"/>
        <w:tblLayout w:type="fixed"/>
        <w:tblCellMar>
          <w:top w:w="28" w:type="dxa"/>
          <w:left w:w="28" w:type="dxa"/>
          <w:bottom w:w="28" w:type="dxa"/>
          <w:right w:w="28" w:type="dxa"/>
        </w:tblCellMar>
      </w:tblPr>
      <w:tblGrid>
        <w:gridCol w:w="238"/>
        <w:gridCol w:w="210"/>
        <w:gridCol w:w="212"/>
        <w:gridCol w:w="574"/>
        <w:gridCol w:w="574"/>
        <w:gridCol w:w="576"/>
        <w:gridCol w:w="134"/>
        <w:gridCol w:w="134"/>
        <w:gridCol w:w="136"/>
        <w:gridCol w:w="1807"/>
        <w:gridCol w:w="1807"/>
        <w:gridCol w:w="256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SCOTTS MIRACLE-GRO COMPANY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15,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DIMITER TODOROV</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Printed Name: Dimiter Todorov</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 Executive Vice President, Chief Legal Officer &amp; Corporate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 TO EXHIBITS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Current Report on 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Dated September 15,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Scotts Miracle-Gro Company</w:t>
      </w:r>
    </w:p>
    <w:p>
      <w:pPr>
        <w:pStyle w:val="TextBody"/>
        <w:bidi w:val="0"/>
        <w:spacing w:before="0" w:after="0"/>
        <w:jc w:val="left"/>
        <w:rPr/>
      </w:pPr>
      <w:r>
        <w:rPr/>
      </w:r>
    </w:p>
    <w:p>
      <w:pPr>
        <w:pStyle w:val="TextBody"/>
        <w:bidi w:val="0"/>
        <w:spacing w:before="0" w:after="0"/>
        <w:jc w:val="center"/>
        <w:rPr/>
      </w:pPr>
      <w:r>
        <w:rPr/>
      </w:r>
    </w:p>
    <w:tbl>
      <w:tblPr>
        <w:tblW w:w="7844" w:type="dxa"/>
        <w:jc w:val="center"/>
        <w:tblInd w:w="0" w:type="dxa"/>
        <w:tblLayout w:type="fixed"/>
        <w:tblCellMar>
          <w:top w:w="28" w:type="dxa"/>
          <w:left w:w="28" w:type="dxa"/>
          <w:bottom w:w="28" w:type="dxa"/>
          <w:right w:w="28" w:type="dxa"/>
        </w:tblCellMar>
      </w:tblPr>
      <w:tblGrid>
        <w:gridCol w:w="391"/>
        <w:gridCol w:w="344"/>
        <w:gridCol w:w="345"/>
        <w:gridCol w:w="1974"/>
        <w:gridCol w:w="1974"/>
        <w:gridCol w:w="281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7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991smg2026-09x158xk.htm">
              <w:r>
                <w:rPr>
                  <w:rStyle w:val="InternetLink"/>
                  <w:rFonts w:ascii="Times New Roman;serif" w:hAnsi="Times New Roman;serif"/>
                  <w:b w:val="false"/>
                  <w:color w:val="0000FF"/>
                  <w:sz w:val="20"/>
                  <w:u w:val="single"/>
                </w:rPr>
                <w:t>News Release issued by The Scotts Miracle-Gro Company on September 15, 2026</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19" w:before="0" w:after="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99.1</w:t>
      </w:r>
    </w:p>
    <w:p>
      <w:pPr>
        <w:pStyle w:val="TextBody"/>
        <w:bidi w:val="0"/>
        <w:spacing w:lineRule="auto" w:line="276" w:before="0" w:after="0"/>
        <w:jc w:val="center"/>
        <w:rPr>
          <w:rFonts w:ascii="Times New Roman;serif" w:hAnsi="Times New Roman;serif"/>
          <w:b/>
          <w:color w:val="1F1F1F"/>
          <w:sz w:val="24"/>
        </w:rPr>
      </w:pPr>
      <w:r>
        <w:rPr>
          <w:rFonts w:ascii="Times New Roman;serif" w:hAnsi="Times New Roman;serif"/>
          <w:b/>
          <w:color w:val="1F1F1F"/>
          <w:sz w:val="24"/>
        </w:rPr>
        <w:t>ScottsMiracle-Gro Announces Execution of Key Capital Allocation Initiatives</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val="false"/>
          <w:i/>
          <w:color w:val="1F1F1F"/>
          <w:sz w:val="24"/>
        </w:rPr>
      </w:pPr>
      <w:r>
        <w:rPr>
          <w:rFonts w:ascii="Times New Roman;serif" w:hAnsi="Times New Roman;serif"/>
          <w:b w:val="false"/>
          <w:i/>
          <w:color w:val="1F1F1F"/>
          <w:sz w:val="24"/>
        </w:rPr>
        <w:t>Achieves free cash flow target of $275 million and reaffirms full Fiscal 2026 guidance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1F1F1F"/>
          <w:sz w:val="24"/>
        </w:rPr>
      </w:pPr>
      <w:r>
        <w:rPr>
          <w:rFonts w:ascii="Times New Roman;serif" w:hAnsi="Times New Roman;serif"/>
          <w:b w:val="false"/>
          <w:color w:val="1F1F1F"/>
          <w:sz w:val="24"/>
        </w:rPr>
        <w:t>MARYSVILLE, Ohio — September 15, 2026 — The Scotts Miracle-Gro Company (NYSE: SMG), the leading marketer of branded consumer lawn and garden products in North America, today announced the successful execution of key elements of its capital allocation strategy and reaffirmed confidence in achieving its Fiscal 2026 guidance.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1F1F1F"/>
          <w:sz w:val="24"/>
        </w:rPr>
      </w:pPr>
      <w:r>
        <w:rPr>
          <w:rFonts w:ascii="Times New Roman;serif" w:hAnsi="Times New Roman;serif"/>
          <w:b w:val="false"/>
          <w:color w:val="1F1F1F"/>
          <w:sz w:val="24"/>
        </w:rPr>
        <w:t>The recent actions demonstrate continued execution of the Company’s disciplined capital allocation strategy. Among the completed actions: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color w:val="1F1F1F"/>
          <w:sz w:val="24"/>
        </w:rPr>
        <w:t>Senior Notes Redemption:</w:t>
      </w:r>
      <w:r>
        <w:rPr>
          <w:color w:val="1F1F1F"/>
        </w:rPr>
        <w:t xml:space="preserve"> </w:t>
      </w:r>
      <w:r>
        <w:rPr>
          <w:rFonts w:ascii="Times New Roman;serif" w:hAnsi="Times New Roman;serif"/>
          <w:b w:val="false"/>
          <w:color w:val="1F1F1F"/>
          <w:sz w:val="24"/>
        </w:rPr>
        <w:t>The Company redeemed all $250 million aggregate principal amount of its outstanding 5.250% senior notes due 2026. This redemption, completed on September 11, 2026, was funded through a combination of available revolver debt and planned fiscal year 2026 excess free cash flow.</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color w:val="1F1F1F"/>
          <w:sz w:val="24"/>
        </w:rPr>
        <w:t>Accounts Receivable Facility Renewal:</w:t>
      </w:r>
      <w:r>
        <w:rPr>
          <w:color w:val="1F1F1F"/>
        </w:rPr>
        <w:t xml:space="preserve"> </w:t>
      </w:r>
      <w:r>
        <w:rPr>
          <w:rFonts w:ascii="Times New Roman;serif" w:hAnsi="Times New Roman;serif"/>
          <w:b w:val="false"/>
          <w:color w:val="1F1F1F"/>
          <w:sz w:val="24"/>
        </w:rPr>
        <w:t>The Company renewed its $750 million accounts receivable facility with JPMorgan Chase Bank, N.A., extending its maturity to August 31, 2027, providing consistent access to efficient liquidity.</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color w:val="1F1F1F"/>
          <w:sz w:val="24"/>
        </w:rPr>
        <w:t>Share Repurchases:</w:t>
      </w:r>
      <w:r>
        <w:rPr>
          <w:color w:val="1F1F1F"/>
        </w:rPr>
        <w:t xml:space="preserve"> </w:t>
      </w:r>
      <w:r>
        <w:rPr>
          <w:rFonts w:ascii="Times New Roman;serif" w:hAnsi="Times New Roman;serif"/>
          <w:b w:val="false"/>
          <w:color w:val="1F1F1F"/>
          <w:sz w:val="24"/>
        </w:rPr>
        <w:t>The Company executed share repurchases totaling $25 million during the month of August, marking the start of the $500 million share repurchase program authorized by the Board of Directors. The timing and scale of future repurchases remain secondary to the Company’s commitment to ongoing debt reduction and will be subject to market conditions and other factors determined by management.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1F1F1F"/>
          <w:sz w:val="24"/>
        </w:rPr>
      </w:pPr>
      <w:r>
        <w:rPr>
          <w:rFonts w:ascii="Times New Roman;serif" w:hAnsi="Times New Roman;serif"/>
          <w:b w:val="false"/>
          <w:color w:val="1F1F1F"/>
          <w:sz w:val="24"/>
        </w:rPr>
        <w:t>"We continue to accomplish what we set out to do," said Nate Baxter, president and chief executive officer. "Our focus remains on operational excellence and executing our SMG 2.0 multi-year strategy to drive sustainable and consistent growth. These actions reflect our commitments to disciplined capital allocation, maintaining financial flexibility and further enhancing our capital structure.”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1F1F1F"/>
          <w:sz w:val="24"/>
        </w:rPr>
      </w:pPr>
      <w:r>
        <w:rPr>
          <w:rFonts w:ascii="Times New Roman;serif" w:hAnsi="Times New Roman;serif"/>
          <w:b w:val="false"/>
          <w:color w:val="1F1F1F"/>
          <w:sz w:val="24"/>
        </w:rPr>
        <w:t>Mark Scheiwer, chief financial officer and chief accounting officer, added, "Strengthening our balance sheet is a top priority, and we are pleased with the progress we have made in deleveraging. By optimizing our liquidity through our accounts receivable facility and deploying free cash flow to address our debt obligations, we are further strengthening our financial position to fund growth and return value to shareholders.</w:t>
      </w:r>
    </w:p>
    <w:p>
      <w:pPr>
        <w:pStyle w:val="TextBody"/>
        <w:bidi w:val="0"/>
        <w:spacing w:before="0" w:after="0"/>
        <w:jc w:val="left"/>
        <w:rPr/>
      </w:pPr>
      <w:r>
        <w:rPr/>
      </w:r>
    </w:p>
    <w:p>
      <w:pPr>
        <w:pStyle w:val="TextBody"/>
        <w:bidi w:val="0"/>
        <w:spacing w:lineRule="auto" w:line="276" w:before="0" w:after="0"/>
        <w:jc w:val="left"/>
        <w:rPr>
          <w:color w:val="1F1F1F"/>
        </w:rPr>
      </w:pPr>
      <w:r>
        <w:rPr>
          <w:color w:val="1F1F1F"/>
        </w:rPr>
        <w:t>“</w:t>
      </w:r>
      <w:r>
        <w:rPr>
          <w:rFonts w:ascii="Times New Roman;serif" w:hAnsi="Times New Roman;serif"/>
          <w:b w:val="false"/>
          <w:color w:val="1F1F1F"/>
          <w:sz w:val="24"/>
        </w:rPr>
        <w:t>The start of the share repurchase program reflects our confidence in the strength of our SMG 2.0 initiatives, our consistent annual free cash flow generation and the long-term value of our Company and our capital allocation strategy. Future share repurchases will be undertaken in alignment with our commitment to debt reduction and other financial priorities outlined in our mid-term growth algorithm for fiscal years 2027 through 2029.”</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0"/>
        <w:jc w:val="left"/>
        <w:rPr>
          <w:rFonts w:ascii="Times New Roman;serif" w:hAnsi="Times New Roman;serif"/>
          <w:b w:val="false"/>
          <w:color w:val="1F1F1F"/>
          <w:sz w:val="24"/>
        </w:rPr>
      </w:pPr>
      <w:r>
        <w:rPr>
          <w:rFonts w:ascii="Times New Roman;serif" w:hAnsi="Times New Roman;serif"/>
          <w:b w:val="false"/>
          <w:color w:val="1F1F1F"/>
          <w:sz w:val="24"/>
        </w:rPr>
        <w:t>The Company will close its fiscal year on September 30, 2026, and announce full-year financial results on November 4,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1F1F1F"/>
          <w:sz w:val="24"/>
        </w:rPr>
      </w:pPr>
      <w:r>
        <w:rPr>
          <w:rFonts w:ascii="Times New Roman;serif" w:hAnsi="Times New Roman;serif"/>
          <w:b/>
          <w:color w:val="1F1F1F"/>
          <w:sz w:val="24"/>
        </w:rPr>
        <w:t>Fiscal 2026 Outlook</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1F1F1F"/>
          <w:sz w:val="24"/>
        </w:rPr>
      </w:pPr>
      <w:r>
        <w:rPr>
          <w:rFonts w:ascii="Times New Roman;serif" w:hAnsi="Times New Roman;serif"/>
          <w:b w:val="false"/>
          <w:color w:val="1F1F1F"/>
          <w:sz w:val="24"/>
        </w:rPr>
        <w:t>In connection with today’s announcement, the Company has reaffirmed its previously provided Fiscal 2026 guidance, which includes: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1F1F1F"/>
          <w:sz w:val="24"/>
        </w:rPr>
        <w:t>U.S. Consumer net sales low single-digit growth</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1F1F1F"/>
          <w:sz w:val="24"/>
        </w:rPr>
        <w:t>Non-GAAP adjusted gross margin of at least 32%</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1F1F1F"/>
          <w:sz w:val="24"/>
        </w:rPr>
        <w:t>Non-GAAP adjusted net income per share from continuing operations of $4.30 to $4.45</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1F1F1F"/>
          <w:sz w:val="24"/>
        </w:rPr>
        <w:t>Non-GAAP adjusted EBITDA mid single-digit growth</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1F1F1F"/>
          <w:sz w:val="24"/>
        </w:rPr>
        <w:t>Free cash flow of $275 million, driving leverage ratio down to the high 3s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1F1F1F"/>
          <w:sz w:val="24"/>
        </w:rPr>
      </w:pPr>
      <w:r>
        <w:rPr>
          <w:rFonts w:ascii="Times New Roman;serif" w:hAnsi="Times New Roman;serif"/>
          <w:b/>
          <w:color w:val="1F1F1F"/>
          <w:sz w:val="24"/>
        </w:rPr>
        <w:t>About ScottsMiracle-Gro</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1F1F1F"/>
          <w:sz w:val="24"/>
        </w:rPr>
      </w:pPr>
      <w:r>
        <w:rPr>
          <w:rFonts w:ascii="Times New Roman;serif" w:hAnsi="Times New Roman;serif"/>
          <w:b w:val="false"/>
          <w:color w:val="1F1F1F"/>
          <w:sz w:val="24"/>
        </w:rPr>
        <w:t>With approximately $3.3 billion in sales, the Company is the leading marketer of branded consumer lawn and garden products in North America. The Company’s brands are among the most recognized in the industry. The Company’s Scotts®, Miracle-Gro®, Ortho® and Tomcat® brands are market-leading in their categories. For additional information, visit us at www.scottsmiraclegro.com.</w:t>
      </w:r>
    </w:p>
    <w:p>
      <w:pPr>
        <w:pStyle w:val="TextBody"/>
        <w:bidi w:val="0"/>
        <w:spacing w:before="0" w:after="0"/>
        <w:jc w:val="left"/>
        <w:rPr/>
      </w:pPr>
      <w:r>
        <w:rPr/>
      </w:r>
    </w:p>
    <w:p>
      <w:pPr>
        <w:pStyle w:val="TextBody"/>
        <w:bidi w:val="0"/>
        <w:spacing w:lineRule="auto" w:line="319" w:before="0" w:after="240"/>
        <w:jc w:val="left"/>
        <w:rPr/>
      </w:pPr>
      <w:r>
        <w:rPr>
          <w:rFonts w:ascii="Times New Roman;serif" w:hAnsi="Times New Roman;serif"/>
          <w:b/>
          <w:color w:val="000000"/>
          <w:sz w:val="24"/>
        </w:rPr>
        <w:t>For investor inquiries:</w:t>
      </w:r>
      <w:r>
        <w:rPr>
          <w:rFonts w:ascii="Times New Roman;serif" w:hAnsi="Times New Roman;serif"/>
          <w:b w:val="false"/>
          <w:color w:val="000000"/>
          <w:sz w:val="24"/>
        </w:rPr>
        <w:br/>
        <w:t>Brad Chelton</w:t>
        <w:br/>
        <w:t>Vice President Treasury, Tax and Investor Relations</w:t>
        <w:br/>
        <w:t>brad.chelton@scotts.com</w:t>
        <w:br/>
        <w:t>(937) 309-2503</w:t>
      </w:r>
    </w:p>
    <w:p>
      <w:pPr>
        <w:pStyle w:val="TextBody"/>
        <w:bidi w:val="0"/>
        <w:spacing w:lineRule="auto" w:line="319" w:before="0" w:after="240"/>
        <w:jc w:val="left"/>
        <w:rPr/>
      </w:pPr>
      <w:r>
        <w:rPr>
          <w:rFonts w:ascii="Times New Roman;serif" w:hAnsi="Times New Roman;serif"/>
          <w:b/>
          <w:color w:val="000000"/>
          <w:sz w:val="24"/>
        </w:rPr>
        <w:t>For media inquiries:</w:t>
      </w:r>
      <w:r>
        <w:rPr>
          <w:rFonts w:ascii="Times New Roman;serif" w:hAnsi="Times New Roman;serif"/>
          <w:b w:val="false"/>
          <w:color w:val="000000"/>
          <w:sz w:val="24"/>
        </w:rPr>
        <w:br/>
        <w:t>Tom Matthews</w:t>
        <w:br/>
        <w:t>Chief Communications Officer</w:t>
        <w:br/>
        <w:t>tom.matthews@scotts.com</w:t>
        <w:br/>
        <w:t>(937) 844-3864</w:t>
      </w:r>
    </w:p>
    <w:p>
      <w:pPr>
        <w:pStyle w:val="TextBody"/>
        <w:bidi w:val="0"/>
        <w:spacing w:before="0" w:after="38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1212</Words>
  <Characters>7145</Characters>
  <CharactersWithSpaces>8263</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